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DF0C" w14:textId="11837F73" w:rsidR="00AF0A29" w:rsidRPr="00B84AAC" w:rsidRDefault="00AF0A29" w:rsidP="003E4888">
      <w:pPr>
        <w:pStyle w:val="Heading1"/>
        <w:rPr>
          <w:rFonts w:ascii="VIC" w:hAnsi="VIC"/>
          <w:b/>
          <w:color w:val="385623" w:themeColor="accent6" w:themeShade="80"/>
          <w:sz w:val="52"/>
          <w:szCs w:val="52"/>
        </w:rPr>
      </w:pPr>
      <w:bookmarkStart w:id="0" w:name="_Toc214610562"/>
      <w:r w:rsidRPr="00B84AAC">
        <w:rPr>
          <w:rFonts w:ascii="VIC" w:hAnsi="VIC"/>
          <w:b/>
          <w:color w:val="385623" w:themeColor="accent6" w:themeShade="80"/>
          <w:sz w:val="52"/>
          <w:szCs w:val="52"/>
        </w:rPr>
        <w:t>Livestock Farm Monitor Project</w:t>
      </w:r>
      <w:bookmarkEnd w:id="0"/>
      <w:r w:rsidRPr="00B84AAC">
        <w:rPr>
          <w:rFonts w:ascii="VIC" w:hAnsi="VIC"/>
          <w:b/>
          <w:color w:val="385623" w:themeColor="accent6" w:themeShade="80"/>
          <w:sz w:val="52"/>
          <w:szCs w:val="52"/>
        </w:rPr>
        <w:t xml:space="preserve"> </w:t>
      </w:r>
    </w:p>
    <w:p w14:paraId="1034B1E4" w14:textId="4FD4F740" w:rsidR="00AF0A29" w:rsidRPr="00D335C7" w:rsidRDefault="00AF0A29" w:rsidP="002F7C8D">
      <w:pPr>
        <w:rPr>
          <w:sz w:val="32"/>
          <w:szCs w:val="36"/>
        </w:rPr>
      </w:pPr>
      <w:bookmarkStart w:id="1" w:name="_Toc180588135"/>
      <w:r w:rsidRPr="00D335C7">
        <w:rPr>
          <w:sz w:val="32"/>
          <w:szCs w:val="36"/>
        </w:rPr>
        <w:t xml:space="preserve">Victoria </w:t>
      </w:r>
      <w:r w:rsidRPr="00D335C7">
        <w:rPr>
          <w:rFonts w:ascii="Times New Roman" w:hAnsi="Times New Roman" w:cs="Times New Roman"/>
          <w:sz w:val="32"/>
          <w:szCs w:val="36"/>
        </w:rPr>
        <w:t>│</w:t>
      </w:r>
      <w:r w:rsidRPr="00D335C7">
        <w:rPr>
          <w:sz w:val="32"/>
          <w:szCs w:val="36"/>
        </w:rPr>
        <w:t xml:space="preserve"> Annual Report</w:t>
      </w:r>
      <w:bookmarkEnd w:id="1"/>
      <w:r w:rsidRPr="00D335C7">
        <w:rPr>
          <w:sz w:val="32"/>
          <w:szCs w:val="36"/>
        </w:rPr>
        <w:t xml:space="preserve"> </w:t>
      </w:r>
    </w:p>
    <w:p w14:paraId="381E239F" w14:textId="2A63717D" w:rsidR="00AF0A29" w:rsidRPr="00D335C7" w:rsidRDefault="00AF0A29" w:rsidP="002F7C8D">
      <w:pPr>
        <w:rPr>
          <w:sz w:val="32"/>
          <w:szCs w:val="36"/>
        </w:rPr>
      </w:pPr>
      <w:bookmarkStart w:id="2" w:name="_Toc180588136"/>
      <w:r w:rsidRPr="00D335C7">
        <w:rPr>
          <w:sz w:val="32"/>
          <w:szCs w:val="36"/>
        </w:rPr>
        <w:t>20</w:t>
      </w:r>
      <w:r w:rsidR="00A85078" w:rsidRPr="00D335C7">
        <w:rPr>
          <w:sz w:val="32"/>
          <w:szCs w:val="36"/>
        </w:rPr>
        <w:t>2</w:t>
      </w:r>
      <w:r w:rsidR="003833C1" w:rsidRPr="00D335C7">
        <w:rPr>
          <w:sz w:val="32"/>
          <w:szCs w:val="36"/>
        </w:rPr>
        <w:t>4</w:t>
      </w:r>
      <w:r w:rsidR="00AA709C" w:rsidRPr="00D335C7">
        <w:rPr>
          <w:sz w:val="32"/>
          <w:szCs w:val="36"/>
        </w:rPr>
        <w:t>-</w:t>
      </w:r>
      <w:r w:rsidRPr="00D335C7">
        <w:rPr>
          <w:sz w:val="32"/>
          <w:szCs w:val="36"/>
        </w:rPr>
        <w:t>2</w:t>
      </w:r>
      <w:bookmarkEnd w:id="2"/>
      <w:r w:rsidR="003833C1" w:rsidRPr="00D335C7">
        <w:rPr>
          <w:sz w:val="32"/>
          <w:szCs w:val="36"/>
        </w:rPr>
        <w:t>5</w:t>
      </w:r>
    </w:p>
    <w:p w14:paraId="03EA57A3" w14:textId="2550E9D6" w:rsidR="00AF0A29" w:rsidRPr="003910BE" w:rsidRDefault="00AF0A29" w:rsidP="00E81489">
      <w:pPr>
        <w:rPr>
          <w:b/>
          <w:szCs w:val="20"/>
        </w:rPr>
      </w:pPr>
    </w:p>
    <w:p w14:paraId="7581863C" w14:textId="77777777" w:rsidR="00B401A5" w:rsidRDefault="00B401A5">
      <w:pPr>
        <w:rPr>
          <w:szCs w:val="20"/>
        </w:rPr>
      </w:pPr>
      <w:bookmarkStart w:id="3" w:name="_Hlk86229903"/>
      <w:r>
        <w:rPr>
          <w:szCs w:val="20"/>
        </w:rPr>
        <w:br w:type="page"/>
      </w:r>
    </w:p>
    <w:p w14:paraId="05079467" w14:textId="305524D3" w:rsidR="00B401A5" w:rsidRPr="003910BE" w:rsidRDefault="00B401A5" w:rsidP="00B401A5">
      <w:pPr>
        <w:rPr>
          <w:b/>
          <w:szCs w:val="20"/>
        </w:rPr>
      </w:pPr>
      <w:r w:rsidRPr="003910BE">
        <w:rPr>
          <w:b/>
          <w:szCs w:val="20"/>
        </w:rPr>
        <w:lastRenderedPageBreak/>
        <w:t xml:space="preserve">Further information regarding the </w:t>
      </w:r>
      <w:r w:rsidR="00F905B6">
        <w:rPr>
          <w:b/>
          <w:szCs w:val="20"/>
        </w:rPr>
        <w:t xml:space="preserve">Livestock </w:t>
      </w:r>
      <w:r w:rsidR="00BD4745">
        <w:rPr>
          <w:b/>
          <w:szCs w:val="20"/>
        </w:rPr>
        <w:t>Farm</w:t>
      </w:r>
      <w:r w:rsidR="00D20B1E">
        <w:rPr>
          <w:b/>
          <w:szCs w:val="20"/>
        </w:rPr>
        <w:t xml:space="preserve"> Monitor Project</w:t>
      </w:r>
      <w:r w:rsidR="001A0CE5">
        <w:rPr>
          <w:b/>
          <w:szCs w:val="20"/>
        </w:rPr>
        <w:t xml:space="preserve"> </w:t>
      </w:r>
      <w:r w:rsidRPr="003910BE">
        <w:rPr>
          <w:b/>
          <w:szCs w:val="20"/>
        </w:rPr>
        <w:t>may be obtained from:</w:t>
      </w:r>
    </w:p>
    <w:p w14:paraId="22CCE7BB" w14:textId="7FF03ABB" w:rsidR="00B401A5" w:rsidRPr="003A0B2A" w:rsidRDefault="00B401A5" w:rsidP="00B401A5">
      <w:pPr>
        <w:rPr>
          <w:szCs w:val="20"/>
          <w:lang w:val="pt-BR"/>
        </w:rPr>
      </w:pPr>
      <w:r w:rsidRPr="00D44F98">
        <w:rPr>
          <w:szCs w:val="20"/>
          <w:lang w:val="pt-BR"/>
        </w:rPr>
        <w:t>Sam Henty</w:t>
      </w:r>
      <w:r w:rsidR="000C2A6B" w:rsidRPr="00D44F98">
        <w:rPr>
          <w:szCs w:val="20"/>
          <w:lang w:val="pt-BR"/>
        </w:rPr>
        <w:br/>
      </w:r>
      <w:r w:rsidRPr="00D44F98">
        <w:rPr>
          <w:szCs w:val="20"/>
          <w:lang w:val="pt-BR"/>
        </w:rPr>
        <w:t>Agriculture Victoria</w:t>
      </w:r>
      <w:r w:rsidR="000C2A6B" w:rsidRPr="00D44F98">
        <w:rPr>
          <w:szCs w:val="20"/>
          <w:lang w:val="pt-BR"/>
        </w:rPr>
        <w:br/>
      </w:r>
      <w:r w:rsidR="006F7127" w:rsidRPr="006F7127">
        <w:rPr>
          <w:szCs w:val="20"/>
          <w:lang w:val="pt-BR"/>
        </w:rPr>
        <w:t>195-229 Lyttleton Terrace, Bendigo, Victoria, 3550</w:t>
      </w:r>
    </w:p>
    <w:p w14:paraId="29E2B977" w14:textId="7E1F1958" w:rsidR="00B401A5" w:rsidRPr="003A0B2A" w:rsidRDefault="00B401A5" w:rsidP="00B401A5">
      <w:pPr>
        <w:rPr>
          <w:szCs w:val="20"/>
          <w:lang w:val="pt-BR"/>
        </w:rPr>
      </w:pPr>
      <w:hyperlink r:id="rId13" w:history="1">
        <w:r w:rsidRPr="003A0B2A">
          <w:rPr>
            <w:rStyle w:val="Hyperlink"/>
            <w:szCs w:val="20"/>
            <w:lang w:val="pt-BR"/>
          </w:rPr>
          <w:t>sam.henty@agriculture.vic.gov.au</w:t>
        </w:r>
      </w:hyperlink>
    </w:p>
    <w:p w14:paraId="79F1DD79" w14:textId="75C17AFE" w:rsidR="00B401A5" w:rsidRPr="003910BE" w:rsidRDefault="00B401A5" w:rsidP="00B401A5">
      <w:pPr>
        <w:rPr>
          <w:szCs w:val="20"/>
        </w:rPr>
      </w:pPr>
      <w:r w:rsidRPr="003A0B2A">
        <w:rPr>
          <w:szCs w:val="20"/>
        </w:rPr>
        <w:t xml:space="preserve">Authorised and published by the Victorian Government, Department of </w:t>
      </w:r>
      <w:r w:rsidR="002B3A8F" w:rsidRPr="003A0B2A">
        <w:rPr>
          <w:szCs w:val="20"/>
        </w:rPr>
        <w:t>Energy</w:t>
      </w:r>
      <w:r w:rsidRPr="003A0B2A">
        <w:rPr>
          <w:szCs w:val="20"/>
        </w:rPr>
        <w:t xml:space="preserve">, </w:t>
      </w:r>
      <w:r w:rsidR="002B3A8F" w:rsidRPr="003A0B2A">
        <w:rPr>
          <w:szCs w:val="20"/>
        </w:rPr>
        <w:t>Environment and Climate Action</w:t>
      </w:r>
      <w:r w:rsidRPr="003A0B2A">
        <w:rPr>
          <w:szCs w:val="20"/>
        </w:rPr>
        <w:t xml:space="preserve"> </w:t>
      </w:r>
      <w:r w:rsidR="00053A23" w:rsidRPr="003A0B2A">
        <w:rPr>
          <w:szCs w:val="20"/>
        </w:rPr>
        <w:t>(</w:t>
      </w:r>
      <w:r w:rsidR="002B3A8F" w:rsidRPr="003A0B2A">
        <w:rPr>
          <w:szCs w:val="20"/>
        </w:rPr>
        <w:t>DEECA</w:t>
      </w:r>
      <w:r w:rsidR="00053A23" w:rsidRPr="003A0B2A">
        <w:rPr>
          <w:szCs w:val="20"/>
        </w:rPr>
        <w:t xml:space="preserve">) </w:t>
      </w:r>
      <w:r w:rsidRPr="003A0B2A">
        <w:rPr>
          <w:szCs w:val="20"/>
        </w:rPr>
        <w:t>202</w:t>
      </w:r>
      <w:r w:rsidR="003833C1">
        <w:rPr>
          <w:szCs w:val="20"/>
        </w:rPr>
        <w:t>5</w:t>
      </w:r>
      <w:r w:rsidRPr="003A0B2A">
        <w:rPr>
          <w:szCs w:val="20"/>
        </w:rPr>
        <w:t xml:space="preserve">. © The State of Victoria </w:t>
      </w:r>
      <w:r w:rsidR="003A0B2A" w:rsidRPr="003A0B2A">
        <w:rPr>
          <w:szCs w:val="20"/>
        </w:rPr>
        <w:t xml:space="preserve">Department of Energy, Environment and Climate Action </w:t>
      </w:r>
      <w:r w:rsidRPr="003A0B2A">
        <w:rPr>
          <w:szCs w:val="20"/>
        </w:rPr>
        <w:t>202</w:t>
      </w:r>
      <w:r w:rsidR="003833C1">
        <w:rPr>
          <w:szCs w:val="20"/>
        </w:rPr>
        <w:t>5</w:t>
      </w:r>
      <w:r w:rsidRPr="003A0B2A">
        <w:rPr>
          <w:szCs w:val="20"/>
        </w:rPr>
        <w:t>.</w:t>
      </w:r>
    </w:p>
    <w:p w14:paraId="4ECA6397" w14:textId="77777777" w:rsidR="00B401A5" w:rsidRPr="003910BE" w:rsidRDefault="00B401A5" w:rsidP="00B401A5">
      <w:pPr>
        <w:rPr>
          <w:szCs w:val="20"/>
        </w:rPr>
      </w:pPr>
      <w:r w:rsidRPr="003910BE">
        <w:rPr>
          <w:szCs w:val="20"/>
        </w:rPr>
        <w:t xml:space="preserve">This publication is copyright. No part may be reproduced by any process except in accordance with the provisions of the </w:t>
      </w:r>
      <w:r w:rsidRPr="00EE3D1B">
        <w:rPr>
          <w:i/>
          <w:szCs w:val="20"/>
        </w:rPr>
        <w:t>Copyright Act 1968</w:t>
      </w:r>
      <w:r w:rsidRPr="003910BE">
        <w:rPr>
          <w:szCs w:val="20"/>
        </w:rPr>
        <w:t>.</w:t>
      </w:r>
    </w:p>
    <w:p w14:paraId="455B82C7" w14:textId="6732B0A6" w:rsidR="00B401A5" w:rsidRPr="003910BE" w:rsidRDefault="00B401A5" w:rsidP="00B401A5">
      <w:pPr>
        <w:rPr>
          <w:szCs w:val="20"/>
        </w:rPr>
      </w:pPr>
      <w:r w:rsidRPr="003910BE">
        <w:rPr>
          <w:szCs w:val="20"/>
        </w:rPr>
        <w:t xml:space="preserve">For more information contact the </w:t>
      </w:r>
      <w:r w:rsidR="00532D76">
        <w:rPr>
          <w:szCs w:val="20"/>
        </w:rPr>
        <w:t>Agriculture Victoria</w:t>
      </w:r>
      <w:r w:rsidR="00532D76" w:rsidRPr="003910BE">
        <w:rPr>
          <w:szCs w:val="20"/>
        </w:rPr>
        <w:t xml:space="preserve"> </w:t>
      </w:r>
      <w:r w:rsidRPr="003910BE">
        <w:rPr>
          <w:szCs w:val="20"/>
        </w:rPr>
        <w:t xml:space="preserve">Customer Service Centre </w:t>
      </w:r>
      <w:r w:rsidR="00532D76">
        <w:rPr>
          <w:szCs w:val="20"/>
        </w:rPr>
        <w:t xml:space="preserve">on </w:t>
      </w:r>
      <w:r w:rsidRPr="003910BE">
        <w:rPr>
          <w:szCs w:val="20"/>
        </w:rPr>
        <w:t>136 186.</w:t>
      </w:r>
    </w:p>
    <w:p w14:paraId="62B4EDD9" w14:textId="77777777" w:rsidR="00B401A5" w:rsidRDefault="00B401A5" w:rsidP="00B401A5">
      <w:pPr>
        <w:rPr>
          <w:rStyle w:val="Strong"/>
        </w:rPr>
      </w:pPr>
    </w:p>
    <w:p w14:paraId="52158AB4" w14:textId="77777777" w:rsidR="00B401A5" w:rsidRDefault="00B401A5" w:rsidP="00B401A5">
      <w:pPr>
        <w:rPr>
          <w:rStyle w:val="Strong"/>
        </w:rPr>
      </w:pPr>
    </w:p>
    <w:p w14:paraId="1F76F24F" w14:textId="77777777" w:rsidR="00B401A5" w:rsidRDefault="00B401A5" w:rsidP="00B401A5">
      <w:pPr>
        <w:rPr>
          <w:rStyle w:val="Strong"/>
        </w:rPr>
      </w:pPr>
    </w:p>
    <w:p w14:paraId="332F8AA0" w14:textId="08AD0D2A" w:rsidR="00B401A5" w:rsidRPr="003910BE" w:rsidRDefault="00B401A5" w:rsidP="00B401A5">
      <w:pPr>
        <w:rPr>
          <w:rStyle w:val="Strong"/>
        </w:rPr>
      </w:pPr>
      <w:r w:rsidRPr="003910BE">
        <w:rPr>
          <w:rStyle w:val="Strong"/>
        </w:rPr>
        <w:t>Disclaimer</w:t>
      </w:r>
    </w:p>
    <w:p w14:paraId="41E5ED7F" w14:textId="77777777" w:rsidR="00B401A5" w:rsidRPr="003910BE" w:rsidRDefault="00B401A5" w:rsidP="00B401A5">
      <w:pPr>
        <w:rPr>
          <w:szCs w:val="20"/>
        </w:rPr>
      </w:pPr>
      <w:r w:rsidRPr="003910BE">
        <w:rPr>
          <w:szCs w:val="20"/>
        </w:rPr>
        <w:t xml:space="preserve">This publication may be of assistance to you, but the State of Victoria and its employees do not guarantee that the publication is without flaw of any kind or is wholly appropriate for your </w:t>
      </w:r>
      <w:proofErr w:type="gramStart"/>
      <w:r w:rsidRPr="003910BE">
        <w:rPr>
          <w:szCs w:val="20"/>
        </w:rPr>
        <w:t>particular purposes</w:t>
      </w:r>
      <w:proofErr w:type="gramEnd"/>
      <w:r w:rsidRPr="003910BE">
        <w:rPr>
          <w:szCs w:val="20"/>
        </w:rPr>
        <w:t xml:space="preserve"> and therefore disclaims all liability for any error, loss or other consequence which may arise from you relying on any information in this publication.</w:t>
      </w:r>
    </w:p>
    <w:p w14:paraId="2CD50505" w14:textId="77777777" w:rsidR="00B401A5" w:rsidRPr="003910BE" w:rsidRDefault="00B401A5" w:rsidP="00B401A5">
      <w:pPr>
        <w:rPr>
          <w:rStyle w:val="Strong"/>
        </w:rPr>
      </w:pPr>
      <w:r w:rsidRPr="003910BE">
        <w:rPr>
          <w:rStyle w:val="Strong"/>
        </w:rPr>
        <w:t>Accessibility</w:t>
      </w:r>
    </w:p>
    <w:p w14:paraId="032E492B" w14:textId="77777777" w:rsidR="00B401A5" w:rsidRPr="003910BE" w:rsidRDefault="00B401A5" w:rsidP="00B401A5">
      <w:pPr>
        <w:rPr>
          <w:szCs w:val="20"/>
        </w:rPr>
      </w:pPr>
      <w:r w:rsidRPr="003910BE">
        <w:rPr>
          <w:szCs w:val="20"/>
        </w:rPr>
        <w:t>If you would like to receive this publication in an accessible format, such as large print or audio, please telephone 136 186.</w:t>
      </w:r>
    </w:p>
    <w:p w14:paraId="21B99A84" w14:textId="77777777" w:rsidR="00B401A5" w:rsidRPr="003910BE" w:rsidRDefault="00B401A5" w:rsidP="00B401A5">
      <w:pPr>
        <w:rPr>
          <w:szCs w:val="20"/>
        </w:rPr>
      </w:pPr>
      <w:r w:rsidRPr="003910BE">
        <w:rPr>
          <w:szCs w:val="20"/>
        </w:rPr>
        <w:t>Deaf, hearing impaired or speech impaired? Call us via the National Relay Service on 133 677 or visit www. relayservice.com.au</w:t>
      </w:r>
    </w:p>
    <w:p w14:paraId="68696DA7" w14:textId="7B56E68E" w:rsidR="00B401A5" w:rsidRPr="003910BE" w:rsidRDefault="00B401A5" w:rsidP="00B401A5">
      <w:pPr>
        <w:rPr>
          <w:szCs w:val="20"/>
        </w:rPr>
      </w:pPr>
      <w:r w:rsidRPr="003910BE">
        <w:rPr>
          <w:szCs w:val="20"/>
        </w:rPr>
        <w:t xml:space="preserve">This document is also available on the </w:t>
      </w:r>
      <w:hyperlink r:id="rId14" w:history="1">
        <w:r w:rsidRPr="003910BE">
          <w:rPr>
            <w:rStyle w:val="Hyperlink"/>
            <w:szCs w:val="20"/>
          </w:rPr>
          <w:t>Agriculture Victoria</w:t>
        </w:r>
      </w:hyperlink>
      <w:r w:rsidRPr="003910BE">
        <w:rPr>
          <w:szCs w:val="20"/>
        </w:rPr>
        <w:t xml:space="preserve"> website. </w:t>
      </w:r>
    </w:p>
    <w:p w14:paraId="2FA09D40" w14:textId="77777777" w:rsidR="00B401A5" w:rsidRPr="003910BE" w:rsidRDefault="00B401A5" w:rsidP="00B401A5">
      <w:pPr>
        <w:rPr>
          <w:szCs w:val="20"/>
        </w:rPr>
      </w:pPr>
    </w:p>
    <w:p w14:paraId="7DC9C111" w14:textId="77777777" w:rsidR="00B469C5" w:rsidRDefault="0011151A" w:rsidP="005D328B">
      <w:pPr>
        <w:rPr>
          <w:szCs w:val="20"/>
        </w:rPr>
      </w:pPr>
      <w:r>
        <w:rPr>
          <w:szCs w:val="20"/>
        </w:rPr>
        <w:br w:type="page"/>
      </w:r>
    </w:p>
    <w:p w14:paraId="05794B9E" w14:textId="77777777" w:rsidR="00652A32" w:rsidRDefault="00652A32" w:rsidP="005D328B">
      <w:pPr>
        <w:rPr>
          <w:szCs w:val="20"/>
        </w:rPr>
        <w:sectPr w:rsidR="00652A32" w:rsidSect="0011151A">
          <w:headerReference w:type="default" r:id="rId15"/>
          <w:footerReference w:type="even" r:id="rId16"/>
          <w:footerReference w:type="default" r:id="rId17"/>
          <w:footerReference w:type="first" r:id="rId18"/>
          <w:pgSz w:w="11906" w:h="16838"/>
          <w:pgMar w:top="1440" w:right="1440" w:bottom="1440" w:left="1440" w:header="708" w:footer="708" w:gutter="0"/>
          <w:cols w:num="2" w:space="708"/>
          <w:docGrid w:linePitch="360"/>
        </w:sectPr>
      </w:pPr>
    </w:p>
    <w:p w14:paraId="3F52D5F9" w14:textId="708A86B0" w:rsidR="001F4455" w:rsidRDefault="001F4455" w:rsidP="005D328B">
      <w:pPr>
        <w:rPr>
          <w:szCs w:val="20"/>
        </w:rPr>
      </w:pPr>
    </w:p>
    <w:sdt>
      <w:sdtPr>
        <w:rPr>
          <w:rFonts w:ascii="VIC" w:eastAsiaTheme="minorEastAsia" w:hAnsi="VIC" w:cstheme="minorBidi"/>
          <w:color w:val="auto"/>
          <w:sz w:val="20"/>
          <w:szCs w:val="20"/>
          <w:lang w:val="en-AU"/>
        </w:rPr>
        <w:id w:val="560293504"/>
        <w:docPartObj>
          <w:docPartGallery w:val="Table of Contents"/>
          <w:docPartUnique/>
        </w:docPartObj>
      </w:sdtPr>
      <w:sdtEndPr>
        <w:rPr>
          <w:b/>
          <w:bCs/>
        </w:rPr>
      </w:sdtEndPr>
      <w:sdtContent>
        <w:p w14:paraId="7B3D2658" w14:textId="050AF702" w:rsidR="001F4455" w:rsidRDefault="001F4455">
          <w:pPr>
            <w:pStyle w:val="TOCHeading"/>
          </w:pPr>
          <w:r>
            <w:t>Contents</w:t>
          </w:r>
        </w:p>
        <w:p w14:paraId="11FD5A2F" w14:textId="4E9BB956" w:rsidR="00874FFA" w:rsidRDefault="001F4455">
          <w:pPr>
            <w:pStyle w:val="TOC1"/>
            <w:tabs>
              <w:tab w:val="right" w:leader="dot" w:pos="9016"/>
            </w:tabs>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214610562" w:history="1">
            <w:r w:rsidR="00874FFA" w:rsidRPr="00F53C20">
              <w:rPr>
                <w:rStyle w:val="Hyperlink"/>
                <w:b/>
                <w:noProof/>
              </w:rPr>
              <w:t>Livestock Farm Monitor Project</w:t>
            </w:r>
            <w:r w:rsidR="00874FFA">
              <w:rPr>
                <w:noProof/>
                <w:webHidden/>
              </w:rPr>
              <w:tab/>
            </w:r>
            <w:r w:rsidR="00874FFA">
              <w:rPr>
                <w:noProof/>
                <w:webHidden/>
              </w:rPr>
              <w:fldChar w:fldCharType="begin"/>
            </w:r>
            <w:r w:rsidR="00874FFA">
              <w:rPr>
                <w:noProof/>
                <w:webHidden/>
              </w:rPr>
              <w:instrText xml:space="preserve"> PAGEREF _Toc214610562 \h </w:instrText>
            </w:r>
            <w:r w:rsidR="00874FFA">
              <w:rPr>
                <w:noProof/>
                <w:webHidden/>
              </w:rPr>
            </w:r>
            <w:r w:rsidR="00874FFA">
              <w:rPr>
                <w:noProof/>
                <w:webHidden/>
              </w:rPr>
              <w:fldChar w:fldCharType="separate"/>
            </w:r>
            <w:r w:rsidR="00874FFA">
              <w:rPr>
                <w:noProof/>
                <w:webHidden/>
              </w:rPr>
              <w:t>1</w:t>
            </w:r>
            <w:r w:rsidR="00874FFA">
              <w:rPr>
                <w:noProof/>
                <w:webHidden/>
              </w:rPr>
              <w:fldChar w:fldCharType="end"/>
            </w:r>
          </w:hyperlink>
        </w:p>
        <w:p w14:paraId="3F796FCD" w14:textId="7C8A75B7" w:rsidR="00874FFA" w:rsidRDefault="00874FFA">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14610563" w:history="1">
            <w:r w:rsidRPr="00F53C20">
              <w:rPr>
                <w:rStyle w:val="Hyperlink"/>
                <w:noProof/>
              </w:rPr>
              <w:t>Stat</w:t>
            </w:r>
            <w:r w:rsidRPr="00F53C20">
              <w:rPr>
                <w:rStyle w:val="Hyperlink"/>
                <w:bCs/>
                <w:noProof/>
              </w:rPr>
              <w:t>e summary</w:t>
            </w:r>
            <w:r>
              <w:rPr>
                <w:noProof/>
                <w:webHidden/>
              </w:rPr>
              <w:tab/>
            </w:r>
            <w:r>
              <w:rPr>
                <w:noProof/>
                <w:webHidden/>
              </w:rPr>
              <w:fldChar w:fldCharType="begin"/>
            </w:r>
            <w:r>
              <w:rPr>
                <w:noProof/>
                <w:webHidden/>
              </w:rPr>
              <w:instrText xml:space="preserve"> PAGEREF _Toc214610563 \h </w:instrText>
            </w:r>
            <w:r>
              <w:rPr>
                <w:noProof/>
                <w:webHidden/>
              </w:rPr>
            </w:r>
            <w:r>
              <w:rPr>
                <w:noProof/>
                <w:webHidden/>
              </w:rPr>
              <w:fldChar w:fldCharType="separate"/>
            </w:r>
            <w:r>
              <w:rPr>
                <w:noProof/>
                <w:webHidden/>
              </w:rPr>
              <w:t>5</w:t>
            </w:r>
            <w:r>
              <w:rPr>
                <w:noProof/>
                <w:webHidden/>
              </w:rPr>
              <w:fldChar w:fldCharType="end"/>
            </w:r>
          </w:hyperlink>
        </w:p>
        <w:p w14:paraId="30C2E430" w14:textId="42AD9E80"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64" w:history="1">
            <w:r w:rsidRPr="00F53C20">
              <w:rPr>
                <w:rStyle w:val="Hyperlink"/>
                <w:b/>
                <w:bCs/>
                <w:noProof/>
              </w:rPr>
              <w:t>Business profit and returns</w:t>
            </w:r>
            <w:r>
              <w:rPr>
                <w:noProof/>
                <w:webHidden/>
              </w:rPr>
              <w:tab/>
            </w:r>
            <w:r>
              <w:rPr>
                <w:noProof/>
                <w:webHidden/>
              </w:rPr>
              <w:fldChar w:fldCharType="begin"/>
            </w:r>
            <w:r>
              <w:rPr>
                <w:noProof/>
                <w:webHidden/>
              </w:rPr>
              <w:instrText xml:space="preserve"> PAGEREF _Toc214610564 \h </w:instrText>
            </w:r>
            <w:r>
              <w:rPr>
                <w:noProof/>
                <w:webHidden/>
              </w:rPr>
            </w:r>
            <w:r>
              <w:rPr>
                <w:noProof/>
                <w:webHidden/>
              </w:rPr>
              <w:fldChar w:fldCharType="separate"/>
            </w:r>
            <w:r>
              <w:rPr>
                <w:noProof/>
                <w:webHidden/>
              </w:rPr>
              <w:t>6</w:t>
            </w:r>
            <w:r>
              <w:rPr>
                <w:noProof/>
                <w:webHidden/>
              </w:rPr>
              <w:fldChar w:fldCharType="end"/>
            </w:r>
          </w:hyperlink>
        </w:p>
        <w:p w14:paraId="3FB8E1AD" w14:textId="1FB5FEDC"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65" w:history="1">
            <w:r w:rsidRPr="00F53C20">
              <w:rPr>
                <w:rStyle w:val="Hyperlink"/>
                <w:b/>
                <w:noProof/>
              </w:rPr>
              <w:t>Average performance measures</w:t>
            </w:r>
            <w:r>
              <w:rPr>
                <w:noProof/>
                <w:webHidden/>
              </w:rPr>
              <w:tab/>
            </w:r>
            <w:r>
              <w:rPr>
                <w:noProof/>
                <w:webHidden/>
              </w:rPr>
              <w:fldChar w:fldCharType="begin"/>
            </w:r>
            <w:r>
              <w:rPr>
                <w:noProof/>
                <w:webHidden/>
              </w:rPr>
              <w:instrText xml:space="preserve"> PAGEREF _Toc214610565 \h </w:instrText>
            </w:r>
            <w:r>
              <w:rPr>
                <w:noProof/>
                <w:webHidden/>
              </w:rPr>
            </w:r>
            <w:r>
              <w:rPr>
                <w:noProof/>
                <w:webHidden/>
              </w:rPr>
              <w:fldChar w:fldCharType="separate"/>
            </w:r>
            <w:r>
              <w:rPr>
                <w:noProof/>
                <w:webHidden/>
              </w:rPr>
              <w:t>7</w:t>
            </w:r>
            <w:r>
              <w:rPr>
                <w:noProof/>
                <w:webHidden/>
              </w:rPr>
              <w:fldChar w:fldCharType="end"/>
            </w:r>
          </w:hyperlink>
        </w:p>
        <w:p w14:paraId="32B67454" w14:textId="08097603"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66" w:history="1">
            <w:r w:rsidRPr="00F53C20">
              <w:rPr>
                <w:rStyle w:val="Hyperlink"/>
                <w:b/>
                <w:noProof/>
              </w:rPr>
              <w:t>Feed costs and m</w:t>
            </w:r>
            <w:r w:rsidRPr="00F53C20">
              <w:rPr>
                <w:rStyle w:val="Hyperlink"/>
                <w:b/>
                <w:bCs/>
                <w:noProof/>
              </w:rPr>
              <w:t>anagement decisions</w:t>
            </w:r>
            <w:r>
              <w:rPr>
                <w:noProof/>
                <w:webHidden/>
              </w:rPr>
              <w:tab/>
            </w:r>
            <w:r>
              <w:rPr>
                <w:noProof/>
                <w:webHidden/>
              </w:rPr>
              <w:fldChar w:fldCharType="begin"/>
            </w:r>
            <w:r>
              <w:rPr>
                <w:noProof/>
                <w:webHidden/>
              </w:rPr>
              <w:instrText xml:space="preserve"> PAGEREF _Toc214610566 \h </w:instrText>
            </w:r>
            <w:r>
              <w:rPr>
                <w:noProof/>
                <w:webHidden/>
              </w:rPr>
            </w:r>
            <w:r>
              <w:rPr>
                <w:noProof/>
                <w:webHidden/>
              </w:rPr>
              <w:fldChar w:fldCharType="separate"/>
            </w:r>
            <w:r>
              <w:rPr>
                <w:noProof/>
                <w:webHidden/>
              </w:rPr>
              <w:t>7</w:t>
            </w:r>
            <w:r>
              <w:rPr>
                <w:noProof/>
                <w:webHidden/>
              </w:rPr>
              <w:fldChar w:fldCharType="end"/>
            </w:r>
          </w:hyperlink>
        </w:p>
        <w:p w14:paraId="1C998320" w14:textId="39A88E5F"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67" w:history="1">
            <w:r w:rsidRPr="00F53C20">
              <w:rPr>
                <w:rStyle w:val="Hyperlink"/>
                <w:b/>
                <w:bCs/>
                <w:noProof/>
              </w:rPr>
              <w:t>Debt</w:t>
            </w:r>
            <w:r>
              <w:rPr>
                <w:noProof/>
                <w:webHidden/>
              </w:rPr>
              <w:tab/>
            </w:r>
            <w:r>
              <w:rPr>
                <w:noProof/>
                <w:webHidden/>
              </w:rPr>
              <w:fldChar w:fldCharType="begin"/>
            </w:r>
            <w:r>
              <w:rPr>
                <w:noProof/>
                <w:webHidden/>
              </w:rPr>
              <w:instrText xml:space="preserve"> PAGEREF _Toc214610567 \h </w:instrText>
            </w:r>
            <w:r>
              <w:rPr>
                <w:noProof/>
                <w:webHidden/>
              </w:rPr>
            </w:r>
            <w:r>
              <w:rPr>
                <w:noProof/>
                <w:webHidden/>
              </w:rPr>
              <w:fldChar w:fldCharType="separate"/>
            </w:r>
            <w:r>
              <w:rPr>
                <w:noProof/>
                <w:webHidden/>
              </w:rPr>
              <w:t>9</w:t>
            </w:r>
            <w:r>
              <w:rPr>
                <w:noProof/>
                <w:webHidden/>
              </w:rPr>
              <w:fldChar w:fldCharType="end"/>
            </w:r>
          </w:hyperlink>
        </w:p>
        <w:p w14:paraId="4848167A" w14:textId="21B9067D"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68" w:history="1">
            <w:r w:rsidRPr="00F53C20">
              <w:rPr>
                <w:rStyle w:val="Hyperlink"/>
                <w:b/>
                <w:bCs/>
                <w:noProof/>
              </w:rPr>
              <w:t>Debt servicing</w:t>
            </w:r>
            <w:r>
              <w:rPr>
                <w:noProof/>
                <w:webHidden/>
              </w:rPr>
              <w:tab/>
            </w:r>
            <w:r>
              <w:rPr>
                <w:noProof/>
                <w:webHidden/>
              </w:rPr>
              <w:fldChar w:fldCharType="begin"/>
            </w:r>
            <w:r>
              <w:rPr>
                <w:noProof/>
                <w:webHidden/>
              </w:rPr>
              <w:instrText xml:space="preserve"> PAGEREF _Toc214610568 \h </w:instrText>
            </w:r>
            <w:r>
              <w:rPr>
                <w:noProof/>
                <w:webHidden/>
              </w:rPr>
            </w:r>
            <w:r>
              <w:rPr>
                <w:noProof/>
                <w:webHidden/>
              </w:rPr>
              <w:fldChar w:fldCharType="separate"/>
            </w:r>
            <w:r>
              <w:rPr>
                <w:noProof/>
                <w:webHidden/>
              </w:rPr>
              <w:t>9</w:t>
            </w:r>
            <w:r>
              <w:rPr>
                <w:noProof/>
                <w:webHidden/>
              </w:rPr>
              <w:fldChar w:fldCharType="end"/>
            </w:r>
          </w:hyperlink>
        </w:p>
        <w:p w14:paraId="10931479" w14:textId="32084F71"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69" w:history="1">
            <w:r w:rsidRPr="00F53C20">
              <w:rPr>
                <w:rStyle w:val="Hyperlink"/>
                <w:b/>
                <w:bCs/>
                <w:noProof/>
              </w:rPr>
              <w:t>The effect of farm debt on risk and return</w:t>
            </w:r>
            <w:r>
              <w:rPr>
                <w:noProof/>
                <w:webHidden/>
              </w:rPr>
              <w:tab/>
            </w:r>
            <w:r>
              <w:rPr>
                <w:noProof/>
                <w:webHidden/>
              </w:rPr>
              <w:fldChar w:fldCharType="begin"/>
            </w:r>
            <w:r>
              <w:rPr>
                <w:noProof/>
                <w:webHidden/>
              </w:rPr>
              <w:instrText xml:space="preserve"> PAGEREF _Toc214610569 \h </w:instrText>
            </w:r>
            <w:r>
              <w:rPr>
                <w:noProof/>
                <w:webHidden/>
              </w:rPr>
            </w:r>
            <w:r>
              <w:rPr>
                <w:noProof/>
                <w:webHidden/>
              </w:rPr>
              <w:fldChar w:fldCharType="separate"/>
            </w:r>
            <w:r>
              <w:rPr>
                <w:noProof/>
                <w:webHidden/>
              </w:rPr>
              <w:t>10</w:t>
            </w:r>
            <w:r>
              <w:rPr>
                <w:noProof/>
                <w:webHidden/>
              </w:rPr>
              <w:fldChar w:fldCharType="end"/>
            </w:r>
          </w:hyperlink>
        </w:p>
        <w:p w14:paraId="75852ABD" w14:textId="3BD77385" w:rsidR="00874FFA" w:rsidRDefault="00874FFA">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14610570" w:history="1">
            <w:r w:rsidRPr="00F53C20">
              <w:rPr>
                <w:rStyle w:val="Hyperlink"/>
                <w:bCs/>
                <w:noProof/>
              </w:rPr>
              <w:t>Gippsland</w:t>
            </w:r>
            <w:r>
              <w:rPr>
                <w:noProof/>
                <w:webHidden/>
              </w:rPr>
              <w:tab/>
            </w:r>
            <w:r>
              <w:rPr>
                <w:noProof/>
                <w:webHidden/>
              </w:rPr>
              <w:fldChar w:fldCharType="begin"/>
            </w:r>
            <w:r>
              <w:rPr>
                <w:noProof/>
                <w:webHidden/>
              </w:rPr>
              <w:instrText xml:space="preserve"> PAGEREF _Toc214610570 \h </w:instrText>
            </w:r>
            <w:r>
              <w:rPr>
                <w:noProof/>
                <w:webHidden/>
              </w:rPr>
            </w:r>
            <w:r>
              <w:rPr>
                <w:noProof/>
                <w:webHidden/>
              </w:rPr>
              <w:fldChar w:fldCharType="separate"/>
            </w:r>
            <w:r>
              <w:rPr>
                <w:noProof/>
                <w:webHidden/>
              </w:rPr>
              <w:t>11</w:t>
            </w:r>
            <w:r>
              <w:rPr>
                <w:noProof/>
                <w:webHidden/>
              </w:rPr>
              <w:fldChar w:fldCharType="end"/>
            </w:r>
          </w:hyperlink>
        </w:p>
        <w:p w14:paraId="10C58B20" w14:textId="2AB65A7C"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71" w:history="1">
            <w:r w:rsidRPr="00F53C20">
              <w:rPr>
                <w:rStyle w:val="Hyperlink"/>
                <w:b/>
                <w:bCs/>
                <w:noProof/>
              </w:rPr>
              <w:t>Gross margins</w:t>
            </w:r>
            <w:r>
              <w:rPr>
                <w:noProof/>
                <w:webHidden/>
              </w:rPr>
              <w:tab/>
            </w:r>
            <w:r>
              <w:rPr>
                <w:noProof/>
                <w:webHidden/>
              </w:rPr>
              <w:fldChar w:fldCharType="begin"/>
            </w:r>
            <w:r>
              <w:rPr>
                <w:noProof/>
                <w:webHidden/>
              </w:rPr>
              <w:instrText xml:space="preserve"> PAGEREF _Toc214610571 \h </w:instrText>
            </w:r>
            <w:r>
              <w:rPr>
                <w:noProof/>
                <w:webHidden/>
              </w:rPr>
            </w:r>
            <w:r>
              <w:rPr>
                <w:noProof/>
                <w:webHidden/>
              </w:rPr>
              <w:fldChar w:fldCharType="separate"/>
            </w:r>
            <w:r>
              <w:rPr>
                <w:noProof/>
                <w:webHidden/>
              </w:rPr>
              <w:t>11</w:t>
            </w:r>
            <w:r>
              <w:rPr>
                <w:noProof/>
                <w:webHidden/>
              </w:rPr>
              <w:fldChar w:fldCharType="end"/>
            </w:r>
          </w:hyperlink>
        </w:p>
        <w:p w14:paraId="057704D9" w14:textId="6BA9E2E2"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72" w:history="1">
            <w:r w:rsidRPr="00F53C20">
              <w:rPr>
                <w:rStyle w:val="Hyperlink"/>
                <w:b/>
                <w:bCs/>
                <w:noProof/>
                <w:lang w:val="fr-FR"/>
              </w:rPr>
              <w:t>Costs</w:t>
            </w:r>
            <w:r>
              <w:rPr>
                <w:noProof/>
                <w:webHidden/>
              </w:rPr>
              <w:tab/>
            </w:r>
            <w:r>
              <w:rPr>
                <w:noProof/>
                <w:webHidden/>
              </w:rPr>
              <w:fldChar w:fldCharType="begin"/>
            </w:r>
            <w:r>
              <w:rPr>
                <w:noProof/>
                <w:webHidden/>
              </w:rPr>
              <w:instrText xml:space="preserve"> PAGEREF _Toc214610572 \h </w:instrText>
            </w:r>
            <w:r>
              <w:rPr>
                <w:noProof/>
                <w:webHidden/>
              </w:rPr>
            </w:r>
            <w:r>
              <w:rPr>
                <w:noProof/>
                <w:webHidden/>
              </w:rPr>
              <w:fldChar w:fldCharType="separate"/>
            </w:r>
            <w:r>
              <w:rPr>
                <w:noProof/>
                <w:webHidden/>
              </w:rPr>
              <w:t>11</w:t>
            </w:r>
            <w:r>
              <w:rPr>
                <w:noProof/>
                <w:webHidden/>
              </w:rPr>
              <w:fldChar w:fldCharType="end"/>
            </w:r>
          </w:hyperlink>
        </w:p>
        <w:p w14:paraId="4201B17A" w14:textId="7D75D1F3"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73" w:history="1">
            <w:r w:rsidRPr="00F53C20">
              <w:rPr>
                <w:rStyle w:val="Hyperlink"/>
                <w:b/>
                <w:bCs/>
                <w:noProof/>
              </w:rPr>
              <w:t>Price received</w:t>
            </w:r>
            <w:r>
              <w:rPr>
                <w:noProof/>
                <w:webHidden/>
              </w:rPr>
              <w:tab/>
            </w:r>
            <w:r>
              <w:rPr>
                <w:noProof/>
                <w:webHidden/>
              </w:rPr>
              <w:fldChar w:fldCharType="begin"/>
            </w:r>
            <w:r>
              <w:rPr>
                <w:noProof/>
                <w:webHidden/>
              </w:rPr>
              <w:instrText xml:space="preserve"> PAGEREF _Toc214610573 \h </w:instrText>
            </w:r>
            <w:r>
              <w:rPr>
                <w:noProof/>
                <w:webHidden/>
              </w:rPr>
            </w:r>
            <w:r>
              <w:rPr>
                <w:noProof/>
                <w:webHidden/>
              </w:rPr>
              <w:fldChar w:fldCharType="separate"/>
            </w:r>
            <w:r>
              <w:rPr>
                <w:noProof/>
                <w:webHidden/>
              </w:rPr>
              <w:t>12</w:t>
            </w:r>
            <w:r>
              <w:rPr>
                <w:noProof/>
                <w:webHidden/>
              </w:rPr>
              <w:fldChar w:fldCharType="end"/>
            </w:r>
          </w:hyperlink>
        </w:p>
        <w:p w14:paraId="56027B72" w14:textId="3B2FF75E"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74" w:history="1">
            <w:r w:rsidRPr="00F53C20">
              <w:rPr>
                <w:rStyle w:val="Hyperlink"/>
                <w:b/>
                <w:bCs/>
                <w:noProof/>
              </w:rPr>
              <w:t>Capital structure</w:t>
            </w:r>
            <w:r>
              <w:rPr>
                <w:noProof/>
                <w:webHidden/>
              </w:rPr>
              <w:tab/>
            </w:r>
            <w:r>
              <w:rPr>
                <w:noProof/>
                <w:webHidden/>
              </w:rPr>
              <w:fldChar w:fldCharType="begin"/>
            </w:r>
            <w:r>
              <w:rPr>
                <w:noProof/>
                <w:webHidden/>
              </w:rPr>
              <w:instrText xml:space="preserve"> PAGEREF _Toc214610574 \h </w:instrText>
            </w:r>
            <w:r>
              <w:rPr>
                <w:noProof/>
                <w:webHidden/>
              </w:rPr>
            </w:r>
            <w:r>
              <w:rPr>
                <w:noProof/>
                <w:webHidden/>
              </w:rPr>
              <w:fldChar w:fldCharType="separate"/>
            </w:r>
            <w:r>
              <w:rPr>
                <w:noProof/>
                <w:webHidden/>
              </w:rPr>
              <w:t>12</w:t>
            </w:r>
            <w:r>
              <w:rPr>
                <w:noProof/>
                <w:webHidden/>
              </w:rPr>
              <w:fldChar w:fldCharType="end"/>
            </w:r>
          </w:hyperlink>
        </w:p>
        <w:p w14:paraId="3846B45C" w14:textId="1ADEC719"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75" w:history="1">
            <w:r w:rsidRPr="00F53C20">
              <w:rPr>
                <w:rStyle w:val="Hyperlink"/>
                <w:b/>
                <w:bCs/>
                <w:noProof/>
              </w:rPr>
              <w:t>Return on assets and equity</w:t>
            </w:r>
            <w:r>
              <w:rPr>
                <w:noProof/>
                <w:webHidden/>
              </w:rPr>
              <w:tab/>
            </w:r>
            <w:r>
              <w:rPr>
                <w:noProof/>
                <w:webHidden/>
              </w:rPr>
              <w:fldChar w:fldCharType="begin"/>
            </w:r>
            <w:r>
              <w:rPr>
                <w:noProof/>
                <w:webHidden/>
              </w:rPr>
              <w:instrText xml:space="preserve"> PAGEREF _Toc214610575 \h </w:instrText>
            </w:r>
            <w:r>
              <w:rPr>
                <w:noProof/>
                <w:webHidden/>
              </w:rPr>
            </w:r>
            <w:r>
              <w:rPr>
                <w:noProof/>
                <w:webHidden/>
              </w:rPr>
              <w:fldChar w:fldCharType="separate"/>
            </w:r>
            <w:r>
              <w:rPr>
                <w:noProof/>
                <w:webHidden/>
              </w:rPr>
              <w:t>12</w:t>
            </w:r>
            <w:r>
              <w:rPr>
                <w:noProof/>
                <w:webHidden/>
              </w:rPr>
              <w:fldChar w:fldCharType="end"/>
            </w:r>
          </w:hyperlink>
        </w:p>
        <w:p w14:paraId="0B81EF23" w14:textId="6E91A973" w:rsidR="00874FFA" w:rsidRDefault="00874FFA">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14610576" w:history="1">
            <w:r w:rsidRPr="00F53C20">
              <w:rPr>
                <w:rStyle w:val="Hyperlink"/>
                <w:bCs/>
                <w:noProof/>
              </w:rPr>
              <w:t>Northern Victoria</w:t>
            </w:r>
            <w:r>
              <w:rPr>
                <w:noProof/>
                <w:webHidden/>
              </w:rPr>
              <w:tab/>
            </w:r>
            <w:r>
              <w:rPr>
                <w:noProof/>
                <w:webHidden/>
              </w:rPr>
              <w:fldChar w:fldCharType="begin"/>
            </w:r>
            <w:r>
              <w:rPr>
                <w:noProof/>
                <w:webHidden/>
              </w:rPr>
              <w:instrText xml:space="preserve"> PAGEREF _Toc214610576 \h </w:instrText>
            </w:r>
            <w:r>
              <w:rPr>
                <w:noProof/>
                <w:webHidden/>
              </w:rPr>
            </w:r>
            <w:r>
              <w:rPr>
                <w:noProof/>
                <w:webHidden/>
              </w:rPr>
              <w:fldChar w:fldCharType="separate"/>
            </w:r>
            <w:r>
              <w:rPr>
                <w:noProof/>
                <w:webHidden/>
              </w:rPr>
              <w:t>15</w:t>
            </w:r>
            <w:r>
              <w:rPr>
                <w:noProof/>
                <w:webHidden/>
              </w:rPr>
              <w:fldChar w:fldCharType="end"/>
            </w:r>
          </w:hyperlink>
        </w:p>
        <w:p w14:paraId="12BFD0A8" w14:textId="63A80834"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77" w:history="1">
            <w:r w:rsidRPr="00F53C20">
              <w:rPr>
                <w:rStyle w:val="Hyperlink"/>
                <w:b/>
                <w:bCs/>
                <w:noProof/>
              </w:rPr>
              <w:t>Gross margins</w:t>
            </w:r>
            <w:r>
              <w:rPr>
                <w:noProof/>
                <w:webHidden/>
              </w:rPr>
              <w:tab/>
            </w:r>
            <w:r>
              <w:rPr>
                <w:noProof/>
                <w:webHidden/>
              </w:rPr>
              <w:fldChar w:fldCharType="begin"/>
            </w:r>
            <w:r>
              <w:rPr>
                <w:noProof/>
                <w:webHidden/>
              </w:rPr>
              <w:instrText xml:space="preserve"> PAGEREF _Toc214610577 \h </w:instrText>
            </w:r>
            <w:r>
              <w:rPr>
                <w:noProof/>
                <w:webHidden/>
              </w:rPr>
            </w:r>
            <w:r>
              <w:rPr>
                <w:noProof/>
                <w:webHidden/>
              </w:rPr>
              <w:fldChar w:fldCharType="separate"/>
            </w:r>
            <w:r>
              <w:rPr>
                <w:noProof/>
                <w:webHidden/>
              </w:rPr>
              <w:t>15</w:t>
            </w:r>
            <w:r>
              <w:rPr>
                <w:noProof/>
                <w:webHidden/>
              </w:rPr>
              <w:fldChar w:fldCharType="end"/>
            </w:r>
          </w:hyperlink>
        </w:p>
        <w:p w14:paraId="63B486AF" w14:textId="4A322CF0"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78" w:history="1">
            <w:r w:rsidRPr="00F53C20">
              <w:rPr>
                <w:rStyle w:val="Hyperlink"/>
                <w:b/>
                <w:bCs/>
                <w:noProof/>
                <w:lang w:val="fr-FR"/>
              </w:rPr>
              <w:t>Costs</w:t>
            </w:r>
            <w:r>
              <w:rPr>
                <w:noProof/>
                <w:webHidden/>
              </w:rPr>
              <w:tab/>
            </w:r>
            <w:r>
              <w:rPr>
                <w:noProof/>
                <w:webHidden/>
              </w:rPr>
              <w:fldChar w:fldCharType="begin"/>
            </w:r>
            <w:r>
              <w:rPr>
                <w:noProof/>
                <w:webHidden/>
              </w:rPr>
              <w:instrText xml:space="preserve"> PAGEREF _Toc214610578 \h </w:instrText>
            </w:r>
            <w:r>
              <w:rPr>
                <w:noProof/>
                <w:webHidden/>
              </w:rPr>
            </w:r>
            <w:r>
              <w:rPr>
                <w:noProof/>
                <w:webHidden/>
              </w:rPr>
              <w:fldChar w:fldCharType="separate"/>
            </w:r>
            <w:r>
              <w:rPr>
                <w:noProof/>
                <w:webHidden/>
              </w:rPr>
              <w:t>15</w:t>
            </w:r>
            <w:r>
              <w:rPr>
                <w:noProof/>
                <w:webHidden/>
              </w:rPr>
              <w:fldChar w:fldCharType="end"/>
            </w:r>
          </w:hyperlink>
        </w:p>
        <w:p w14:paraId="1F9FD69F" w14:textId="59EFBFE1"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79" w:history="1">
            <w:r w:rsidRPr="00F53C20">
              <w:rPr>
                <w:rStyle w:val="Hyperlink"/>
                <w:b/>
                <w:bCs/>
                <w:noProof/>
              </w:rPr>
              <w:t>Price received</w:t>
            </w:r>
            <w:r>
              <w:rPr>
                <w:noProof/>
                <w:webHidden/>
              </w:rPr>
              <w:tab/>
            </w:r>
            <w:r>
              <w:rPr>
                <w:noProof/>
                <w:webHidden/>
              </w:rPr>
              <w:fldChar w:fldCharType="begin"/>
            </w:r>
            <w:r>
              <w:rPr>
                <w:noProof/>
                <w:webHidden/>
              </w:rPr>
              <w:instrText xml:space="preserve"> PAGEREF _Toc214610579 \h </w:instrText>
            </w:r>
            <w:r>
              <w:rPr>
                <w:noProof/>
                <w:webHidden/>
              </w:rPr>
            </w:r>
            <w:r>
              <w:rPr>
                <w:noProof/>
                <w:webHidden/>
              </w:rPr>
              <w:fldChar w:fldCharType="separate"/>
            </w:r>
            <w:r>
              <w:rPr>
                <w:noProof/>
                <w:webHidden/>
              </w:rPr>
              <w:t>16</w:t>
            </w:r>
            <w:r>
              <w:rPr>
                <w:noProof/>
                <w:webHidden/>
              </w:rPr>
              <w:fldChar w:fldCharType="end"/>
            </w:r>
          </w:hyperlink>
        </w:p>
        <w:p w14:paraId="51F94C94" w14:textId="03E4CE29"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80" w:history="1">
            <w:r w:rsidRPr="00F53C20">
              <w:rPr>
                <w:rStyle w:val="Hyperlink"/>
                <w:b/>
                <w:bCs/>
                <w:noProof/>
              </w:rPr>
              <w:t>Capital structure</w:t>
            </w:r>
            <w:r>
              <w:rPr>
                <w:noProof/>
                <w:webHidden/>
              </w:rPr>
              <w:tab/>
            </w:r>
            <w:r>
              <w:rPr>
                <w:noProof/>
                <w:webHidden/>
              </w:rPr>
              <w:fldChar w:fldCharType="begin"/>
            </w:r>
            <w:r>
              <w:rPr>
                <w:noProof/>
                <w:webHidden/>
              </w:rPr>
              <w:instrText xml:space="preserve"> PAGEREF _Toc214610580 \h </w:instrText>
            </w:r>
            <w:r>
              <w:rPr>
                <w:noProof/>
                <w:webHidden/>
              </w:rPr>
            </w:r>
            <w:r>
              <w:rPr>
                <w:noProof/>
                <w:webHidden/>
              </w:rPr>
              <w:fldChar w:fldCharType="separate"/>
            </w:r>
            <w:r>
              <w:rPr>
                <w:noProof/>
                <w:webHidden/>
              </w:rPr>
              <w:t>16</w:t>
            </w:r>
            <w:r>
              <w:rPr>
                <w:noProof/>
                <w:webHidden/>
              </w:rPr>
              <w:fldChar w:fldCharType="end"/>
            </w:r>
          </w:hyperlink>
        </w:p>
        <w:p w14:paraId="63FBBA28" w14:textId="6724622F"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81" w:history="1">
            <w:r w:rsidRPr="00F53C20">
              <w:rPr>
                <w:rStyle w:val="Hyperlink"/>
                <w:b/>
                <w:bCs/>
                <w:noProof/>
              </w:rPr>
              <w:t>Return on assets and equity</w:t>
            </w:r>
            <w:r>
              <w:rPr>
                <w:noProof/>
                <w:webHidden/>
              </w:rPr>
              <w:tab/>
            </w:r>
            <w:r>
              <w:rPr>
                <w:noProof/>
                <w:webHidden/>
              </w:rPr>
              <w:fldChar w:fldCharType="begin"/>
            </w:r>
            <w:r>
              <w:rPr>
                <w:noProof/>
                <w:webHidden/>
              </w:rPr>
              <w:instrText xml:space="preserve"> PAGEREF _Toc214610581 \h </w:instrText>
            </w:r>
            <w:r>
              <w:rPr>
                <w:noProof/>
                <w:webHidden/>
              </w:rPr>
            </w:r>
            <w:r>
              <w:rPr>
                <w:noProof/>
                <w:webHidden/>
              </w:rPr>
              <w:fldChar w:fldCharType="separate"/>
            </w:r>
            <w:r>
              <w:rPr>
                <w:noProof/>
                <w:webHidden/>
              </w:rPr>
              <w:t>17</w:t>
            </w:r>
            <w:r>
              <w:rPr>
                <w:noProof/>
                <w:webHidden/>
              </w:rPr>
              <w:fldChar w:fldCharType="end"/>
            </w:r>
          </w:hyperlink>
        </w:p>
        <w:p w14:paraId="4B217C0E" w14:textId="606DEC27" w:rsidR="00874FFA" w:rsidRDefault="00874FFA">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14610582" w:history="1">
            <w:r w:rsidRPr="00F53C20">
              <w:rPr>
                <w:rStyle w:val="Hyperlink"/>
                <w:bCs/>
                <w:noProof/>
              </w:rPr>
              <w:t>South West Victoria</w:t>
            </w:r>
            <w:r>
              <w:rPr>
                <w:noProof/>
                <w:webHidden/>
              </w:rPr>
              <w:tab/>
            </w:r>
            <w:r>
              <w:rPr>
                <w:noProof/>
                <w:webHidden/>
              </w:rPr>
              <w:fldChar w:fldCharType="begin"/>
            </w:r>
            <w:r>
              <w:rPr>
                <w:noProof/>
                <w:webHidden/>
              </w:rPr>
              <w:instrText xml:space="preserve"> PAGEREF _Toc214610582 \h </w:instrText>
            </w:r>
            <w:r>
              <w:rPr>
                <w:noProof/>
                <w:webHidden/>
              </w:rPr>
            </w:r>
            <w:r>
              <w:rPr>
                <w:noProof/>
                <w:webHidden/>
              </w:rPr>
              <w:fldChar w:fldCharType="separate"/>
            </w:r>
            <w:r>
              <w:rPr>
                <w:noProof/>
                <w:webHidden/>
              </w:rPr>
              <w:t>20</w:t>
            </w:r>
            <w:r>
              <w:rPr>
                <w:noProof/>
                <w:webHidden/>
              </w:rPr>
              <w:fldChar w:fldCharType="end"/>
            </w:r>
          </w:hyperlink>
        </w:p>
        <w:p w14:paraId="5EA0F1A9" w14:textId="2CEFE4CF"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83" w:history="1">
            <w:r w:rsidRPr="00F53C20">
              <w:rPr>
                <w:rStyle w:val="Hyperlink"/>
                <w:b/>
                <w:bCs/>
                <w:noProof/>
              </w:rPr>
              <w:t>Gross margins</w:t>
            </w:r>
            <w:r>
              <w:rPr>
                <w:noProof/>
                <w:webHidden/>
              </w:rPr>
              <w:tab/>
            </w:r>
            <w:r>
              <w:rPr>
                <w:noProof/>
                <w:webHidden/>
              </w:rPr>
              <w:fldChar w:fldCharType="begin"/>
            </w:r>
            <w:r>
              <w:rPr>
                <w:noProof/>
                <w:webHidden/>
              </w:rPr>
              <w:instrText xml:space="preserve"> PAGEREF _Toc214610583 \h </w:instrText>
            </w:r>
            <w:r>
              <w:rPr>
                <w:noProof/>
                <w:webHidden/>
              </w:rPr>
            </w:r>
            <w:r>
              <w:rPr>
                <w:noProof/>
                <w:webHidden/>
              </w:rPr>
              <w:fldChar w:fldCharType="separate"/>
            </w:r>
            <w:r>
              <w:rPr>
                <w:noProof/>
                <w:webHidden/>
              </w:rPr>
              <w:t>20</w:t>
            </w:r>
            <w:r>
              <w:rPr>
                <w:noProof/>
                <w:webHidden/>
              </w:rPr>
              <w:fldChar w:fldCharType="end"/>
            </w:r>
          </w:hyperlink>
        </w:p>
        <w:p w14:paraId="5F63D2A9" w14:textId="79ACFBFF"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84" w:history="1">
            <w:r w:rsidRPr="00F53C20">
              <w:rPr>
                <w:rStyle w:val="Hyperlink"/>
                <w:b/>
                <w:bCs/>
                <w:noProof/>
                <w:lang w:val="fr-FR"/>
              </w:rPr>
              <w:t>Costs</w:t>
            </w:r>
            <w:r>
              <w:rPr>
                <w:noProof/>
                <w:webHidden/>
              </w:rPr>
              <w:tab/>
            </w:r>
            <w:r>
              <w:rPr>
                <w:noProof/>
                <w:webHidden/>
              </w:rPr>
              <w:fldChar w:fldCharType="begin"/>
            </w:r>
            <w:r>
              <w:rPr>
                <w:noProof/>
                <w:webHidden/>
              </w:rPr>
              <w:instrText xml:space="preserve"> PAGEREF _Toc214610584 \h </w:instrText>
            </w:r>
            <w:r>
              <w:rPr>
                <w:noProof/>
                <w:webHidden/>
              </w:rPr>
            </w:r>
            <w:r>
              <w:rPr>
                <w:noProof/>
                <w:webHidden/>
              </w:rPr>
              <w:fldChar w:fldCharType="separate"/>
            </w:r>
            <w:r>
              <w:rPr>
                <w:noProof/>
                <w:webHidden/>
              </w:rPr>
              <w:t>20</w:t>
            </w:r>
            <w:r>
              <w:rPr>
                <w:noProof/>
                <w:webHidden/>
              </w:rPr>
              <w:fldChar w:fldCharType="end"/>
            </w:r>
          </w:hyperlink>
        </w:p>
        <w:p w14:paraId="13957750" w14:textId="17D512E9"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85" w:history="1">
            <w:r w:rsidRPr="00F53C20">
              <w:rPr>
                <w:rStyle w:val="Hyperlink"/>
                <w:b/>
                <w:bCs/>
                <w:noProof/>
              </w:rPr>
              <w:t>Price received</w:t>
            </w:r>
            <w:r>
              <w:rPr>
                <w:noProof/>
                <w:webHidden/>
              </w:rPr>
              <w:tab/>
            </w:r>
            <w:r>
              <w:rPr>
                <w:noProof/>
                <w:webHidden/>
              </w:rPr>
              <w:fldChar w:fldCharType="begin"/>
            </w:r>
            <w:r>
              <w:rPr>
                <w:noProof/>
                <w:webHidden/>
              </w:rPr>
              <w:instrText xml:space="preserve"> PAGEREF _Toc214610585 \h </w:instrText>
            </w:r>
            <w:r>
              <w:rPr>
                <w:noProof/>
                <w:webHidden/>
              </w:rPr>
            </w:r>
            <w:r>
              <w:rPr>
                <w:noProof/>
                <w:webHidden/>
              </w:rPr>
              <w:fldChar w:fldCharType="separate"/>
            </w:r>
            <w:r>
              <w:rPr>
                <w:noProof/>
                <w:webHidden/>
              </w:rPr>
              <w:t>21</w:t>
            </w:r>
            <w:r>
              <w:rPr>
                <w:noProof/>
                <w:webHidden/>
              </w:rPr>
              <w:fldChar w:fldCharType="end"/>
            </w:r>
          </w:hyperlink>
        </w:p>
        <w:p w14:paraId="680EEA56" w14:textId="004734DA"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86" w:history="1">
            <w:r w:rsidRPr="00F53C20">
              <w:rPr>
                <w:rStyle w:val="Hyperlink"/>
                <w:b/>
                <w:bCs/>
                <w:noProof/>
              </w:rPr>
              <w:t>Capital structure</w:t>
            </w:r>
            <w:r>
              <w:rPr>
                <w:noProof/>
                <w:webHidden/>
              </w:rPr>
              <w:tab/>
            </w:r>
            <w:r>
              <w:rPr>
                <w:noProof/>
                <w:webHidden/>
              </w:rPr>
              <w:fldChar w:fldCharType="begin"/>
            </w:r>
            <w:r>
              <w:rPr>
                <w:noProof/>
                <w:webHidden/>
              </w:rPr>
              <w:instrText xml:space="preserve"> PAGEREF _Toc214610586 \h </w:instrText>
            </w:r>
            <w:r>
              <w:rPr>
                <w:noProof/>
                <w:webHidden/>
              </w:rPr>
            </w:r>
            <w:r>
              <w:rPr>
                <w:noProof/>
                <w:webHidden/>
              </w:rPr>
              <w:fldChar w:fldCharType="separate"/>
            </w:r>
            <w:r>
              <w:rPr>
                <w:noProof/>
                <w:webHidden/>
              </w:rPr>
              <w:t>22</w:t>
            </w:r>
            <w:r>
              <w:rPr>
                <w:noProof/>
                <w:webHidden/>
              </w:rPr>
              <w:fldChar w:fldCharType="end"/>
            </w:r>
          </w:hyperlink>
        </w:p>
        <w:p w14:paraId="1F40E0E0" w14:textId="49A2AC06"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87" w:history="1">
            <w:r w:rsidRPr="00F53C20">
              <w:rPr>
                <w:rStyle w:val="Hyperlink"/>
                <w:b/>
                <w:bCs/>
                <w:noProof/>
              </w:rPr>
              <w:t>Return on assets and equity</w:t>
            </w:r>
            <w:r>
              <w:rPr>
                <w:noProof/>
                <w:webHidden/>
              </w:rPr>
              <w:tab/>
            </w:r>
            <w:r>
              <w:rPr>
                <w:noProof/>
                <w:webHidden/>
              </w:rPr>
              <w:fldChar w:fldCharType="begin"/>
            </w:r>
            <w:r>
              <w:rPr>
                <w:noProof/>
                <w:webHidden/>
              </w:rPr>
              <w:instrText xml:space="preserve"> PAGEREF _Toc214610587 \h </w:instrText>
            </w:r>
            <w:r>
              <w:rPr>
                <w:noProof/>
                <w:webHidden/>
              </w:rPr>
            </w:r>
            <w:r>
              <w:rPr>
                <w:noProof/>
                <w:webHidden/>
              </w:rPr>
              <w:fldChar w:fldCharType="separate"/>
            </w:r>
            <w:r>
              <w:rPr>
                <w:noProof/>
                <w:webHidden/>
              </w:rPr>
              <w:t>22</w:t>
            </w:r>
            <w:r>
              <w:rPr>
                <w:noProof/>
                <w:webHidden/>
              </w:rPr>
              <w:fldChar w:fldCharType="end"/>
            </w:r>
          </w:hyperlink>
        </w:p>
        <w:p w14:paraId="16FFBFFA" w14:textId="36612794" w:rsidR="00874FFA" w:rsidRDefault="00874FFA">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14610588" w:history="1">
            <w:r w:rsidRPr="00F53C20">
              <w:rPr>
                <w:rStyle w:val="Hyperlink"/>
                <w:rFonts w:cs="VIC-SemiBold"/>
                <w:b/>
                <w:bCs/>
                <w:noProof/>
                <w:lang w:val="en-US"/>
              </w:rPr>
              <w:t>Glossary</w:t>
            </w:r>
            <w:r>
              <w:rPr>
                <w:noProof/>
                <w:webHidden/>
              </w:rPr>
              <w:tab/>
            </w:r>
            <w:r>
              <w:rPr>
                <w:noProof/>
                <w:webHidden/>
              </w:rPr>
              <w:fldChar w:fldCharType="begin"/>
            </w:r>
            <w:r>
              <w:rPr>
                <w:noProof/>
                <w:webHidden/>
              </w:rPr>
              <w:instrText xml:space="preserve"> PAGEREF _Toc214610588 \h </w:instrText>
            </w:r>
            <w:r>
              <w:rPr>
                <w:noProof/>
                <w:webHidden/>
              </w:rPr>
            </w:r>
            <w:r>
              <w:rPr>
                <w:noProof/>
                <w:webHidden/>
              </w:rPr>
              <w:fldChar w:fldCharType="separate"/>
            </w:r>
            <w:r>
              <w:rPr>
                <w:noProof/>
                <w:webHidden/>
              </w:rPr>
              <w:t>25</w:t>
            </w:r>
            <w:r>
              <w:rPr>
                <w:noProof/>
                <w:webHidden/>
              </w:rPr>
              <w:fldChar w:fldCharType="end"/>
            </w:r>
          </w:hyperlink>
        </w:p>
        <w:p w14:paraId="6C74A20C" w14:textId="2B56EB59" w:rsidR="00874FFA" w:rsidRDefault="00874FFA">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14610589" w:history="1">
            <w:r w:rsidRPr="00F53C20">
              <w:rPr>
                <w:rStyle w:val="Hyperlink"/>
                <w:rFonts w:cs="VIC-SemiBold"/>
                <w:b/>
                <w:bCs/>
                <w:noProof/>
                <w:lang w:val="en-US"/>
              </w:rPr>
              <w:t>References</w:t>
            </w:r>
            <w:r>
              <w:rPr>
                <w:noProof/>
                <w:webHidden/>
              </w:rPr>
              <w:tab/>
            </w:r>
            <w:r>
              <w:rPr>
                <w:noProof/>
                <w:webHidden/>
              </w:rPr>
              <w:fldChar w:fldCharType="begin"/>
            </w:r>
            <w:r>
              <w:rPr>
                <w:noProof/>
                <w:webHidden/>
              </w:rPr>
              <w:instrText xml:space="preserve"> PAGEREF _Toc214610589 \h </w:instrText>
            </w:r>
            <w:r>
              <w:rPr>
                <w:noProof/>
                <w:webHidden/>
              </w:rPr>
            </w:r>
            <w:r>
              <w:rPr>
                <w:noProof/>
                <w:webHidden/>
              </w:rPr>
              <w:fldChar w:fldCharType="separate"/>
            </w:r>
            <w:r>
              <w:rPr>
                <w:noProof/>
                <w:webHidden/>
              </w:rPr>
              <w:t>29</w:t>
            </w:r>
            <w:r>
              <w:rPr>
                <w:noProof/>
                <w:webHidden/>
              </w:rPr>
              <w:fldChar w:fldCharType="end"/>
            </w:r>
          </w:hyperlink>
        </w:p>
        <w:p w14:paraId="1956A92B" w14:textId="5179AA75" w:rsidR="00652A32" w:rsidRDefault="001F4455">
          <w:pPr>
            <w:rPr>
              <w:b/>
              <w:bCs/>
              <w:noProof/>
            </w:rPr>
            <w:sectPr w:rsidR="00652A32" w:rsidSect="000A6675">
              <w:type w:val="continuous"/>
              <w:pgSz w:w="11906" w:h="16838"/>
              <w:pgMar w:top="1440" w:right="1440" w:bottom="1440" w:left="1440" w:header="708" w:footer="708" w:gutter="0"/>
              <w:cols w:space="708"/>
              <w:docGrid w:linePitch="360"/>
            </w:sectPr>
          </w:pPr>
          <w:r>
            <w:rPr>
              <w:b/>
              <w:bCs/>
              <w:noProof/>
            </w:rPr>
            <w:fldChar w:fldCharType="end"/>
          </w:r>
        </w:p>
        <w:p w14:paraId="73F4FBFF" w14:textId="369B7602" w:rsidR="001F4455" w:rsidRDefault="00000000"/>
      </w:sdtContent>
    </w:sdt>
    <w:p w14:paraId="0D5DF711" w14:textId="77777777" w:rsidR="001F4455" w:rsidRDefault="001F4455">
      <w:pPr>
        <w:rPr>
          <w:szCs w:val="20"/>
        </w:rPr>
      </w:pPr>
      <w:r>
        <w:rPr>
          <w:szCs w:val="20"/>
        </w:rPr>
        <w:br w:type="page"/>
      </w:r>
    </w:p>
    <w:p w14:paraId="705463EE" w14:textId="3C27E2FB" w:rsidR="002A206B" w:rsidRDefault="000C0B8C" w:rsidP="005D328B">
      <w:pPr>
        <w:rPr>
          <w:szCs w:val="20"/>
        </w:rPr>
      </w:pPr>
      <w:r>
        <w:rPr>
          <w:noProof/>
        </w:rPr>
        <w:lastRenderedPageBreak/>
        <w:drawing>
          <wp:anchor distT="0" distB="0" distL="114300" distR="114300" simplePos="0" relativeHeight="251658243" behindDoc="0" locked="0" layoutInCell="1" allowOverlap="1" wp14:anchorId="613B84BC" wp14:editId="13B992F7">
            <wp:simplePos x="0" y="0"/>
            <wp:positionH relativeFrom="margin">
              <wp:posOffset>-260985</wp:posOffset>
            </wp:positionH>
            <wp:positionV relativeFrom="paragraph">
              <wp:posOffset>-200025</wp:posOffset>
            </wp:positionV>
            <wp:extent cx="6174561" cy="4352925"/>
            <wp:effectExtent l="0" t="0" r="0" b="0"/>
            <wp:wrapNone/>
            <wp:docPr id="2" name="Picture 1" descr="A map of australia with red and green dots&#10;&#10;">
              <a:extLst xmlns:a="http://schemas.openxmlformats.org/drawingml/2006/main">
                <a:ext uri="{FF2B5EF4-FFF2-40B4-BE49-F238E27FC236}">
                  <a16:creationId xmlns:a16="http://schemas.microsoft.com/office/drawing/2014/main" id="{CADD3046-141D-D22D-361B-FED88D115F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map of australia with red and green dots&#10;&#10;">
                      <a:extLst>
                        <a:ext uri="{FF2B5EF4-FFF2-40B4-BE49-F238E27FC236}">
                          <a16:creationId xmlns:a16="http://schemas.microsoft.com/office/drawing/2014/main" id="{CADD3046-141D-D22D-361B-FED88D115FC8}"/>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74561" cy="4352925"/>
                    </a:xfrm>
                    <a:prstGeom prst="rect">
                      <a:avLst/>
                    </a:prstGeom>
                    <a:noFill/>
                  </pic:spPr>
                </pic:pic>
              </a:graphicData>
            </a:graphic>
            <wp14:sizeRelH relativeFrom="margin">
              <wp14:pctWidth>0</wp14:pctWidth>
            </wp14:sizeRelH>
            <wp14:sizeRelV relativeFrom="margin">
              <wp14:pctHeight>0</wp14:pctHeight>
            </wp14:sizeRelV>
          </wp:anchor>
        </w:drawing>
      </w:r>
    </w:p>
    <w:p w14:paraId="29C85549" w14:textId="1BCD8258" w:rsidR="00916801" w:rsidRDefault="00916801" w:rsidP="005D328B">
      <w:pPr>
        <w:rPr>
          <w:szCs w:val="20"/>
        </w:rPr>
      </w:pPr>
    </w:p>
    <w:p w14:paraId="1845B6F0" w14:textId="02E56CF4" w:rsidR="00916801" w:rsidRDefault="00916801" w:rsidP="005D328B">
      <w:pPr>
        <w:rPr>
          <w:szCs w:val="20"/>
        </w:rPr>
      </w:pPr>
    </w:p>
    <w:p w14:paraId="04D6972F" w14:textId="3A8964F2" w:rsidR="00916801" w:rsidRDefault="00916801" w:rsidP="005D328B">
      <w:pPr>
        <w:rPr>
          <w:szCs w:val="20"/>
        </w:rPr>
      </w:pPr>
    </w:p>
    <w:p w14:paraId="4311E10A" w14:textId="6F2EC6E7" w:rsidR="00916801" w:rsidRDefault="00916801" w:rsidP="005D328B">
      <w:pPr>
        <w:rPr>
          <w:szCs w:val="20"/>
        </w:rPr>
      </w:pPr>
    </w:p>
    <w:p w14:paraId="4D63FE1A" w14:textId="4C7E6564" w:rsidR="00916801" w:rsidRDefault="00916801" w:rsidP="005D328B">
      <w:pPr>
        <w:rPr>
          <w:szCs w:val="20"/>
        </w:rPr>
      </w:pPr>
    </w:p>
    <w:p w14:paraId="03398296" w14:textId="4CEEDFA8" w:rsidR="00916801" w:rsidRDefault="00916801" w:rsidP="005D328B">
      <w:pPr>
        <w:rPr>
          <w:szCs w:val="20"/>
        </w:rPr>
      </w:pPr>
    </w:p>
    <w:p w14:paraId="297815E7" w14:textId="00E8EBCE" w:rsidR="00916801" w:rsidRDefault="00916801" w:rsidP="005D328B">
      <w:pPr>
        <w:rPr>
          <w:szCs w:val="20"/>
        </w:rPr>
      </w:pPr>
    </w:p>
    <w:p w14:paraId="6401D404" w14:textId="442E8FCE" w:rsidR="00916801" w:rsidRDefault="00916801" w:rsidP="005D328B">
      <w:pPr>
        <w:rPr>
          <w:szCs w:val="20"/>
        </w:rPr>
      </w:pPr>
    </w:p>
    <w:p w14:paraId="7B4AAF88" w14:textId="706AF8B1" w:rsidR="00916801" w:rsidRDefault="00916801" w:rsidP="005D328B">
      <w:pPr>
        <w:rPr>
          <w:szCs w:val="20"/>
        </w:rPr>
      </w:pPr>
    </w:p>
    <w:p w14:paraId="6CEE1180" w14:textId="7F1B1402" w:rsidR="00916801" w:rsidRDefault="00916801" w:rsidP="005D328B">
      <w:pPr>
        <w:rPr>
          <w:szCs w:val="20"/>
        </w:rPr>
      </w:pPr>
    </w:p>
    <w:p w14:paraId="35A91430" w14:textId="77777777" w:rsidR="00916801" w:rsidRDefault="00916801" w:rsidP="005D328B">
      <w:pPr>
        <w:rPr>
          <w:szCs w:val="20"/>
        </w:rPr>
      </w:pPr>
    </w:p>
    <w:p w14:paraId="634A18C5" w14:textId="77777777" w:rsidR="005F7B04" w:rsidRDefault="005F7B04" w:rsidP="005D328B">
      <w:pPr>
        <w:rPr>
          <w:szCs w:val="20"/>
        </w:rPr>
      </w:pPr>
    </w:p>
    <w:p w14:paraId="576840F5" w14:textId="77777777" w:rsidR="005F7B04" w:rsidRDefault="005F7B04" w:rsidP="005D328B">
      <w:pPr>
        <w:rPr>
          <w:szCs w:val="20"/>
        </w:rPr>
      </w:pPr>
    </w:p>
    <w:p w14:paraId="7F638AFC" w14:textId="77777777" w:rsidR="009B7776" w:rsidRDefault="009B7776" w:rsidP="005D328B">
      <w:pPr>
        <w:rPr>
          <w:szCs w:val="20"/>
        </w:rPr>
      </w:pPr>
    </w:p>
    <w:p w14:paraId="6CD91926" w14:textId="77777777" w:rsidR="009B7776" w:rsidRDefault="009B7776" w:rsidP="005D328B">
      <w:pPr>
        <w:rPr>
          <w:szCs w:val="20"/>
        </w:rPr>
      </w:pPr>
    </w:p>
    <w:p w14:paraId="757C1C6B" w14:textId="26DAACCA" w:rsidR="00192EB0" w:rsidRDefault="005D328B" w:rsidP="005D328B">
      <w:pPr>
        <w:rPr>
          <w:szCs w:val="20"/>
        </w:rPr>
      </w:pPr>
      <w:r w:rsidRPr="003910BE">
        <w:rPr>
          <w:szCs w:val="20"/>
        </w:rPr>
        <w:t>In 202</w:t>
      </w:r>
      <w:r w:rsidR="003833C1">
        <w:rPr>
          <w:szCs w:val="20"/>
        </w:rPr>
        <w:t>4</w:t>
      </w:r>
      <w:r w:rsidR="006C7AE8">
        <w:t>-</w:t>
      </w:r>
      <w:r w:rsidRPr="003910BE">
        <w:rPr>
          <w:szCs w:val="20"/>
        </w:rPr>
        <w:t>2</w:t>
      </w:r>
      <w:r w:rsidR="003833C1">
        <w:rPr>
          <w:szCs w:val="20"/>
        </w:rPr>
        <w:t>5</w:t>
      </w:r>
      <w:r w:rsidRPr="003910BE">
        <w:rPr>
          <w:szCs w:val="20"/>
        </w:rPr>
        <w:t xml:space="preserve">, the Livestock Farm Monitor Project (LFMP) </w:t>
      </w:r>
      <w:r w:rsidRPr="00856694">
        <w:rPr>
          <w:szCs w:val="20"/>
        </w:rPr>
        <w:t>provided 1</w:t>
      </w:r>
      <w:r w:rsidR="007E67F7">
        <w:rPr>
          <w:szCs w:val="20"/>
        </w:rPr>
        <w:t>3</w:t>
      </w:r>
      <w:r w:rsidR="003833C1">
        <w:rPr>
          <w:szCs w:val="20"/>
        </w:rPr>
        <w:t>4</w:t>
      </w:r>
      <w:r w:rsidRPr="00856694">
        <w:rPr>
          <w:szCs w:val="20"/>
        </w:rPr>
        <w:t xml:space="preserve"> Victorian</w:t>
      </w:r>
      <w:r w:rsidRPr="003910BE">
        <w:rPr>
          <w:szCs w:val="20"/>
        </w:rPr>
        <w:t xml:space="preserve"> sheep, beef and </w:t>
      </w:r>
      <w:r w:rsidR="00851937">
        <w:rPr>
          <w:szCs w:val="20"/>
        </w:rPr>
        <w:t>stock</w:t>
      </w:r>
      <w:r w:rsidR="00192EB0">
        <w:rPr>
          <w:szCs w:val="20"/>
        </w:rPr>
        <w:t>/cropping</w:t>
      </w:r>
      <w:r w:rsidRPr="003910BE">
        <w:rPr>
          <w:szCs w:val="20"/>
        </w:rPr>
        <w:t xml:space="preserve"> </w:t>
      </w:r>
      <w:r w:rsidR="0013579A">
        <w:rPr>
          <w:szCs w:val="20"/>
        </w:rPr>
        <w:t>farmers</w:t>
      </w:r>
      <w:r w:rsidR="0013579A" w:rsidRPr="003910BE">
        <w:rPr>
          <w:szCs w:val="20"/>
        </w:rPr>
        <w:t xml:space="preserve"> </w:t>
      </w:r>
      <w:r w:rsidRPr="003910BE">
        <w:rPr>
          <w:szCs w:val="20"/>
        </w:rPr>
        <w:t>with detailed financial and production performance information.</w:t>
      </w:r>
      <w:r w:rsidR="0003183F">
        <w:rPr>
          <w:szCs w:val="20"/>
        </w:rPr>
        <w:t xml:space="preserve"> </w:t>
      </w:r>
      <w:r w:rsidR="00192EB0">
        <w:rPr>
          <w:szCs w:val="20"/>
        </w:rPr>
        <w:t>Of</w:t>
      </w:r>
      <w:r w:rsidRPr="003910BE">
        <w:rPr>
          <w:szCs w:val="20"/>
        </w:rPr>
        <w:t xml:space="preserve"> </w:t>
      </w:r>
      <w:bookmarkEnd w:id="3"/>
      <w:r w:rsidR="0003183F">
        <w:rPr>
          <w:szCs w:val="20"/>
        </w:rPr>
        <w:t>the 13</w:t>
      </w:r>
      <w:r w:rsidR="003833C1">
        <w:rPr>
          <w:szCs w:val="20"/>
        </w:rPr>
        <w:t>4</w:t>
      </w:r>
      <w:r w:rsidR="0003183F">
        <w:rPr>
          <w:szCs w:val="20"/>
        </w:rPr>
        <w:t xml:space="preserve"> farms</w:t>
      </w:r>
      <w:r w:rsidR="001A37A8">
        <w:rPr>
          <w:szCs w:val="20"/>
        </w:rPr>
        <w:t xml:space="preserve"> </w:t>
      </w:r>
      <w:r w:rsidR="00A54D6A">
        <w:rPr>
          <w:szCs w:val="20"/>
        </w:rPr>
        <w:t xml:space="preserve">that </w:t>
      </w:r>
      <w:r w:rsidR="001A37A8">
        <w:rPr>
          <w:szCs w:val="20"/>
        </w:rPr>
        <w:t>participat</w:t>
      </w:r>
      <w:r w:rsidR="00A54D6A">
        <w:rPr>
          <w:szCs w:val="20"/>
        </w:rPr>
        <w:t>ed</w:t>
      </w:r>
      <w:r w:rsidR="0003183F">
        <w:rPr>
          <w:szCs w:val="20"/>
        </w:rPr>
        <w:t>, 1</w:t>
      </w:r>
      <w:r w:rsidR="003833C1">
        <w:rPr>
          <w:szCs w:val="20"/>
        </w:rPr>
        <w:t>11</w:t>
      </w:r>
      <w:r w:rsidR="0003183F">
        <w:rPr>
          <w:szCs w:val="20"/>
        </w:rPr>
        <w:t xml:space="preserve"> are continuing farms </w:t>
      </w:r>
      <w:r w:rsidR="0056423B">
        <w:rPr>
          <w:szCs w:val="20"/>
        </w:rPr>
        <w:t>from 202</w:t>
      </w:r>
      <w:r w:rsidR="003833C1">
        <w:rPr>
          <w:szCs w:val="20"/>
        </w:rPr>
        <w:t>3</w:t>
      </w:r>
      <w:r w:rsidR="0056423B">
        <w:rPr>
          <w:szCs w:val="20"/>
        </w:rPr>
        <w:t>-2</w:t>
      </w:r>
      <w:r w:rsidR="003833C1">
        <w:rPr>
          <w:szCs w:val="20"/>
        </w:rPr>
        <w:t>4</w:t>
      </w:r>
      <w:r w:rsidR="0056423B">
        <w:rPr>
          <w:szCs w:val="20"/>
        </w:rPr>
        <w:t xml:space="preserve"> and</w:t>
      </w:r>
      <w:r w:rsidR="001A37A8">
        <w:rPr>
          <w:szCs w:val="20"/>
        </w:rPr>
        <w:t xml:space="preserve"> 2</w:t>
      </w:r>
      <w:r w:rsidR="0045311C">
        <w:rPr>
          <w:szCs w:val="20"/>
        </w:rPr>
        <w:t>3</w:t>
      </w:r>
      <w:r w:rsidR="001A37A8">
        <w:rPr>
          <w:szCs w:val="20"/>
        </w:rPr>
        <w:t xml:space="preserve"> farms are new</w:t>
      </w:r>
      <w:r w:rsidR="00225BB5">
        <w:rPr>
          <w:szCs w:val="20"/>
        </w:rPr>
        <w:t xml:space="preserve"> to the project.</w:t>
      </w:r>
    </w:p>
    <w:p w14:paraId="4AEF8BC1" w14:textId="71416993" w:rsidR="005D328B" w:rsidRDefault="008715A4" w:rsidP="005D328B">
      <w:pPr>
        <w:rPr>
          <w:szCs w:val="20"/>
        </w:rPr>
      </w:pPr>
      <w:r w:rsidRPr="003910BE">
        <w:rPr>
          <w:szCs w:val="20"/>
        </w:rPr>
        <w:t>Agriculture Victoria</w:t>
      </w:r>
      <w:r w:rsidR="005D328B" w:rsidRPr="003910BE">
        <w:rPr>
          <w:szCs w:val="20"/>
        </w:rPr>
        <w:t xml:space="preserve"> collated the individual business performance information of all surveyed farms to provide insights </w:t>
      </w:r>
      <w:r w:rsidRPr="003910BE" w:rsidDel="009E5C7A">
        <w:rPr>
          <w:szCs w:val="20"/>
        </w:rPr>
        <w:t xml:space="preserve">in </w:t>
      </w:r>
      <w:r w:rsidRPr="003910BE">
        <w:rPr>
          <w:szCs w:val="20"/>
        </w:rPr>
        <w:t xml:space="preserve">this </w:t>
      </w:r>
      <w:r w:rsidR="005D328B" w:rsidRPr="003910BE">
        <w:rPr>
          <w:szCs w:val="20"/>
        </w:rPr>
        <w:t xml:space="preserve">report. </w:t>
      </w:r>
    </w:p>
    <w:p w14:paraId="46FE97C1" w14:textId="251E32CF" w:rsidR="00D91BA4" w:rsidRPr="003910BE" w:rsidRDefault="00D91BA4" w:rsidP="00F5518C">
      <w:pPr>
        <w:rPr>
          <w:szCs w:val="20"/>
        </w:rPr>
      </w:pPr>
      <w:bookmarkStart w:id="4" w:name="_Hlk86229778"/>
      <w:r w:rsidRPr="003910BE">
        <w:rPr>
          <w:szCs w:val="20"/>
        </w:rPr>
        <w:t>The LFMP is Agriculture Victoria’s primary source of farm</w:t>
      </w:r>
      <w:r w:rsidR="001B1437">
        <w:rPr>
          <w:szCs w:val="20"/>
        </w:rPr>
        <w:t>-</w:t>
      </w:r>
      <w:r w:rsidRPr="003910BE">
        <w:rPr>
          <w:szCs w:val="20"/>
        </w:rPr>
        <w:t>level information for sheep</w:t>
      </w:r>
      <w:r w:rsidR="00C844F5">
        <w:rPr>
          <w:szCs w:val="20"/>
        </w:rPr>
        <w:t xml:space="preserve"> and</w:t>
      </w:r>
      <w:r w:rsidRPr="003910BE">
        <w:rPr>
          <w:szCs w:val="20"/>
        </w:rPr>
        <w:t xml:space="preserve"> beef production practices, resource use, and economic</w:t>
      </w:r>
      <w:r w:rsidR="00A71286">
        <w:rPr>
          <w:szCs w:val="20"/>
        </w:rPr>
        <w:t xml:space="preserve"> data</w:t>
      </w:r>
      <w:r w:rsidRPr="003910BE">
        <w:rPr>
          <w:szCs w:val="20"/>
        </w:rPr>
        <w:t>.</w:t>
      </w:r>
    </w:p>
    <w:p w14:paraId="4B805B18" w14:textId="77777777" w:rsidR="001F3200" w:rsidRDefault="00D91BA4" w:rsidP="00F5518C">
      <w:r>
        <w:t>The results of this</w:t>
      </w:r>
      <w:r w:rsidR="00652E11">
        <w:t xml:space="preserve"> annual</w:t>
      </w:r>
      <w:r>
        <w:t xml:space="preserve"> survey </w:t>
      </w:r>
      <w:r w:rsidDel="00757C6E">
        <w:t xml:space="preserve">provide farm-level data to </w:t>
      </w:r>
      <w:r>
        <w:t>inform Agriculture Victoria</w:t>
      </w:r>
      <w:r w:rsidR="00061577">
        <w:t>’</w:t>
      </w:r>
      <w:r w:rsidR="00086D5A">
        <w:t>s</w:t>
      </w:r>
      <w:r>
        <w:t xml:space="preserve"> decisions that</w:t>
      </w:r>
      <w:r w:rsidR="00061577">
        <w:t xml:space="preserve"> impact at a </w:t>
      </w:r>
      <w:r>
        <w:t>farm level</w:t>
      </w:r>
      <w:r w:rsidR="00862C00">
        <w:t>,</w:t>
      </w:r>
      <w:r>
        <w:t xml:space="preserve"> and to inform the direction of future </w:t>
      </w:r>
    </w:p>
    <w:p w14:paraId="5379600A" w14:textId="77777777" w:rsidR="001F3200" w:rsidRDefault="001F3200" w:rsidP="00F5518C"/>
    <w:p w14:paraId="5824B834" w14:textId="77777777" w:rsidR="001F3200" w:rsidRDefault="001F3200" w:rsidP="00F5518C"/>
    <w:p w14:paraId="1CAC8C97" w14:textId="77777777" w:rsidR="001F3200" w:rsidRDefault="001F3200" w:rsidP="00F5518C"/>
    <w:p w14:paraId="0F798759" w14:textId="77777777" w:rsidR="001F3200" w:rsidRDefault="001F3200" w:rsidP="00F5518C"/>
    <w:p w14:paraId="6972ECC2" w14:textId="77777777" w:rsidR="001F3200" w:rsidRDefault="001F3200" w:rsidP="00F5518C"/>
    <w:p w14:paraId="6ECC63CE" w14:textId="77777777" w:rsidR="001F3200" w:rsidRDefault="001F3200" w:rsidP="00F5518C"/>
    <w:p w14:paraId="3A3976F4" w14:textId="77777777" w:rsidR="001F3200" w:rsidRDefault="001F3200" w:rsidP="00F5518C"/>
    <w:p w14:paraId="7F46C5A3" w14:textId="77777777" w:rsidR="001F3200" w:rsidRDefault="001F3200" w:rsidP="00F5518C"/>
    <w:p w14:paraId="2D5B5269" w14:textId="77777777" w:rsidR="001F3200" w:rsidRDefault="001F3200" w:rsidP="00F5518C"/>
    <w:p w14:paraId="6954B3B1" w14:textId="77777777" w:rsidR="001F3200" w:rsidRDefault="001F3200" w:rsidP="00F5518C"/>
    <w:p w14:paraId="1A97F29F" w14:textId="77777777" w:rsidR="001F3200" w:rsidRDefault="001F3200" w:rsidP="00F5518C"/>
    <w:p w14:paraId="02C8E6E7" w14:textId="77777777" w:rsidR="001F3200" w:rsidRDefault="001F3200" w:rsidP="00F5518C"/>
    <w:p w14:paraId="1BA0C598" w14:textId="77777777" w:rsidR="001F3200" w:rsidRDefault="001F3200" w:rsidP="00F5518C"/>
    <w:p w14:paraId="1B286270" w14:textId="77777777" w:rsidR="001F3200" w:rsidRDefault="001F3200" w:rsidP="00F5518C"/>
    <w:p w14:paraId="19F4C742" w14:textId="77777777" w:rsidR="001F3200" w:rsidRDefault="001F3200" w:rsidP="00F5518C"/>
    <w:p w14:paraId="5F98B9A3" w14:textId="77777777" w:rsidR="001F3200" w:rsidRDefault="001F3200" w:rsidP="00F5518C"/>
    <w:p w14:paraId="6B33D180" w14:textId="783449F4" w:rsidR="00B469C5" w:rsidRPr="001F3200" w:rsidRDefault="00D91BA4" w:rsidP="00F5518C">
      <w:r>
        <w:t xml:space="preserve">policy design, research themes and </w:t>
      </w:r>
      <w:r w:rsidR="00652E11">
        <w:t>service delivery</w:t>
      </w:r>
      <w:r>
        <w:t xml:space="preserve"> programs.</w:t>
      </w:r>
    </w:p>
    <w:p w14:paraId="598B4025" w14:textId="3F4FD94A" w:rsidR="00D91BA4" w:rsidRPr="003910BE" w:rsidRDefault="00D91BA4" w:rsidP="00F5518C">
      <w:r>
        <w:t>Farmers who participate in the project increase their understanding of their farm business</w:t>
      </w:r>
      <w:r w:rsidR="008C7A83">
        <w:t>,</w:t>
      </w:r>
      <w:r>
        <w:t xml:space="preserve"> </w:t>
      </w:r>
      <w:r w:rsidR="1AA5430F">
        <w:t xml:space="preserve">helping </w:t>
      </w:r>
      <w:r>
        <w:t>build resilience and improve their ability to adapt to change.</w:t>
      </w:r>
    </w:p>
    <w:bookmarkEnd w:id="4"/>
    <w:p w14:paraId="0CF137F0" w14:textId="0317C898" w:rsidR="00D91BA4" w:rsidRPr="003910BE" w:rsidRDefault="00D91BA4" w:rsidP="00F5518C">
      <w:r>
        <w:t xml:space="preserve">Results published in this report are not </w:t>
      </w:r>
      <w:r w:rsidR="002022E8">
        <w:t xml:space="preserve">statistically </w:t>
      </w:r>
      <w:r>
        <w:t>representative of an</w:t>
      </w:r>
      <w:r w:rsidR="41740D23">
        <w:t>y</w:t>
      </w:r>
      <w:r>
        <w:t xml:space="preserve"> industry or</w:t>
      </w:r>
      <w:r w:rsidR="299E9FFB">
        <w:t xml:space="preserve"> </w:t>
      </w:r>
      <w:r>
        <w:t>region.</w:t>
      </w:r>
    </w:p>
    <w:p w14:paraId="7D5CD8EF" w14:textId="3B780E9B" w:rsidR="00D91BA4" w:rsidRPr="003910BE" w:rsidRDefault="00D91BA4" w:rsidP="00F5518C">
      <w:pPr>
        <w:rPr>
          <w:szCs w:val="20"/>
        </w:rPr>
      </w:pPr>
      <w:r w:rsidRPr="003910BE">
        <w:rPr>
          <w:szCs w:val="20"/>
        </w:rPr>
        <w:t>Agriculture Victoria staff are grateful for the cooperation of the farmers who contributed their data to this project.</w:t>
      </w:r>
    </w:p>
    <w:p w14:paraId="36A4AB87" w14:textId="3EFAB23D" w:rsidR="00D91BA4" w:rsidRPr="003910BE" w:rsidRDefault="00D91BA4" w:rsidP="00F5518C">
      <w:pPr>
        <w:rPr>
          <w:szCs w:val="20"/>
        </w:rPr>
      </w:pPr>
      <w:r w:rsidRPr="003910BE">
        <w:rPr>
          <w:szCs w:val="20"/>
        </w:rPr>
        <w:t xml:space="preserve">This </w:t>
      </w:r>
      <w:r w:rsidR="00975699">
        <w:rPr>
          <w:szCs w:val="20"/>
        </w:rPr>
        <w:t>project</w:t>
      </w:r>
      <w:r w:rsidRPr="003910BE">
        <w:rPr>
          <w:szCs w:val="20"/>
        </w:rPr>
        <w:t xml:space="preserve"> has</w:t>
      </w:r>
      <w:r w:rsidR="00975699">
        <w:rPr>
          <w:szCs w:val="20"/>
        </w:rPr>
        <w:t xml:space="preserve"> been running continuously since 1971 and</w:t>
      </w:r>
      <w:r w:rsidR="00513C5D">
        <w:rPr>
          <w:szCs w:val="20"/>
        </w:rPr>
        <w:t xml:space="preserve"> is</w:t>
      </w:r>
      <w:r w:rsidRPr="003910BE">
        <w:rPr>
          <w:szCs w:val="20"/>
        </w:rPr>
        <w:t xml:space="preserve"> funded by Agriculture Victoria.</w:t>
      </w:r>
    </w:p>
    <w:p w14:paraId="2A711B78" w14:textId="4B47A752" w:rsidR="00652EFA" w:rsidRDefault="00652EFA" w:rsidP="00F5518C">
      <w:pPr>
        <w:rPr>
          <w:b/>
          <w:szCs w:val="20"/>
        </w:rPr>
      </w:pPr>
    </w:p>
    <w:p w14:paraId="00EE5089" w14:textId="1079F695" w:rsidR="00652EFA" w:rsidRDefault="00652EFA" w:rsidP="00F5518C">
      <w:pPr>
        <w:rPr>
          <w:b/>
          <w:szCs w:val="20"/>
        </w:rPr>
      </w:pPr>
    </w:p>
    <w:p w14:paraId="418A7C63" w14:textId="33E6F2BC" w:rsidR="00652EFA" w:rsidRDefault="00652EFA" w:rsidP="00F5518C">
      <w:pPr>
        <w:rPr>
          <w:b/>
          <w:szCs w:val="20"/>
        </w:rPr>
      </w:pPr>
    </w:p>
    <w:p w14:paraId="63E925F0" w14:textId="5738F270" w:rsidR="008272D9" w:rsidRPr="003910BE" w:rsidRDefault="00F42DC8" w:rsidP="00E31C47">
      <w:pPr>
        <w:pStyle w:val="Heading2"/>
        <w:rPr>
          <w:b w:val="0"/>
          <w:bCs/>
        </w:rPr>
      </w:pPr>
      <w:bookmarkStart w:id="5" w:name="_Toc214610563"/>
      <w:r w:rsidRPr="00F42DC8">
        <w:rPr>
          <w:noProof/>
          <w:szCs w:val="20"/>
        </w:rPr>
        <w:lastRenderedPageBreak/>
        <mc:AlternateContent>
          <mc:Choice Requires="wps">
            <w:drawing>
              <wp:anchor distT="45720" distB="45720" distL="114300" distR="114300" simplePos="0" relativeHeight="251658241" behindDoc="0" locked="0" layoutInCell="1" allowOverlap="1" wp14:anchorId="22AA4F1C" wp14:editId="58861C9B">
                <wp:simplePos x="0" y="0"/>
                <wp:positionH relativeFrom="margin">
                  <wp:posOffset>-509270</wp:posOffset>
                </wp:positionH>
                <wp:positionV relativeFrom="paragraph">
                  <wp:posOffset>327660</wp:posOffset>
                </wp:positionV>
                <wp:extent cx="6654800" cy="2242820"/>
                <wp:effectExtent l="0" t="0" r="12700" b="241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2242820"/>
                        </a:xfrm>
                        <a:prstGeom prst="rect">
                          <a:avLst/>
                        </a:prstGeom>
                        <a:solidFill>
                          <a:schemeClr val="accent6">
                            <a:lumMod val="20000"/>
                            <a:lumOff val="80000"/>
                          </a:schemeClr>
                        </a:solidFill>
                        <a:ln w="9525">
                          <a:solidFill>
                            <a:srgbClr val="000000"/>
                          </a:solidFill>
                          <a:miter lim="800000"/>
                          <a:headEnd/>
                          <a:tailEnd/>
                        </a:ln>
                      </wps:spPr>
                      <wps:txbx>
                        <w:txbxContent>
                          <w:p w14:paraId="148FAC54" w14:textId="77777777" w:rsidR="00F42DC8" w:rsidRDefault="00F42DC8" w:rsidP="00F42DC8">
                            <w:r>
                              <w:t>Key points</w:t>
                            </w:r>
                          </w:p>
                          <w:p w14:paraId="610C32B0" w14:textId="50F3553B" w:rsidR="00A93459" w:rsidRDefault="00A93459" w:rsidP="00A93459">
                            <w:pPr>
                              <w:pStyle w:val="ListParagraph"/>
                              <w:numPr>
                                <w:ilvl w:val="0"/>
                                <w:numId w:val="10"/>
                              </w:numPr>
                            </w:pPr>
                            <w:r>
                              <w:t xml:space="preserve">Farm incomes remained below the 10-year average despite improved red meat </w:t>
                            </w:r>
                            <w:r w:rsidR="00C26965">
                              <w:t>prices and</w:t>
                            </w:r>
                            <w:r w:rsidR="00501301">
                              <w:t xml:space="preserve"> did not cover the </w:t>
                            </w:r>
                            <w:r w:rsidR="00756659">
                              <w:t xml:space="preserve">higher variable costs </w:t>
                            </w:r>
                            <w:r w:rsidR="002A74D0">
                              <w:t>which increased above the 10-year average</w:t>
                            </w:r>
                            <w:r>
                              <w:t>.</w:t>
                            </w:r>
                          </w:p>
                          <w:p w14:paraId="7AF7D2D3" w14:textId="77777777" w:rsidR="00B84A4C" w:rsidRDefault="00B84A4C" w:rsidP="00B84A4C">
                            <w:pPr>
                              <w:pStyle w:val="ListParagraph"/>
                              <w:numPr>
                                <w:ilvl w:val="0"/>
                                <w:numId w:val="10"/>
                              </w:numPr>
                            </w:pPr>
                            <w:r>
                              <w:t>Poor pasture growth due to challenging dry conditions led to high s</w:t>
                            </w:r>
                            <w:r w:rsidRPr="00075348">
                              <w:t>upplementary feed use and costs</w:t>
                            </w:r>
                            <w:r>
                              <w:t xml:space="preserve"> and/or decreased stocking rates and livestock inventories.</w:t>
                            </w:r>
                          </w:p>
                          <w:p w14:paraId="6DF6D502" w14:textId="187CD9B1" w:rsidR="008E06EA" w:rsidRDefault="00894867" w:rsidP="00C20EA0">
                            <w:pPr>
                              <w:pStyle w:val="ListParagraph"/>
                              <w:numPr>
                                <w:ilvl w:val="0"/>
                                <w:numId w:val="10"/>
                              </w:numPr>
                            </w:pPr>
                            <w:r>
                              <w:t>In 2024-25, a</w:t>
                            </w:r>
                            <w:r w:rsidR="00C20EA0">
                              <w:t>verage statewide farm profits (EBIT) fell to the lowest levels in 20 years</w:t>
                            </w:r>
                            <w:r w:rsidR="00F1342F">
                              <w:t xml:space="preserve">. </w:t>
                            </w:r>
                          </w:p>
                          <w:p w14:paraId="600851AF" w14:textId="0565C39D" w:rsidR="00C20EA0" w:rsidRPr="00075348" w:rsidRDefault="00F1342F" w:rsidP="00C20EA0">
                            <w:pPr>
                              <w:pStyle w:val="ListParagraph"/>
                              <w:numPr>
                                <w:ilvl w:val="0"/>
                                <w:numId w:val="10"/>
                              </w:numPr>
                            </w:pPr>
                            <w:r>
                              <w:t>Half of the participants recorded negative profits</w:t>
                            </w:r>
                            <w:r w:rsidR="00556514">
                              <w:t xml:space="preserve"> </w:t>
                            </w:r>
                            <w:r w:rsidR="002D639E">
                              <w:t xml:space="preserve">which </w:t>
                            </w:r>
                            <w:r w:rsidR="00556514">
                              <w:t>tipp</w:t>
                            </w:r>
                            <w:r w:rsidR="002D639E">
                              <w:t>ed</w:t>
                            </w:r>
                            <w:r w:rsidR="00556514">
                              <w:t xml:space="preserve"> </w:t>
                            </w:r>
                            <w:r w:rsidR="00050172">
                              <w:t>average profits and returns negative</w:t>
                            </w:r>
                            <w:r w:rsidR="008E06EA">
                              <w:t xml:space="preserve"> and below the 10-year average in all regions</w:t>
                            </w:r>
                            <w:r w:rsidR="00050172">
                              <w:t>.</w:t>
                            </w:r>
                          </w:p>
                          <w:p w14:paraId="1B08541B" w14:textId="6BFC4C9B" w:rsidR="00F62BB0" w:rsidRDefault="006C77B1" w:rsidP="00C26965">
                            <w:pPr>
                              <w:pStyle w:val="ListParagraph"/>
                              <w:numPr>
                                <w:ilvl w:val="0"/>
                                <w:numId w:val="10"/>
                              </w:numPr>
                            </w:pPr>
                            <w:r>
                              <w:t>Increased interest payments</w:t>
                            </w:r>
                            <w:r w:rsidR="00A17A2C">
                              <w:t>, driven by larger borrowings put additional pressure on farm cash flow</w:t>
                            </w:r>
                            <w:r w:rsidR="002E7AE7">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AA4F1C" id="_x0000_t202" coordsize="21600,21600" o:spt="202" path="m,l,21600r21600,l21600,xe">
                <v:stroke joinstyle="miter"/>
                <v:path gradientshapeok="t" o:connecttype="rect"/>
              </v:shapetype>
              <v:shape id="Text Box 217" o:spid="_x0000_s1026" type="#_x0000_t202" style="position:absolute;margin-left:-40.1pt;margin-top:25.8pt;width:524pt;height:176.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kp0MwIAAF4EAAAOAAAAZHJzL2Uyb0RvYy54bWysVNuO2yAQfa/Uf0C8N3asJM1acVbbbLeq&#10;tL1I234AxjhGBYYCiZ1+fQfsTbLtW9UXBDNw5sycGTa3g1bkKJyXYCo6n+WUCMOhkWZf0e/fHt6s&#10;KfGBmYYpMKKiJ+Hp7fb1q01vS1FAB6oRjiCI8WVvK9qFYMss87wTmvkZWGHQ2YLTLODR7bPGsR7R&#10;tcqKPF9lPbjGOuDCe7Tej066TfhtK3j40rZeBKIqitxCWl1a67hm2w0r947ZTvKJBvsHFppJg0HP&#10;UPcsMHJw8i8oLbkDD22YcdAZtK3kIuWA2czzP7J56pgVKRcsjrfnMvn/B8s/H5/sV0fC8A4GFDAl&#10;4e0j8B+eGNh1zOzFnXPQd4I1GHgeS5b11pfT01hqX/oIUvefoEGR2SFAAhpap2NVME+C6CjA6Vx0&#10;MQTC0bhaLRfrHF0cfUWxKNZFkiVj5fNz63z4IECTuKmoQ1UTPDs++hDpsPL5SozmQcnmQSqVDrGT&#10;xE45cmTYA4xzYcIqPVcHjXxHO/YSckjdgGbsmdGMxEYzhkg9GZFSwBdBlCF9RW+WxTIBv/B5t6/P&#10;4SPcBfCap5YBB0FJXdEUdCITq/7eNIlYYFKNe2SjzCRDrPyoQRjqAS9GOWpoTiiIg7HhcUBx04H7&#10;RUmPzV5R//PAnKBEfTQo6s18sYjTkQ6L5VtUgLhrT33tYYYjVEUDJeN2F9JExXIbuEPxW5lkuTCZ&#10;uGITp+JNAxen5Pqcbl2+he1vAAAA//8DAFBLAwQUAAYACAAAACEAbfO8fN8AAAAKAQAADwAAAGRy&#10;cy9kb3ducmV2LnhtbEyPy07DMBBF90j8gzVI7NpxqxJCiFMVEA+JFS2wdpNpEhGPo9hNw98zrGA5&#10;mqN7z83Xk+vUSENoPRtYzDUo4tJXLdcG3nePsxRUiJYr23kmA98UYF2cn+U2q/yJ32jcxlpJCIfM&#10;Gmhi7DPEUDbkbJj7nlh+Bz84G+UcaqwGe5Jw1+FS6wSdbVkaGtvTfUPl1/boDOw2nz0fnl7v9Ej1&#10;80dM8eUB0ZjLi2lzCyrSFP9g+NUXdSjEae+PXAXVGZileimogatFAkqAm+RatuwNrPQqBSxy/D+h&#10;+AEAAP//AwBQSwECLQAUAAYACAAAACEAtoM4kv4AAADhAQAAEwAAAAAAAAAAAAAAAAAAAAAAW0Nv&#10;bnRlbnRfVHlwZXNdLnhtbFBLAQItABQABgAIAAAAIQA4/SH/1gAAAJQBAAALAAAAAAAAAAAAAAAA&#10;AC8BAABfcmVscy8ucmVsc1BLAQItABQABgAIAAAAIQAAkkp0MwIAAF4EAAAOAAAAAAAAAAAAAAAA&#10;AC4CAABkcnMvZTJvRG9jLnhtbFBLAQItABQABgAIAAAAIQBt87x83wAAAAoBAAAPAAAAAAAAAAAA&#10;AAAAAI0EAABkcnMvZG93bnJldi54bWxQSwUGAAAAAAQABADzAAAAmQUAAAAA&#10;" fillcolor="#e2efd9 [665]">
                <v:textbox>
                  <w:txbxContent>
                    <w:p w14:paraId="148FAC54" w14:textId="77777777" w:rsidR="00F42DC8" w:rsidRDefault="00F42DC8" w:rsidP="00F42DC8">
                      <w:r>
                        <w:t>Key points</w:t>
                      </w:r>
                    </w:p>
                    <w:p w14:paraId="610C32B0" w14:textId="50F3553B" w:rsidR="00A93459" w:rsidRDefault="00A93459" w:rsidP="00A93459">
                      <w:pPr>
                        <w:pStyle w:val="ListParagraph"/>
                        <w:numPr>
                          <w:ilvl w:val="0"/>
                          <w:numId w:val="10"/>
                        </w:numPr>
                      </w:pPr>
                      <w:r>
                        <w:t xml:space="preserve">Farm incomes remained below the 10-year average despite improved red meat </w:t>
                      </w:r>
                      <w:r w:rsidR="00C26965">
                        <w:t>prices and</w:t>
                      </w:r>
                      <w:r w:rsidR="00501301">
                        <w:t xml:space="preserve"> did not cover the </w:t>
                      </w:r>
                      <w:r w:rsidR="00756659">
                        <w:t xml:space="preserve">higher variable costs </w:t>
                      </w:r>
                      <w:r w:rsidR="002A74D0">
                        <w:t>which increased above the 10-year average</w:t>
                      </w:r>
                      <w:r>
                        <w:t>.</w:t>
                      </w:r>
                    </w:p>
                    <w:p w14:paraId="7AF7D2D3" w14:textId="77777777" w:rsidR="00B84A4C" w:rsidRDefault="00B84A4C" w:rsidP="00B84A4C">
                      <w:pPr>
                        <w:pStyle w:val="ListParagraph"/>
                        <w:numPr>
                          <w:ilvl w:val="0"/>
                          <w:numId w:val="10"/>
                        </w:numPr>
                      </w:pPr>
                      <w:r>
                        <w:t>Poor pasture growth due to challenging dry conditions led to high s</w:t>
                      </w:r>
                      <w:r w:rsidRPr="00075348">
                        <w:t>upplementary feed use and costs</w:t>
                      </w:r>
                      <w:r>
                        <w:t xml:space="preserve"> and/or decreased stocking rates and livestock inventories.</w:t>
                      </w:r>
                    </w:p>
                    <w:p w14:paraId="6DF6D502" w14:textId="187CD9B1" w:rsidR="008E06EA" w:rsidRDefault="00894867" w:rsidP="00C20EA0">
                      <w:pPr>
                        <w:pStyle w:val="ListParagraph"/>
                        <w:numPr>
                          <w:ilvl w:val="0"/>
                          <w:numId w:val="10"/>
                        </w:numPr>
                      </w:pPr>
                      <w:r>
                        <w:t>In 2024-25, a</w:t>
                      </w:r>
                      <w:r w:rsidR="00C20EA0">
                        <w:t>verage statewide farm profits (EBIT) fell to the lowest levels in 20 years</w:t>
                      </w:r>
                      <w:r w:rsidR="00F1342F">
                        <w:t xml:space="preserve">. </w:t>
                      </w:r>
                    </w:p>
                    <w:p w14:paraId="600851AF" w14:textId="0565C39D" w:rsidR="00C20EA0" w:rsidRPr="00075348" w:rsidRDefault="00F1342F" w:rsidP="00C20EA0">
                      <w:pPr>
                        <w:pStyle w:val="ListParagraph"/>
                        <w:numPr>
                          <w:ilvl w:val="0"/>
                          <w:numId w:val="10"/>
                        </w:numPr>
                      </w:pPr>
                      <w:r>
                        <w:t>Half of the participants recorded negative profits</w:t>
                      </w:r>
                      <w:r w:rsidR="00556514">
                        <w:t xml:space="preserve"> </w:t>
                      </w:r>
                      <w:r w:rsidR="002D639E">
                        <w:t xml:space="preserve">which </w:t>
                      </w:r>
                      <w:r w:rsidR="00556514">
                        <w:t>tipp</w:t>
                      </w:r>
                      <w:r w:rsidR="002D639E">
                        <w:t>ed</w:t>
                      </w:r>
                      <w:r w:rsidR="00556514">
                        <w:t xml:space="preserve"> </w:t>
                      </w:r>
                      <w:r w:rsidR="00050172">
                        <w:t>average profits and returns negative</w:t>
                      </w:r>
                      <w:r w:rsidR="008E06EA">
                        <w:t xml:space="preserve"> and below the 10-year average in all regions</w:t>
                      </w:r>
                      <w:r w:rsidR="00050172">
                        <w:t>.</w:t>
                      </w:r>
                    </w:p>
                    <w:p w14:paraId="1B08541B" w14:textId="6BFC4C9B" w:rsidR="00F62BB0" w:rsidRDefault="006C77B1" w:rsidP="00C26965">
                      <w:pPr>
                        <w:pStyle w:val="ListParagraph"/>
                        <w:numPr>
                          <w:ilvl w:val="0"/>
                          <w:numId w:val="10"/>
                        </w:numPr>
                      </w:pPr>
                      <w:r>
                        <w:t>Increased interest payments</w:t>
                      </w:r>
                      <w:r w:rsidR="00A17A2C">
                        <w:t>, driven by larger borrowings put additional pressure on farm cash flow</w:t>
                      </w:r>
                      <w:r w:rsidR="002E7AE7">
                        <w:t>.</w:t>
                      </w:r>
                    </w:p>
                  </w:txbxContent>
                </v:textbox>
                <w10:wrap type="square" anchorx="margin"/>
              </v:shape>
            </w:pict>
          </mc:Fallback>
        </mc:AlternateContent>
      </w:r>
      <w:r w:rsidR="008272D9" w:rsidRPr="003910BE">
        <w:t>Stat</w:t>
      </w:r>
      <w:r w:rsidR="003960C2" w:rsidRPr="003910BE">
        <w:rPr>
          <w:bCs/>
        </w:rPr>
        <w:t>e</w:t>
      </w:r>
      <w:r w:rsidR="008272D9" w:rsidRPr="003910BE">
        <w:rPr>
          <w:bCs/>
        </w:rPr>
        <w:t xml:space="preserve"> summary</w:t>
      </w:r>
      <w:bookmarkEnd w:id="5"/>
    </w:p>
    <w:tbl>
      <w:tblPr>
        <w:tblpPr w:leftFromText="180" w:rightFromText="180" w:vertAnchor="text" w:horzAnchor="margin" w:tblpXSpec="center" w:tblpY="6184"/>
        <w:tblW w:w="11893" w:type="pct"/>
        <w:tblLook w:val="04A0" w:firstRow="1" w:lastRow="0" w:firstColumn="1" w:lastColumn="0" w:noHBand="0" w:noVBand="1"/>
      </w:tblPr>
      <w:tblGrid>
        <w:gridCol w:w="4066"/>
        <w:gridCol w:w="1592"/>
        <w:gridCol w:w="752"/>
        <w:gridCol w:w="1592"/>
        <w:gridCol w:w="751"/>
        <w:gridCol w:w="1592"/>
        <w:gridCol w:w="812"/>
      </w:tblGrid>
      <w:tr w:rsidR="00673795" w:rsidRPr="00E4184C" w14:paraId="498A403D" w14:textId="77777777" w:rsidTr="000C7427">
        <w:trPr>
          <w:trHeight w:val="420"/>
        </w:trPr>
        <w:tc>
          <w:tcPr>
            <w:tcW w:w="1910" w:type="pct"/>
            <w:tcBorders>
              <w:top w:val="nil"/>
              <w:left w:val="nil"/>
              <w:bottom w:val="nil"/>
              <w:right w:val="nil"/>
            </w:tcBorders>
            <w:shd w:val="clear" w:color="000000" w:fill="FFFFFF"/>
            <w:noWrap/>
            <w:vAlign w:val="bottom"/>
            <w:hideMark/>
          </w:tcPr>
          <w:p w14:paraId="014CD2D1" w14:textId="77777777" w:rsidR="00673795" w:rsidRPr="00EC350C" w:rsidRDefault="00673795" w:rsidP="00673795">
            <w:pPr>
              <w:spacing w:after="0" w:line="240" w:lineRule="auto"/>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State summary</w:t>
            </w:r>
          </w:p>
        </w:tc>
        <w:tc>
          <w:tcPr>
            <w:tcW w:w="669" w:type="pct"/>
            <w:tcBorders>
              <w:top w:val="nil"/>
              <w:left w:val="nil"/>
              <w:bottom w:val="nil"/>
              <w:right w:val="nil"/>
            </w:tcBorders>
            <w:shd w:val="clear" w:color="000000" w:fill="FFFFFF"/>
            <w:noWrap/>
            <w:vAlign w:val="bottom"/>
            <w:hideMark/>
          </w:tcPr>
          <w:p w14:paraId="7B4043B6" w14:textId="77777777" w:rsidR="00673795" w:rsidRPr="00EC350C" w:rsidRDefault="00673795" w:rsidP="00673795">
            <w:pPr>
              <w:spacing w:after="0" w:line="240" w:lineRule="auto"/>
              <w:jc w:val="center"/>
              <w:rPr>
                <w:rFonts w:ascii="Aptos Narrow" w:eastAsia="Times New Roman" w:hAnsi="Aptos Narrow" w:cs="Times New Roman"/>
                <w:b/>
                <w:bCs/>
                <w:color w:val="000000"/>
                <w:szCs w:val="20"/>
                <w:lang w:eastAsia="en-AU"/>
              </w:rPr>
            </w:pPr>
            <w:r w:rsidRPr="00EC350C">
              <w:rPr>
                <w:rFonts w:ascii="Aptos Narrow" w:eastAsia="Times New Roman" w:hAnsi="Aptos Narrow" w:cs="Times New Roman"/>
                <w:b/>
                <w:bCs/>
                <w:color w:val="000000"/>
                <w:szCs w:val="20"/>
                <w:lang w:eastAsia="en-AU"/>
              </w:rPr>
              <w:t> </w:t>
            </w:r>
          </w:p>
        </w:tc>
        <w:tc>
          <w:tcPr>
            <w:tcW w:w="392" w:type="pct"/>
            <w:tcBorders>
              <w:top w:val="nil"/>
              <w:left w:val="nil"/>
              <w:bottom w:val="nil"/>
              <w:right w:val="nil"/>
            </w:tcBorders>
            <w:shd w:val="clear" w:color="000000" w:fill="FFFFFF"/>
            <w:noWrap/>
            <w:vAlign w:val="bottom"/>
            <w:hideMark/>
          </w:tcPr>
          <w:p w14:paraId="6B728843" w14:textId="77777777" w:rsidR="00673795" w:rsidRPr="00EC350C" w:rsidRDefault="00673795" w:rsidP="00673795">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669" w:type="pct"/>
            <w:tcBorders>
              <w:top w:val="nil"/>
              <w:left w:val="nil"/>
              <w:bottom w:val="nil"/>
              <w:right w:val="nil"/>
            </w:tcBorders>
            <w:shd w:val="clear" w:color="000000" w:fill="FFFFFF"/>
            <w:noWrap/>
            <w:vAlign w:val="bottom"/>
            <w:hideMark/>
          </w:tcPr>
          <w:p w14:paraId="23E27458" w14:textId="77777777" w:rsidR="00673795" w:rsidRPr="00EC350C" w:rsidRDefault="00673795" w:rsidP="00673795">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346" w:type="pct"/>
            <w:tcBorders>
              <w:top w:val="nil"/>
              <w:left w:val="nil"/>
              <w:bottom w:val="nil"/>
              <w:right w:val="nil"/>
            </w:tcBorders>
            <w:shd w:val="clear" w:color="000000" w:fill="FFFFFF"/>
            <w:noWrap/>
            <w:vAlign w:val="bottom"/>
            <w:hideMark/>
          </w:tcPr>
          <w:p w14:paraId="41960D24" w14:textId="77777777" w:rsidR="00673795" w:rsidRPr="00EC350C" w:rsidRDefault="00673795" w:rsidP="00673795">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669" w:type="pct"/>
            <w:tcBorders>
              <w:top w:val="nil"/>
              <w:left w:val="nil"/>
              <w:bottom w:val="nil"/>
              <w:right w:val="nil"/>
            </w:tcBorders>
            <w:shd w:val="clear" w:color="000000" w:fill="FFFFFF"/>
            <w:noWrap/>
            <w:vAlign w:val="bottom"/>
            <w:hideMark/>
          </w:tcPr>
          <w:p w14:paraId="3482E842" w14:textId="77777777" w:rsidR="00673795" w:rsidRPr="00EC350C" w:rsidRDefault="00673795" w:rsidP="00673795">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346" w:type="pct"/>
            <w:tcBorders>
              <w:top w:val="nil"/>
              <w:left w:val="nil"/>
              <w:bottom w:val="nil"/>
              <w:right w:val="nil"/>
            </w:tcBorders>
            <w:shd w:val="clear" w:color="000000" w:fill="FFFFFF"/>
            <w:noWrap/>
            <w:vAlign w:val="bottom"/>
            <w:hideMark/>
          </w:tcPr>
          <w:p w14:paraId="1D14FF13" w14:textId="77777777" w:rsidR="00673795" w:rsidRPr="00EC350C" w:rsidRDefault="00673795" w:rsidP="00673795">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r>
      <w:tr w:rsidR="00673795" w:rsidRPr="00E4184C" w14:paraId="674B60F0" w14:textId="77777777" w:rsidTr="000C7427">
        <w:trPr>
          <w:trHeight w:val="300"/>
        </w:trPr>
        <w:tc>
          <w:tcPr>
            <w:tcW w:w="1910" w:type="pct"/>
            <w:tcBorders>
              <w:top w:val="nil"/>
              <w:left w:val="nil"/>
              <w:bottom w:val="nil"/>
              <w:right w:val="nil"/>
            </w:tcBorders>
            <w:shd w:val="clear" w:color="000000" w:fill="FFFFFF"/>
            <w:noWrap/>
            <w:vAlign w:val="bottom"/>
            <w:hideMark/>
          </w:tcPr>
          <w:p w14:paraId="57CF30D0" w14:textId="77777777" w:rsidR="00673795" w:rsidRPr="00EC350C" w:rsidRDefault="00673795" w:rsidP="00673795">
            <w:pPr>
              <w:spacing w:after="0" w:line="240" w:lineRule="auto"/>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669" w:type="pct"/>
            <w:tcBorders>
              <w:top w:val="nil"/>
              <w:left w:val="nil"/>
              <w:bottom w:val="nil"/>
              <w:right w:val="nil"/>
            </w:tcBorders>
            <w:shd w:val="clear" w:color="000000" w:fill="FFFFFF"/>
            <w:noWrap/>
            <w:vAlign w:val="bottom"/>
            <w:hideMark/>
          </w:tcPr>
          <w:p w14:paraId="42906E6F" w14:textId="77777777" w:rsidR="00673795" w:rsidRPr="00EC350C" w:rsidRDefault="00673795" w:rsidP="00673795">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392" w:type="pct"/>
            <w:tcBorders>
              <w:top w:val="nil"/>
              <w:left w:val="nil"/>
              <w:bottom w:val="nil"/>
              <w:right w:val="nil"/>
            </w:tcBorders>
            <w:shd w:val="clear" w:color="000000" w:fill="FFFFFF"/>
            <w:noWrap/>
            <w:vAlign w:val="bottom"/>
            <w:hideMark/>
          </w:tcPr>
          <w:p w14:paraId="39E96E1E" w14:textId="77777777" w:rsidR="00673795" w:rsidRPr="00EC350C" w:rsidRDefault="00673795" w:rsidP="00673795">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669" w:type="pct"/>
            <w:tcBorders>
              <w:top w:val="nil"/>
              <w:left w:val="nil"/>
              <w:bottom w:val="nil"/>
              <w:right w:val="nil"/>
            </w:tcBorders>
            <w:shd w:val="clear" w:color="000000" w:fill="FFFFFF"/>
            <w:noWrap/>
            <w:vAlign w:val="bottom"/>
            <w:hideMark/>
          </w:tcPr>
          <w:p w14:paraId="4B324DEA" w14:textId="77777777" w:rsidR="00673795" w:rsidRPr="00EC350C" w:rsidRDefault="00673795" w:rsidP="00673795">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346" w:type="pct"/>
            <w:tcBorders>
              <w:top w:val="nil"/>
              <w:left w:val="nil"/>
              <w:bottom w:val="nil"/>
              <w:right w:val="nil"/>
            </w:tcBorders>
            <w:shd w:val="clear" w:color="000000" w:fill="FFFFFF"/>
            <w:noWrap/>
            <w:vAlign w:val="bottom"/>
            <w:hideMark/>
          </w:tcPr>
          <w:p w14:paraId="63E3DBC1" w14:textId="77777777" w:rsidR="00673795" w:rsidRPr="00EC350C" w:rsidRDefault="00673795" w:rsidP="00673795">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669" w:type="pct"/>
            <w:tcBorders>
              <w:top w:val="nil"/>
              <w:left w:val="nil"/>
              <w:bottom w:val="nil"/>
              <w:right w:val="nil"/>
            </w:tcBorders>
            <w:shd w:val="clear" w:color="000000" w:fill="FFFFFF"/>
            <w:noWrap/>
            <w:vAlign w:val="bottom"/>
            <w:hideMark/>
          </w:tcPr>
          <w:p w14:paraId="37725B79" w14:textId="77777777" w:rsidR="00673795" w:rsidRPr="00EC350C" w:rsidRDefault="00673795" w:rsidP="00673795">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c>
          <w:tcPr>
            <w:tcW w:w="346" w:type="pct"/>
            <w:tcBorders>
              <w:top w:val="nil"/>
              <w:left w:val="nil"/>
              <w:bottom w:val="nil"/>
              <w:right w:val="nil"/>
            </w:tcBorders>
            <w:shd w:val="clear" w:color="000000" w:fill="FFFFFF"/>
            <w:noWrap/>
            <w:vAlign w:val="bottom"/>
            <w:hideMark/>
          </w:tcPr>
          <w:p w14:paraId="392BFB10" w14:textId="77777777" w:rsidR="00673795" w:rsidRPr="00EC350C" w:rsidRDefault="00673795" w:rsidP="00673795">
            <w:pPr>
              <w:spacing w:after="0" w:line="240" w:lineRule="auto"/>
              <w:jc w:val="center"/>
              <w:rPr>
                <w:rFonts w:ascii="Aptos Narrow" w:eastAsia="Times New Roman" w:hAnsi="Aptos Narrow" w:cs="Times New Roman"/>
                <w:color w:val="000000"/>
                <w:szCs w:val="20"/>
                <w:lang w:eastAsia="en-AU"/>
              </w:rPr>
            </w:pPr>
            <w:r w:rsidRPr="00EC350C">
              <w:rPr>
                <w:rFonts w:ascii="Aptos Narrow" w:eastAsia="Times New Roman" w:hAnsi="Aptos Narrow" w:cs="Times New Roman"/>
                <w:color w:val="000000"/>
                <w:szCs w:val="20"/>
                <w:lang w:eastAsia="en-AU"/>
              </w:rPr>
              <w:t> </w:t>
            </w:r>
          </w:p>
        </w:tc>
      </w:tr>
      <w:tr w:rsidR="00673795" w:rsidRPr="00E4184C" w14:paraId="507EFE73" w14:textId="77777777" w:rsidTr="000C7427">
        <w:trPr>
          <w:trHeight w:val="300"/>
        </w:trPr>
        <w:tc>
          <w:tcPr>
            <w:tcW w:w="1910" w:type="pct"/>
            <w:tcBorders>
              <w:top w:val="nil"/>
              <w:left w:val="nil"/>
              <w:bottom w:val="nil"/>
              <w:right w:val="nil"/>
            </w:tcBorders>
            <w:shd w:val="clear" w:color="000000" w:fill="FFFFFF"/>
            <w:noWrap/>
            <w:vAlign w:val="bottom"/>
            <w:hideMark/>
          </w:tcPr>
          <w:p w14:paraId="51D2C601" w14:textId="77777777" w:rsidR="00673795" w:rsidRPr="00137FDC" w:rsidRDefault="00673795" w:rsidP="00673795">
            <w:pPr>
              <w:spacing w:after="0" w:line="240" w:lineRule="auto"/>
              <w:rPr>
                <w:rFonts w:eastAsia="Times New Roman" w:cs="Times New Roman"/>
                <w:b/>
                <w:bCs/>
                <w:color w:val="000000"/>
                <w:szCs w:val="20"/>
                <w:lang w:eastAsia="en-AU"/>
              </w:rPr>
            </w:pPr>
            <w:r w:rsidRPr="00137FDC">
              <w:rPr>
                <w:rFonts w:eastAsia="Times New Roman" w:cs="Times New Roman"/>
                <w:b/>
                <w:bCs/>
                <w:color w:val="000000"/>
                <w:szCs w:val="20"/>
                <w:lang w:eastAsia="en-AU"/>
              </w:rPr>
              <w:t>Financial parameter bars:</w:t>
            </w:r>
          </w:p>
        </w:tc>
        <w:tc>
          <w:tcPr>
            <w:tcW w:w="669" w:type="pct"/>
            <w:tcBorders>
              <w:top w:val="nil"/>
              <w:left w:val="nil"/>
              <w:bottom w:val="nil"/>
              <w:right w:val="nil"/>
            </w:tcBorders>
            <w:shd w:val="clear" w:color="000000" w:fill="FFFFFF"/>
            <w:noWrap/>
            <w:vAlign w:val="bottom"/>
            <w:hideMark/>
          </w:tcPr>
          <w:p w14:paraId="1E030702" w14:textId="77777777" w:rsidR="00673795" w:rsidRPr="00137FDC" w:rsidRDefault="00673795" w:rsidP="00673795">
            <w:pPr>
              <w:spacing w:after="0" w:line="240" w:lineRule="auto"/>
              <w:jc w:val="center"/>
              <w:rPr>
                <w:rFonts w:eastAsia="Times New Roman" w:cs="Times New Roman"/>
                <w:b/>
                <w:bCs/>
                <w:color w:val="000000"/>
                <w:szCs w:val="20"/>
                <w:lang w:eastAsia="en-AU"/>
              </w:rPr>
            </w:pPr>
            <w:r w:rsidRPr="00137FDC">
              <w:rPr>
                <w:rFonts w:eastAsia="Times New Roman" w:cs="Times New Roman"/>
                <w:b/>
                <w:bCs/>
                <w:color w:val="000000"/>
                <w:szCs w:val="20"/>
                <w:lang w:eastAsia="en-AU"/>
              </w:rPr>
              <w:t>10-yr average</w:t>
            </w:r>
          </w:p>
        </w:tc>
        <w:tc>
          <w:tcPr>
            <w:tcW w:w="392" w:type="pct"/>
            <w:tcBorders>
              <w:top w:val="nil"/>
              <w:left w:val="nil"/>
              <w:bottom w:val="nil"/>
              <w:right w:val="nil"/>
            </w:tcBorders>
            <w:shd w:val="clear" w:color="000000" w:fill="FFFFFF"/>
            <w:noWrap/>
            <w:vAlign w:val="bottom"/>
            <w:hideMark/>
          </w:tcPr>
          <w:p w14:paraId="753087C1" w14:textId="0799F20B" w:rsidR="00673795" w:rsidRPr="00137FDC" w:rsidRDefault="00673795" w:rsidP="00673795">
            <w:pPr>
              <w:spacing w:after="0" w:line="240" w:lineRule="auto"/>
              <w:jc w:val="center"/>
              <w:rPr>
                <w:rFonts w:eastAsia="Times New Roman" w:cs="Times New Roman"/>
                <w:b/>
                <w:bCs/>
                <w:color w:val="000000"/>
                <w:szCs w:val="20"/>
                <w:lang w:eastAsia="en-AU"/>
              </w:rPr>
            </w:pPr>
            <w:r w:rsidRPr="00137FDC">
              <w:rPr>
                <w:rFonts w:eastAsia="Times New Roman" w:cs="Times New Roman"/>
                <w:b/>
                <w:bCs/>
                <w:color w:val="000000"/>
                <w:szCs w:val="20"/>
                <w:lang w:eastAsia="en-AU"/>
              </w:rPr>
              <w:t>G</w:t>
            </w:r>
          </w:p>
        </w:tc>
        <w:tc>
          <w:tcPr>
            <w:tcW w:w="669" w:type="pct"/>
            <w:tcBorders>
              <w:top w:val="nil"/>
              <w:left w:val="nil"/>
              <w:bottom w:val="nil"/>
              <w:right w:val="nil"/>
            </w:tcBorders>
            <w:shd w:val="clear" w:color="000000" w:fill="FFFFFF"/>
            <w:noWrap/>
            <w:vAlign w:val="bottom"/>
            <w:hideMark/>
          </w:tcPr>
          <w:p w14:paraId="61D4E182" w14:textId="77777777" w:rsidR="00673795" w:rsidRPr="00137FDC" w:rsidRDefault="00673795" w:rsidP="00673795">
            <w:pPr>
              <w:spacing w:after="0" w:line="240" w:lineRule="auto"/>
              <w:jc w:val="center"/>
              <w:rPr>
                <w:rFonts w:eastAsia="Times New Roman" w:cs="Times New Roman"/>
                <w:b/>
                <w:bCs/>
                <w:color w:val="000000"/>
                <w:szCs w:val="20"/>
                <w:lang w:eastAsia="en-AU"/>
              </w:rPr>
            </w:pPr>
            <w:r w:rsidRPr="00137FDC">
              <w:rPr>
                <w:rFonts w:eastAsia="Times New Roman" w:cs="Times New Roman"/>
                <w:b/>
                <w:bCs/>
                <w:color w:val="000000"/>
                <w:szCs w:val="20"/>
                <w:lang w:eastAsia="en-AU"/>
              </w:rPr>
              <w:t>10-yr average</w:t>
            </w:r>
          </w:p>
        </w:tc>
        <w:tc>
          <w:tcPr>
            <w:tcW w:w="346" w:type="pct"/>
            <w:tcBorders>
              <w:top w:val="nil"/>
              <w:left w:val="nil"/>
              <w:bottom w:val="nil"/>
              <w:right w:val="nil"/>
            </w:tcBorders>
            <w:shd w:val="clear" w:color="000000" w:fill="FFFFFF"/>
            <w:noWrap/>
            <w:vAlign w:val="bottom"/>
            <w:hideMark/>
          </w:tcPr>
          <w:p w14:paraId="3EDC35BB" w14:textId="77777777" w:rsidR="00673795" w:rsidRPr="00137FDC" w:rsidRDefault="00673795" w:rsidP="00673795">
            <w:pPr>
              <w:spacing w:after="0" w:line="240" w:lineRule="auto"/>
              <w:jc w:val="center"/>
              <w:rPr>
                <w:rFonts w:eastAsia="Times New Roman" w:cs="Times New Roman"/>
                <w:b/>
                <w:bCs/>
                <w:color w:val="000000"/>
                <w:szCs w:val="20"/>
                <w:lang w:eastAsia="en-AU"/>
              </w:rPr>
            </w:pPr>
            <w:r w:rsidRPr="00137FDC">
              <w:rPr>
                <w:rFonts w:eastAsia="Times New Roman" w:cs="Times New Roman"/>
                <w:b/>
                <w:bCs/>
                <w:color w:val="000000"/>
                <w:szCs w:val="20"/>
                <w:lang w:eastAsia="en-AU"/>
              </w:rPr>
              <w:t>N</w:t>
            </w:r>
          </w:p>
        </w:tc>
        <w:tc>
          <w:tcPr>
            <w:tcW w:w="669" w:type="pct"/>
            <w:tcBorders>
              <w:top w:val="nil"/>
              <w:left w:val="nil"/>
              <w:bottom w:val="nil"/>
              <w:right w:val="nil"/>
            </w:tcBorders>
            <w:shd w:val="clear" w:color="000000" w:fill="FFFFFF"/>
            <w:noWrap/>
            <w:vAlign w:val="bottom"/>
            <w:hideMark/>
          </w:tcPr>
          <w:p w14:paraId="21062A4A" w14:textId="77777777" w:rsidR="00673795" w:rsidRPr="00137FDC" w:rsidRDefault="00673795" w:rsidP="00673795">
            <w:pPr>
              <w:spacing w:after="0" w:line="240" w:lineRule="auto"/>
              <w:jc w:val="center"/>
              <w:rPr>
                <w:rFonts w:eastAsia="Times New Roman" w:cs="Times New Roman"/>
                <w:b/>
                <w:bCs/>
                <w:color w:val="000000"/>
                <w:szCs w:val="20"/>
                <w:lang w:eastAsia="en-AU"/>
              </w:rPr>
            </w:pPr>
            <w:r w:rsidRPr="00137FDC">
              <w:rPr>
                <w:rFonts w:eastAsia="Times New Roman" w:cs="Times New Roman"/>
                <w:b/>
                <w:bCs/>
                <w:color w:val="000000"/>
                <w:szCs w:val="20"/>
                <w:lang w:eastAsia="en-AU"/>
              </w:rPr>
              <w:t>10-yr average</w:t>
            </w:r>
          </w:p>
        </w:tc>
        <w:tc>
          <w:tcPr>
            <w:tcW w:w="346" w:type="pct"/>
            <w:tcBorders>
              <w:top w:val="nil"/>
              <w:left w:val="nil"/>
              <w:bottom w:val="nil"/>
              <w:right w:val="nil"/>
            </w:tcBorders>
            <w:shd w:val="clear" w:color="000000" w:fill="FFFFFF"/>
            <w:noWrap/>
            <w:vAlign w:val="bottom"/>
            <w:hideMark/>
          </w:tcPr>
          <w:p w14:paraId="04912D2E" w14:textId="77777777" w:rsidR="00673795" w:rsidRPr="00137FDC" w:rsidRDefault="00673795" w:rsidP="00673795">
            <w:pPr>
              <w:spacing w:after="0" w:line="240" w:lineRule="auto"/>
              <w:jc w:val="center"/>
              <w:rPr>
                <w:rFonts w:eastAsia="Times New Roman" w:cs="Times New Roman"/>
                <w:b/>
                <w:bCs/>
                <w:color w:val="000000"/>
                <w:szCs w:val="20"/>
                <w:lang w:eastAsia="en-AU"/>
              </w:rPr>
            </w:pPr>
            <w:r w:rsidRPr="00137FDC">
              <w:rPr>
                <w:rFonts w:eastAsia="Times New Roman" w:cs="Times New Roman"/>
                <w:b/>
                <w:bCs/>
                <w:color w:val="000000"/>
                <w:szCs w:val="20"/>
                <w:lang w:eastAsia="en-AU"/>
              </w:rPr>
              <w:t>SW</w:t>
            </w:r>
          </w:p>
        </w:tc>
      </w:tr>
      <w:tr w:rsidR="000C7427" w:rsidRPr="00E4184C" w14:paraId="2B4BD5D4" w14:textId="77777777" w:rsidTr="000C7427">
        <w:trPr>
          <w:trHeight w:val="300"/>
        </w:trPr>
        <w:tc>
          <w:tcPr>
            <w:tcW w:w="1910" w:type="pct"/>
            <w:tcBorders>
              <w:top w:val="nil"/>
              <w:left w:val="nil"/>
              <w:bottom w:val="nil"/>
              <w:right w:val="nil"/>
            </w:tcBorders>
            <w:shd w:val="clear" w:color="000000" w:fill="FFFFFF"/>
            <w:noWrap/>
            <w:vAlign w:val="bottom"/>
            <w:hideMark/>
          </w:tcPr>
          <w:p w14:paraId="32F45938" w14:textId="2B882BFC" w:rsidR="000C7427" w:rsidRPr="00137FDC" w:rsidRDefault="000C7427" w:rsidP="000C7427">
            <w:pPr>
              <w:spacing w:after="0" w:line="240" w:lineRule="auto"/>
              <w:rPr>
                <w:rFonts w:eastAsia="Times New Roman" w:cs="Times New Roman"/>
                <w:color w:val="000000"/>
                <w:szCs w:val="20"/>
                <w:lang w:eastAsia="en-AU"/>
              </w:rPr>
            </w:pPr>
            <w:r w:rsidRPr="00137FDC">
              <w:rPr>
                <w:rFonts w:eastAsia="Times New Roman" w:cs="Times New Roman"/>
                <w:color w:val="000000"/>
                <w:szCs w:val="20"/>
                <w:lang w:eastAsia="en-AU"/>
              </w:rPr>
              <w:t xml:space="preserve">Gross </w:t>
            </w:r>
            <w:r w:rsidR="0092744F">
              <w:rPr>
                <w:rFonts w:eastAsia="Times New Roman" w:cs="Times New Roman"/>
                <w:color w:val="000000"/>
                <w:szCs w:val="20"/>
                <w:lang w:eastAsia="en-AU"/>
              </w:rPr>
              <w:t>f</w:t>
            </w:r>
            <w:r w:rsidRPr="00137FDC">
              <w:rPr>
                <w:rFonts w:eastAsia="Times New Roman" w:cs="Times New Roman"/>
                <w:color w:val="000000"/>
                <w:szCs w:val="20"/>
                <w:lang w:eastAsia="en-AU"/>
              </w:rPr>
              <w:t xml:space="preserve">arm </w:t>
            </w:r>
            <w:r w:rsidR="007D1D90">
              <w:rPr>
                <w:rFonts w:eastAsia="Times New Roman" w:cs="Times New Roman"/>
                <w:color w:val="000000"/>
                <w:szCs w:val="20"/>
                <w:lang w:eastAsia="en-AU"/>
              </w:rPr>
              <w:t>i</w:t>
            </w:r>
            <w:r w:rsidRPr="00137FDC">
              <w:rPr>
                <w:rFonts w:eastAsia="Times New Roman" w:cs="Times New Roman"/>
                <w:color w:val="000000"/>
                <w:szCs w:val="20"/>
                <w:lang w:eastAsia="en-AU"/>
              </w:rPr>
              <w:t>ncome ($/ha)</w:t>
            </w:r>
          </w:p>
        </w:tc>
        <w:tc>
          <w:tcPr>
            <w:tcW w:w="669" w:type="pct"/>
            <w:tcBorders>
              <w:top w:val="nil"/>
              <w:left w:val="nil"/>
              <w:bottom w:val="nil"/>
              <w:right w:val="nil"/>
            </w:tcBorders>
            <w:shd w:val="clear" w:color="000000" w:fill="FFFFFF"/>
            <w:noWrap/>
            <w:hideMark/>
          </w:tcPr>
          <w:p w14:paraId="630F9235" w14:textId="197FF63D"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$1,293</w:t>
            </w:r>
          </w:p>
        </w:tc>
        <w:tc>
          <w:tcPr>
            <w:tcW w:w="392" w:type="pct"/>
            <w:tcBorders>
              <w:top w:val="nil"/>
              <w:left w:val="nil"/>
              <w:bottom w:val="nil"/>
              <w:right w:val="nil"/>
            </w:tcBorders>
            <w:shd w:val="clear" w:color="000000" w:fill="FFFFFF"/>
            <w:noWrap/>
            <w:hideMark/>
          </w:tcPr>
          <w:p w14:paraId="6768E56D" w14:textId="3B9277AB"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$1,195</w:t>
            </w:r>
          </w:p>
        </w:tc>
        <w:tc>
          <w:tcPr>
            <w:tcW w:w="669" w:type="pct"/>
            <w:tcBorders>
              <w:top w:val="nil"/>
              <w:left w:val="nil"/>
              <w:bottom w:val="nil"/>
              <w:right w:val="nil"/>
            </w:tcBorders>
            <w:shd w:val="clear" w:color="000000" w:fill="FFFFFF"/>
            <w:noWrap/>
            <w:hideMark/>
          </w:tcPr>
          <w:p w14:paraId="3E366F33" w14:textId="5C920ED8"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$967</w:t>
            </w:r>
          </w:p>
        </w:tc>
        <w:tc>
          <w:tcPr>
            <w:tcW w:w="346" w:type="pct"/>
            <w:tcBorders>
              <w:top w:val="nil"/>
              <w:left w:val="nil"/>
              <w:bottom w:val="nil"/>
              <w:right w:val="nil"/>
            </w:tcBorders>
            <w:shd w:val="clear" w:color="000000" w:fill="FFFFFF"/>
            <w:noWrap/>
            <w:hideMark/>
          </w:tcPr>
          <w:p w14:paraId="4954C0E2" w14:textId="265778AF"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$913</w:t>
            </w:r>
          </w:p>
        </w:tc>
        <w:tc>
          <w:tcPr>
            <w:tcW w:w="669" w:type="pct"/>
            <w:tcBorders>
              <w:top w:val="nil"/>
              <w:left w:val="nil"/>
              <w:bottom w:val="nil"/>
              <w:right w:val="nil"/>
            </w:tcBorders>
            <w:shd w:val="clear" w:color="000000" w:fill="FFFFFF"/>
            <w:noWrap/>
            <w:hideMark/>
          </w:tcPr>
          <w:p w14:paraId="53787145" w14:textId="77274410"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$1,309</w:t>
            </w:r>
          </w:p>
        </w:tc>
        <w:tc>
          <w:tcPr>
            <w:tcW w:w="346" w:type="pct"/>
            <w:tcBorders>
              <w:top w:val="nil"/>
              <w:left w:val="nil"/>
              <w:bottom w:val="nil"/>
              <w:right w:val="nil"/>
            </w:tcBorders>
            <w:shd w:val="clear" w:color="000000" w:fill="FFFFFF"/>
            <w:noWrap/>
            <w:hideMark/>
          </w:tcPr>
          <w:p w14:paraId="4E9E55BB" w14:textId="7D7BF819"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$1,088</w:t>
            </w:r>
          </w:p>
        </w:tc>
      </w:tr>
      <w:tr w:rsidR="000C7427" w:rsidRPr="00E4184C" w14:paraId="56C52581" w14:textId="77777777" w:rsidTr="000C7427">
        <w:trPr>
          <w:trHeight w:val="300"/>
        </w:trPr>
        <w:tc>
          <w:tcPr>
            <w:tcW w:w="1910" w:type="pct"/>
            <w:tcBorders>
              <w:top w:val="nil"/>
              <w:left w:val="nil"/>
              <w:bottom w:val="nil"/>
              <w:right w:val="nil"/>
            </w:tcBorders>
            <w:shd w:val="clear" w:color="000000" w:fill="FFFFFF"/>
            <w:noWrap/>
            <w:vAlign w:val="bottom"/>
            <w:hideMark/>
          </w:tcPr>
          <w:p w14:paraId="1756F944" w14:textId="77777777" w:rsidR="000C7427" w:rsidRPr="00137FDC" w:rsidRDefault="000C7427" w:rsidP="000C7427">
            <w:pPr>
              <w:spacing w:after="0" w:line="240" w:lineRule="auto"/>
              <w:rPr>
                <w:rFonts w:eastAsia="Times New Roman" w:cs="Times New Roman"/>
                <w:color w:val="000000"/>
                <w:szCs w:val="20"/>
                <w:lang w:eastAsia="en-AU"/>
              </w:rPr>
            </w:pPr>
            <w:r w:rsidRPr="00137FDC">
              <w:rPr>
                <w:rFonts w:eastAsia="Times New Roman" w:cs="Times New Roman"/>
                <w:color w:val="000000"/>
                <w:szCs w:val="20"/>
                <w:lang w:eastAsia="en-AU"/>
              </w:rPr>
              <w:t>Variable costs ($/ha)</w:t>
            </w:r>
          </w:p>
        </w:tc>
        <w:tc>
          <w:tcPr>
            <w:tcW w:w="669" w:type="pct"/>
            <w:tcBorders>
              <w:top w:val="nil"/>
              <w:left w:val="nil"/>
              <w:bottom w:val="nil"/>
              <w:right w:val="nil"/>
            </w:tcBorders>
            <w:shd w:val="clear" w:color="000000" w:fill="FFFFFF"/>
            <w:noWrap/>
            <w:hideMark/>
          </w:tcPr>
          <w:p w14:paraId="7EA5519C" w14:textId="7E291D8A"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$510</w:t>
            </w:r>
          </w:p>
        </w:tc>
        <w:tc>
          <w:tcPr>
            <w:tcW w:w="392" w:type="pct"/>
            <w:tcBorders>
              <w:top w:val="nil"/>
              <w:left w:val="nil"/>
              <w:bottom w:val="nil"/>
              <w:right w:val="nil"/>
            </w:tcBorders>
            <w:shd w:val="clear" w:color="000000" w:fill="FFFFFF"/>
            <w:noWrap/>
            <w:hideMark/>
          </w:tcPr>
          <w:p w14:paraId="2738B872" w14:textId="026D4979"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$561</w:t>
            </w:r>
          </w:p>
        </w:tc>
        <w:tc>
          <w:tcPr>
            <w:tcW w:w="669" w:type="pct"/>
            <w:tcBorders>
              <w:top w:val="nil"/>
              <w:left w:val="nil"/>
              <w:bottom w:val="nil"/>
              <w:right w:val="nil"/>
            </w:tcBorders>
            <w:shd w:val="clear" w:color="000000" w:fill="FFFFFF"/>
            <w:noWrap/>
            <w:hideMark/>
          </w:tcPr>
          <w:p w14:paraId="4608C11C" w14:textId="15E74E68"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$375</w:t>
            </w:r>
          </w:p>
        </w:tc>
        <w:tc>
          <w:tcPr>
            <w:tcW w:w="346" w:type="pct"/>
            <w:tcBorders>
              <w:top w:val="nil"/>
              <w:left w:val="nil"/>
              <w:bottom w:val="nil"/>
              <w:right w:val="nil"/>
            </w:tcBorders>
            <w:shd w:val="clear" w:color="000000" w:fill="FFFFFF"/>
            <w:noWrap/>
            <w:hideMark/>
          </w:tcPr>
          <w:p w14:paraId="58E524E3" w14:textId="53ACD2E2"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$460</w:t>
            </w:r>
          </w:p>
        </w:tc>
        <w:tc>
          <w:tcPr>
            <w:tcW w:w="669" w:type="pct"/>
            <w:tcBorders>
              <w:top w:val="nil"/>
              <w:left w:val="nil"/>
              <w:bottom w:val="nil"/>
              <w:right w:val="nil"/>
            </w:tcBorders>
            <w:shd w:val="clear" w:color="000000" w:fill="FFFFFF"/>
            <w:noWrap/>
            <w:hideMark/>
          </w:tcPr>
          <w:p w14:paraId="69C510DF" w14:textId="65A06318"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$547</w:t>
            </w:r>
          </w:p>
        </w:tc>
        <w:tc>
          <w:tcPr>
            <w:tcW w:w="346" w:type="pct"/>
            <w:tcBorders>
              <w:top w:val="nil"/>
              <w:left w:val="nil"/>
              <w:bottom w:val="nil"/>
              <w:right w:val="nil"/>
            </w:tcBorders>
            <w:shd w:val="clear" w:color="000000" w:fill="FFFFFF"/>
            <w:noWrap/>
            <w:hideMark/>
          </w:tcPr>
          <w:p w14:paraId="4825373E" w14:textId="76CF2DC9"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$726</w:t>
            </w:r>
          </w:p>
        </w:tc>
      </w:tr>
      <w:tr w:rsidR="000C7427" w:rsidRPr="00E4184C" w14:paraId="4A909156" w14:textId="77777777" w:rsidTr="000C7427">
        <w:trPr>
          <w:trHeight w:val="300"/>
        </w:trPr>
        <w:tc>
          <w:tcPr>
            <w:tcW w:w="1910" w:type="pct"/>
            <w:tcBorders>
              <w:top w:val="nil"/>
              <w:left w:val="nil"/>
              <w:bottom w:val="nil"/>
              <w:right w:val="nil"/>
            </w:tcBorders>
            <w:shd w:val="clear" w:color="000000" w:fill="FFFFFF"/>
            <w:noWrap/>
            <w:vAlign w:val="bottom"/>
            <w:hideMark/>
          </w:tcPr>
          <w:p w14:paraId="643CB9DA" w14:textId="77777777" w:rsidR="000C7427" w:rsidRPr="00137FDC" w:rsidRDefault="000C7427" w:rsidP="000C7427">
            <w:pPr>
              <w:spacing w:after="0" w:line="240" w:lineRule="auto"/>
              <w:rPr>
                <w:rFonts w:eastAsia="Times New Roman" w:cs="Times New Roman"/>
                <w:color w:val="000000"/>
                <w:szCs w:val="20"/>
                <w:lang w:eastAsia="en-AU"/>
              </w:rPr>
            </w:pPr>
            <w:r w:rsidRPr="00137FDC">
              <w:rPr>
                <w:rFonts w:eastAsia="Times New Roman" w:cs="Times New Roman"/>
                <w:color w:val="000000"/>
                <w:szCs w:val="20"/>
                <w:lang w:eastAsia="en-AU"/>
              </w:rPr>
              <w:t>Overhead costs ($/ha)</w:t>
            </w:r>
          </w:p>
        </w:tc>
        <w:tc>
          <w:tcPr>
            <w:tcW w:w="669" w:type="pct"/>
            <w:tcBorders>
              <w:top w:val="nil"/>
              <w:left w:val="nil"/>
              <w:bottom w:val="nil"/>
              <w:right w:val="nil"/>
            </w:tcBorders>
            <w:shd w:val="clear" w:color="000000" w:fill="FFFFFF"/>
            <w:noWrap/>
            <w:hideMark/>
          </w:tcPr>
          <w:p w14:paraId="08B2C0EE" w14:textId="2D06D971"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$597</w:t>
            </w:r>
          </w:p>
        </w:tc>
        <w:tc>
          <w:tcPr>
            <w:tcW w:w="392" w:type="pct"/>
            <w:tcBorders>
              <w:top w:val="nil"/>
              <w:left w:val="nil"/>
              <w:bottom w:val="nil"/>
              <w:right w:val="nil"/>
            </w:tcBorders>
            <w:shd w:val="clear" w:color="000000" w:fill="FFFFFF"/>
            <w:noWrap/>
            <w:hideMark/>
          </w:tcPr>
          <w:p w14:paraId="4CA0310B" w14:textId="2FA7EC9D"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$648</w:t>
            </w:r>
          </w:p>
        </w:tc>
        <w:tc>
          <w:tcPr>
            <w:tcW w:w="669" w:type="pct"/>
            <w:tcBorders>
              <w:top w:val="nil"/>
              <w:left w:val="nil"/>
              <w:bottom w:val="nil"/>
              <w:right w:val="nil"/>
            </w:tcBorders>
            <w:shd w:val="clear" w:color="000000" w:fill="FFFFFF"/>
            <w:noWrap/>
            <w:hideMark/>
          </w:tcPr>
          <w:p w14:paraId="388650E2" w14:textId="552415C5"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$431</w:t>
            </w:r>
          </w:p>
        </w:tc>
        <w:tc>
          <w:tcPr>
            <w:tcW w:w="346" w:type="pct"/>
            <w:tcBorders>
              <w:top w:val="nil"/>
              <w:left w:val="nil"/>
              <w:bottom w:val="nil"/>
              <w:right w:val="nil"/>
            </w:tcBorders>
            <w:shd w:val="clear" w:color="000000" w:fill="FFFFFF"/>
            <w:noWrap/>
            <w:hideMark/>
          </w:tcPr>
          <w:p w14:paraId="13D9B86F" w14:textId="6EBD816E"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$463</w:t>
            </w:r>
          </w:p>
        </w:tc>
        <w:tc>
          <w:tcPr>
            <w:tcW w:w="669" w:type="pct"/>
            <w:tcBorders>
              <w:top w:val="nil"/>
              <w:left w:val="nil"/>
              <w:bottom w:val="nil"/>
              <w:right w:val="nil"/>
            </w:tcBorders>
            <w:shd w:val="clear" w:color="000000" w:fill="FFFFFF"/>
            <w:noWrap/>
            <w:hideMark/>
          </w:tcPr>
          <w:p w14:paraId="228534FF" w14:textId="6BCE9951"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$383</w:t>
            </w:r>
          </w:p>
        </w:tc>
        <w:tc>
          <w:tcPr>
            <w:tcW w:w="346" w:type="pct"/>
            <w:tcBorders>
              <w:top w:val="nil"/>
              <w:left w:val="nil"/>
              <w:bottom w:val="nil"/>
              <w:right w:val="nil"/>
            </w:tcBorders>
            <w:shd w:val="clear" w:color="000000" w:fill="FFFFFF"/>
            <w:noWrap/>
            <w:hideMark/>
          </w:tcPr>
          <w:p w14:paraId="6B4ED6BA" w14:textId="00A6D59F"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$372</w:t>
            </w:r>
          </w:p>
        </w:tc>
      </w:tr>
      <w:tr w:rsidR="000C7427" w:rsidRPr="00EC350C" w14:paraId="2AC5B86F" w14:textId="77777777" w:rsidTr="000C7427">
        <w:trPr>
          <w:trHeight w:val="300"/>
        </w:trPr>
        <w:tc>
          <w:tcPr>
            <w:tcW w:w="1910" w:type="pct"/>
            <w:tcBorders>
              <w:top w:val="nil"/>
              <w:left w:val="nil"/>
              <w:bottom w:val="nil"/>
              <w:right w:val="nil"/>
            </w:tcBorders>
            <w:shd w:val="clear" w:color="000000" w:fill="FFFFFF"/>
            <w:noWrap/>
            <w:vAlign w:val="bottom"/>
            <w:hideMark/>
          </w:tcPr>
          <w:p w14:paraId="27245C25" w14:textId="4BB49D8E" w:rsidR="000C7427" w:rsidRPr="00137FDC" w:rsidRDefault="000C7427" w:rsidP="000C7427">
            <w:pPr>
              <w:spacing w:after="0" w:line="240" w:lineRule="auto"/>
              <w:rPr>
                <w:rFonts w:eastAsia="Times New Roman" w:cs="Times New Roman"/>
                <w:color w:val="000000"/>
                <w:szCs w:val="20"/>
                <w:lang w:eastAsia="en-AU"/>
              </w:rPr>
            </w:pPr>
            <w:r w:rsidRPr="00137FDC">
              <w:rPr>
                <w:rFonts w:eastAsia="Times New Roman" w:cs="Times New Roman"/>
                <w:color w:val="000000"/>
                <w:szCs w:val="20"/>
                <w:lang w:eastAsia="en-AU"/>
              </w:rPr>
              <w:t>Earnings before Interest and Tax ($/ha)</w:t>
            </w:r>
          </w:p>
        </w:tc>
        <w:tc>
          <w:tcPr>
            <w:tcW w:w="669" w:type="pct"/>
            <w:tcBorders>
              <w:top w:val="nil"/>
              <w:left w:val="nil"/>
              <w:bottom w:val="nil"/>
              <w:right w:val="nil"/>
            </w:tcBorders>
            <w:shd w:val="clear" w:color="000000" w:fill="FFFFFF"/>
            <w:noWrap/>
            <w:hideMark/>
          </w:tcPr>
          <w:p w14:paraId="38EFD15B" w14:textId="7A7B56A9"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$186</w:t>
            </w:r>
          </w:p>
        </w:tc>
        <w:tc>
          <w:tcPr>
            <w:tcW w:w="392" w:type="pct"/>
            <w:tcBorders>
              <w:top w:val="nil"/>
              <w:left w:val="nil"/>
              <w:bottom w:val="nil"/>
              <w:right w:val="nil"/>
            </w:tcBorders>
            <w:noWrap/>
            <w:hideMark/>
          </w:tcPr>
          <w:p w14:paraId="633F68B2" w14:textId="0B368220"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-$14</w:t>
            </w:r>
          </w:p>
        </w:tc>
        <w:tc>
          <w:tcPr>
            <w:tcW w:w="669" w:type="pct"/>
            <w:tcBorders>
              <w:top w:val="nil"/>
              <w:left w:val="nil"/>
              <w:bottom w:val="nil"/>
              <w:right w:val="nil"/>
            </w:tcBorders>
            <w:shd w:val="clear" w:color="000000" w:fill="FFFFFF"/>
            <w:noWrap/>
            <w:hideMark/>
          </w:tcPr>
          <w:p w14:paraId="12A0704D" w14:textId="13484968"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$161</w:t>
            </w:r>
          </w:p>
        </w:tc>
        <w:tc>
          <w:tcPr>
            <w:tcW w:w="346" w:type="pct"/>
            <w:tcBorders>
              <w:top w:val="nil"/>
              <w:left w:val="nil"/>
              <w:bottom w:val="nil"/>
              <w:right w:val="nil"/>
            </w:tcBorders>
            <w:noWrap/>
            <w:hideMark/>
          </w:tcPr>
          <w:p w14:paraId="3000E236" w14:textId="1E4FBD5E"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-$10</w:t>
            </w:r>
          </w:p>
        </w:tc>
        <w:tc>
          <w:tcPr>
            <w:tcW w:w="669" w:type="pct"/>
            <w:tcBorders>
              <w:top w:val="nil"/>
              <w:left w:val="nil"/>
              <w:bottom w:val="nil"/>
              <w:right w:val="nil"/>
            </w:tcBorders>
            <w:shd w:val="clear" w:color="000000" w:fill="FFFFFF"/>
            <w:noWrap/>
            <w:hideMark/>
          </w:tcPr>
          <w:p w14:paraId="2CF2F9D9" w14:textId="1FE7E71D"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$379</w:t>
            </w:r>
          </w:p>
        </w:tc>
        <w:tc>
          <w:tcPr>
            <w:tcW w:w="346" w:type="pct"/>
            <w:tcBorders>
              <w:top w:val="nil"/>
              <w:left w:val="nil"/>
              <w:bottom w:val="nil"/>
              <w:right w:val="nil"/>
            </w:tcBorders>
            <w:noWrap/>
            <w:hideMark/>
          </w:tcPr>
          <w:p w14:paraId="0067D792" w14:textId="14DC71CC"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-$10</w:t>
            </w:r>
          </w:p>
        </w:tc>
      </w:tr>
      <w:tr w:rsidR="000C7427" w:rsidRPr="00E4184C" w14:paraId="08BA9318" w14:textId="77777777" w:rsidTr="000C7427">
        <w:trPr>
          <w:trHeight w:val="300"/>
        </w:trPr>
        <w:tc>
          <w:tcPr>
            <w:tcW w:w="1910" w:type="pct"/>
            <w:tcBorders>
              <w:top w:val="nil"/>
              <w:left w:val="nil"/>
              <w:bottom w:val="nil"/>
              <w:right w:val="nil"/>
            </w:tcBorders>
            <w:shd w:val="clear" w:color="000000" w:fill="FFFFFF"/>
            <w:noWrap/>
            <w:vAlign w:val="bottom"/>
            <w:hideMark/>
          </w:tcPr>
          <w:p w14:paraId="7E413D3C" w14:textId="659FBABF" w:rsidR="000C7427" w:rsidRPr="00137FDC" w:rsidRDefault="000C7427" w:rsidP="000C7427">
            <w:pPr>
              <w:spacing w:after="0" w:line="240" w:lineRule="auto"/>
              <w:rPr>
                <w:rFonts w:eastAsia="Times New Roman" w:cs="Times New Roman"/>
                <w:color w:val="000000"/>
                <w:szCs w:val="20"/>
                <w:lang w:eastAsia="en-AU"/>
              </w:rPr>
            </w:pPr>
            <w:r w:rsidRPr="00137FDC">
              <w:rPr>
                <w:rFonts w:eastAsia="Times New Roman" w:cs="Times New Roman"/>
                <w:color w:val="000000"/>
                <w:szCs w:val="20"/>
                <w:lang w:eastAsia="en-AU"/>
              </w:rPr>
              <w:t xml:space="preserve">Return on </w:t>
            </w:r>
            <w:r w:rsidR="007D1D90">
              <w:rPr>
                <w:rFonts w:eastAsia="Times New Roman" w:cs="Times New Roman"/>
                <w:color w:val="000000"/>
                <w:szCs w:val="20"/>
                <w:lang w:eastAsia="en-AU"/>
              </w:rPr>
              <w:t>a</w:t>
            </w:r>
            <w:r w:rsidRPr="00137FDC">
              <w:rPr>
                <w:rFonts w:eastAsia="Times New Roman" w:cs="Times New Roman"/>
                <w:color w:val="000000"/>
                <w:szCs w:val="20"/>
                <w:lang w:eastAsia="en-AU"/>
              </w:rPr>
              <w:t>ssets (%)</w:t>
            </w:r>
          </w:p>
        </w:tc>
        <w:tc>
          <w:tcPr>
            <w:tcW w:w="669" w:type="pct"/>
            <w:tcBorders>
              <w:top w:val="nil"/>
              <w:left w:val="nil"/>
              <w:bottom w:val="nil"/>
              <w:right w:val="nil"/>
            </w:tcBorders>
            <w:shd w:val="clear" w:color="000000" w:fill="FFFFFF"/>
            <w:noWrap/>
            <w:hideMark/>
          </w:tcPr>
          <w:p w14:paraId="27D716E4" w14:textId="57D43C8E"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1.3%</w:t>
            </w:r>
          </w:p>
        </w:tc>
        <w:tc>
          <w:tcPr>
            <w:tcW w:w="392" w:type="pct"/>
            <w:tcBorders>
              <w:top w:val="nil"/>
              <w:left w:val="nil"/>
              <w:bottom w:val="nil"/>
              <w:right w:val="nil"/>
            </w:tcBorders>
            <w:shd w:val="clear" w:color="000000" w:fill="FFFFFF"/>
            <w:noWrap/>
            <w:hideMark/>
          </w:tcPr>
          <w:p w14:paraId="0195F87B" w14:textId="757A10AD"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-0.1%</w:t>
            </w:r>
          </w:p>
        </w:tc>
        <w:tc>
          <w:tcPr>
            <w:tcW w:w="669" w:type="pct"/>
            <w:tcBorders>
              <w:top w:val="nil"/>
              <w:left w:val="nil"/>
              <w:bottom w:val="nil"/>
              <w:right w:val="nil"/>
            </w:tcBorders>
            <w:shd w:val="clear" w:color="000000" w:fill="FFFFFF"/>
            <w:noWrap/>
            <w:hideMark/>
          </w:tcPr>
          <w:p w14:paraId="716A3D61" w14:textId="06E8516D"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1.6%</w:t>
            </w:r>
          </w:p>
        </w:tc>
        <w:tc>
          <w:tcPr>
            <w:tcW w:w="346" w:type="pct"/>
            <w:tcBorders>
              <w:top w:val="nil"/>
              <w:left w:val="nil"/>
              <w:bottom w:val="nil"/>
              <w:right w:val="nil"/>
            </w:tcBorders>
            <w:shd w:val="clear" w:color="000000" w:fill="FFFFFF"/>
            <w:noWrap/>
            <w:hideMark/>
          </w:tcPr>
          <w:p w14:paraId="13C1A302" w14:textId="23576661"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-0.2%</w:t>
            </w:r>
          </w:p>
        </w:tc>
        <w:tc>
          <w:tcPr>
            <w:tcW w:w="669" w:type="pct"/>
            <w:tcBorders>
              <w:top w:val="nil"/>
              <w:left w:val="nil"/>
              <w:bottom w:val="nil"/>
              <w:right w:val="nil"/>
            </w:tcBorders>
            <w:shd w:val="clear" w:color="000000" w:fill="FFFFFF"/>
            <w:noWrap/>
            <w:hideMark/>
          </w:tcPr>
          <w:p w14:paraId="069750FB" w14:textId="5FD0B56B"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3.1%</w:t>
            </w:r>
          </w:p>
        </w:tc>
        <w:tc>
          <w:tcPr>
            <w:tcW w:w="346" w:type="pct"/>
            <w:tcBorders>
              <w:top w:val="nil"/>
              <w:left w:val="nil"/>
              <w:bottom w:val="nil"/>
              <w:right w:val="nil"/>
            </w:tcBorders>
            <w:shd w:val="clear" w:color="000000" w:fill="FFFFFF"/>
            <w:noWrap/>
            <w:hideMark/>
          </w:tcPr>
          <w:p w14:paraId="760A6B12" w14:textId="1A1E89E1"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-0.1%</w:t>
            </w:r>
          </w:p>
        </w:tc>
      </w:tr>
      <w:tr w:rsidR="000C7427" w:rsidRPr="00E4184C" w14:paraId="0B97329C" w14:textId="77777777" w:rsidTr="000C7427">
        <w:trPr>
          <w:trHeight w:val="300"/>
        </w:trPr>
        <w:tc>
          <w:tcPr>
            <w:tcW w:w="1910" w:type="pct"/>
            <w:tcBorders>
              <w:top w:val="nil"/>
              <w:left w:val="nil"/>
              <w:bottom w:val="nil"/>
              <w:right w:val="nil"/>
            </w:tcBorders>
            <w:shd w:val="clear" w:color="000000" w:fill="FFFFFF"/>
            <w:noWrap/>
            <w:vAlign w:val="bottom"/>
            <w:hideMark/>
          </w:tcPr>
          <w:p w14:paraId="78A9B570" w14:textId="1DB819F5" w:rsidR="000C7427" w:rsidRPr="00137FDC" w:rsidRDefault="000C7427" w:rsidP="000C7427">
            <w:pPr>
              <w:spacing w:after="0" w:line="240" w:lineRule="auto"/>
              <w:rPr>
                <w:rFonts w:eastAsia="Times New Roman" w:cs="Times New Roman"/>
                <w:color w:val="000000"/>
                <w:szCs w:val="20"/>
                <w:lang w:eastAsia="en-AU"/>
              </w:rPr>
            </w:pPr>
            <w:r w:rsidRPr="00137FDC">
              <w:rPr>
                <w:rFonts w:eastAsia="Times New Roman" w:cs="Times New Roman"/>
                <w:color w:val="000000"/>
                <w:szCs w:val="20"/>
                <w:lang w:eastAsia="en-AU"/>
              </w:rPr>
              <w:t xml:space="preserve">Return on </w:t>
            </w:r>
            <w:r w:rsidR="007D1D90">
              <w:rPr>
                <w:rFonts w:eastAsia="Times New Roman" w:cs="Times New Roman"/>
                <w:color w:val="000000"/>
                <w:szCs w:val="20"/>
                <w:lang w:eastAsia="en-AU"/>
              </w:rPr>
              <w:t>e</w:t>
            </w:r>
            <w:r w:rsidRPr="00137FDC">
              <w:rPr>
                <w:rFonts w:eastAsia="Times New Roman" w:cs="Times New Roman"/>
                <w:color w:val="000000"/>
                <w:szCs w:val="20"/>
                <w:lang w:eastAsia="en-AU"/>
              </w:rPr>
              <w:t>quity (%)</w:t>
            </w:r>
          </w:p>
        </w:tc>
        <w:tc>
          <w:tcPr>
            <w:tcW w:w="669" w:type="pct"/>
            <w:tcBorders>
              <w:top w:val="nil"/>
              <w:left w:val="nil"/>
              <w:bottom w:val="nil"/>
              <w:right w:val="nil"/>
            </w:tcBorders>
            <w:shd w:val="clear" w:color="000000" w:fill="FFFFFF"/>
            <w:noWrap/>
            <w:hideMark/>
          </w:tcPr>
          <w:p w14:paraId="21A292F5" w14:textId="226885DD"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0.8%</w:t>
            </w:r>
          </w:p>
        </w:tc>
        <w:tc>
          <w:tcPr>
            <w:tcW w:w="392" w:type="pct"/>
            <w:tcBorders>
              <w:top w:val="nil"/>
              <w:left w:val="nil"/>
              <w:bottom w:val="nil"/>
              <w:right w:val="nil"/>
            </w:tcBorders>
            <w:shd w:val="clear" w:color="000000" w:fill="FFFFFF"/>
            <w:noWrap/>
            <w:hideMark/>
          </w:tcPr>
          <w:p w14:paraId="74EC91D9" w14:textId="31EB1AF1"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-1.5%</w:t>
            </w:r>
          </w:p>
        </w:tc>
        <w:tc>
          <w:tcPr>
            <w:tcW w:w="669" w:type="pct"/>
            <w:tcBorders>
              <w:top w:val="nil"/>
              <w:left w:val="nil"/>
              <w:bottom w:val="nil"/>
              <w:right w:val="nil"/>
            </w:tcBorders>
            <w:shd w:val="clear" w:color="000000" w:fill="FFFFFF"/>
            <w:noWrap/>
            <w:hideMark/>
          </w:tcPr>
          <w:p w14:paraId="32A431A9" w14:textId="6A927069"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1.1%</w:t>
            </w:r>
          </w:p>
        </w:tc>
        <w:tc>
          <w:tcPr>
            <w:tcW w:w="346" w:type="pct"/>
            <w:tcBorders>
              <w:top w:val="nil"/>
              <w:left w:val="nil"/>
              <w:bottom w:val="nil"/>
              <w:right w:val="nil"/>
            </w:tcBorders>
            <w:shd w:val="clear" w:color="000000" w:fill="FFFFFF"/>
            <w:noWrap/>
            <w:hideMark/>
          </w:tcPr>
          <w:p w14:paraId="6011F5BC" w14:textId="1130AE9D"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-1.0%</w:t>
            </w:r>
          </w:p>
        </w:tc>
        <w:tc>
          <w:tcPr>
            <w:tcW w:w="669" w:type="pct"/>
            <w:tcBorders>
              <w:top w:val="nil"/>
              <w:left w:val="nil"/>
              <w:bottom w:val="nil"/>
              <w:right w:val="nil"/>
            </w:tcBorders>
            <w:shd w:val="clear" w:color="000000" w:fill="FFFFFF"/>
            <w:noWrap/>
            <w:hideMark/>
          </w:tcPr>
          <w:p w14:paraId="2C0D293B" w14:textId="186930B7"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2.8%</w:t>
            </w:r>
          </w:p>
        </w:tc>
        <w:tc>
          <w:tcPr>
            <w:tcW w:w="346" w:type="pct"/>
            <w:tcBorders>
              <w:top w:val="nil"/>
              <w:left w:val="nil"/>
              <w:bottom w:val="nil"/>
              <w:right w:val="nil"/>
            </w:tcBorders>
            <w:shd w:val="clear" w:color="000000" w:fill="FFFFFF"/>
            <w:noWrap/>
            <w:hideMark/>
          </w:tcPr>
          <w:p w14:paraId="0FF3808C" w14:textId="11513113"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-2.7%</w:t>
            </w:r>
          </w:p>
        </w:tc>
      </w:tr>
      <w:tr w:rsidR="000C7427" w:rsidRPr="00E4184C" w14:paraId="39CCA2FD" w14:textId="77777777" w:rsidTr="000C7427">
        <w:trPr>
          <w:trHeight w:val="300"/>
        </w:trPr>
        <w:tc>
          <w:tcPr>
            <w:tcW w:w="1910" w:type="pct"/>
            <w:tcBorders>
              <w:top w:val="nil"/>
              <w:left w:val="nil"/>
              <w:bottom w:val="nil"/>
              <w:right w:val="nil"/>
            </w:tcBorders>
            <w:shd w:val="clear" w:color="000000" w:fill="FFFFFF"/>
            <w:noWrap/>
            <w:vAlign w:val="bottom"/>
            <w:hideMark/>
          </w:tcPr>
          <w:p w14:paraId="427D438B" w14:textId="77777777" w:rsidR="000C7427" w:rsidRPr="00137FDC" w:rsidRDefault="000C7427" w:rsidP="000C7427">
            <w:pPr>
              <w:spacing w:after="0" w:line="240" w:lineRule="auto"/>
              <w:rPr>
                <w:rFonts w:eastAsia="Times New Roman" w:cs="Times New Roman"/>
                <w:color w:val="000000"/>
                <w:szCs w:val="20"/>
                <w:lang w:eastAsia="en-AU"/>
              </w:rPr>
            </w:pPr>
            <w:r w:rsidRPr="00137FDC">
              <w:rPr>
                <w:rFonts w:ascii="Cambria" w:eastAsia="Times New Roman" w:hAnsi="Cambria" w:cs="Cambria"/>
                <w:color w:val="000000"/>
                <w:szCs w:val="20"/>
                <w:lang w:eastAsia="en-AU"/>
              </w:rPr>
              <w:t> </w:t>
            </w:r>
          </w:p>
        </w:tc>
        <w:tc>
          <w:tcPr>
            <w:tcW w:w="669" w:type="pct"/>
            <w:tcBorders>
              <w:top w:val="nil"/>
              <w:left w:val="nil"/>
              <w:bottom w:val="nil"/>
              <w:right w:val="nil"/>
            </w:tcBorders>
            <w:shd w:val="clear" w:color="000000" w:fill="FFFFFF"/>
            <w:noWrap/>
            <w:hideMark/>
          </w:tcPr>
          <w:p w14:paraId="5A95002A" w14:textId="72D46045" w:rsidR="000C7427" w:rsidRPr="00EC350C" w:rsidRDefault="000C7427" w:rsidP="000C7427">
            <w:pPr>
              <w:spacing w:after="0" w:line="240" w:lineRule="auto"/>
              <w:rPr>
                <w:rFonts w:ascii="Aptos Narrow" w:eastAsia="Times New Roman" w:hAnsi="Aptos Narrow" w:cs="Times New Roman"/>
                <w:color w:val="000000"/>
                <w:szCs w:val="20"/>
                <w:lang w:eastAsia="en-AU"/>
              </w:rPr>
            </w:pPr>
          </w:p>
        </w:tc>
        <w:tc>
          <w:tcPr>
            <w:tcW w:w="392" w:type="pct"/>
            <w:tcBorders>
              <w:top w:val="nil"/>
              <w:left w:val="nil"/>
              <w:bottom w:val="nil"/>
              <w:right w:val="nil"/>
            </w:tcBorders>
            <w:shd w:val="clear" w:color="000000" w:fill="FFFFFF"/>
            <w:noWrap/>
            <w:hideMark/>
          </w:tcPr>
          <w:p w14:paraId="21342ED7" w14:textId="587E2403" w:rsidR="000C7427" w:rsidRPr="00EC350C" w:rsidRDefault="000C7427" w:rsidP="000C7427">
            <w:pPr>
              <w:spacing w:after="0" w:line="240" w:lineRule="auto"/>
              <w:rPr>
                <w:rFonts w:ascii="Aptos Narrow" w:eastAsia="Times New Roman" w:hAnsi="Aptos Narrow" w:cs="Times New Roman"/>
                <w:color w:val="000000"/>
                <w:szCs w:val="20"/>
                <w:lang w:eastAsia="en-AU"/>
              </w:rPr>
            </w:pPr>
          </w:p>
        </w:tc>
        <w:tc>
          <w:tcPr>
            <w:tcW w:w="669" w:type="pct"/>
            <w:tcBorders>
              <w:top w:val="nil"/>
              <w:left w:val="nil"/>
              <w:bottom w:val="nil"/>
              <w:right w:val="nil"/>
            </w:tcBorders>
            <w:shd w:val="clear" w:color="000000" w:fill="FFFFFF"/>
            <w:noWrap/>
            <w:hideMark/>
          </w:tcPr>
          <w:p w14:paraId="69F5B0F0" w14:textId="7A38651F" w:rsidR="000C7427" w:rsidRPr="00EC350C" w:rsidRDefault="000C7427" w:rsidP="000C7427">
            <w:pPr>
              <w:spacing w:after="0" w:line="240" w:lineRule="auto"/>
              <w:rPr>
                <w:rFonts w:ascii="Aptos Narrow" w:eastAsia="Times New Roman" w:hAnsi="Aptos Narrow" w:cs="Times New Roman"/>
                <w:color w:val="000000"/>
                <w:szCs w:val="20"/>
                <w:lang w:eastAsia="en-AU"/>
              </w:rPr>
            </w:pPr>
          </w:p>
        </w:tc>
        <w:tc>
          <w:tcPr>
            <w:tcW w:w="346" w:type="pct"/>
            <w:tcBorders>
              <w:top w:val="nil"/>
              <w:left w:val="nil"/>
              <w:bottom w:val="nil"/>
              <w:right w:val="nil"/>
            </w:tcBorders>
            <w:shd w:val="clear" w:color="000000" w:fill="FFFFFF"/>
            <w:noWrap/>
            <w:hideMark/>
          </w:tcPr>
          <w:p w14:paraId="1191E84B" w14:textId="608C54E4"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p>
        </w:tc>
        <w:tc>
          <w:tcPr>
            <w:tcW w:w="669" w:type="pct"/>
            <w:tcBorders>
              <w:top w:val="nil"/>
              <w:left w:val="nil"/>
              <w:bottom w:val="nil"/>
              <w:right w:val="nil"/>
            </w:tcBorders>
            <w:shd w:val="clear" w:color="000000" w:fill="FFFFFF"/>
            <w:noWrap/>
            <w:hideMark/>
          </w:tcPr>
          <w:p w14:paraId="25893773" w14:textId="02A187C6"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p>
        </w:tc>
        <w:tc>
          <w:tcPr>
            <w:tcW w:w="346" w:type="pct"/>
            <w:tcBorders>
              <w:top w:val="nil"/>
              <w:left w:val="nil"/>
              <w:bottom w:val="nil"/>
              <w:right w:val="nil"/>
            </w:tcBorders>
            <w:shd w:val="clear" w:color="000000" w:fill="FFFFFF"/>
            <w:noWrap/>
            <w:hideMark/>
          </w:tcPr>
          <w:p w14:paraId="1C210514" w14:textId="09E25B59"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p>
        </w:tc>
      </w:tr>
      <w:tr w:rsidR="000C7427" w:rsidRPr="00E4184C" w14:paraId="65FEC66C" w14:textId="77777777" w:rsidTr="000C7427">
        <w:trPr>
          <w:trHeight w:val="300"/>
        </w:trPr>
        <w:tc>
          <w:tcPr>
            <w:tcW w:w="1910" w:type="pct"/>
            <w:tcBorders>
              <w:top w:val="nil"/>
              <w:left w:val="nil"/>
              <w:bottom w:val="nil"/>
              <w:right w:val="nil"/>
            </w:tcBorders>
            <w:shd w:val="clear" w:color="000000" w:fill="FFFFFF"/>
            <w:noWrap/>
            <w:vAlign w:val="bottom"/>
            <w:hideMark/>
          </w:tcPr>
          <w:p w14:paraId="7A958BC3" w14:textId="77777777" w:rsidR="000C7427" w:rsidRPr="00137FDC" w:rsidRDefault="000C7427" w:rsidP="000C7427">
            <w:pPr>
              <w:spacing w:after="0" w:line="240" w:lineRule="auto"/>
              <w:rPr>
                <w:rFonts w:eastAsia="Times New Roman" w:cs="Times New Roman"/>
                <w:b/>
                <w:bCs/>
                <w:color w:val="000000"/>
                <w:szCs w:val="20"/>
                <w:lang w:eastAsia="en-AU"/>
              </w:rPr>
            </w:pPr>
            <w:r w:rsidRPr="00137FDC">
              <w:rPr>
                <w:rFonts w:eastAsia="Times New Roman" w:cs="Times New Roman"/>
                <w:b/>
                <w:bCs/>
                <w:color w:val="000000"/>
                <w:szCs w:val="20"/>
                <w:lang w:eastAsia="en-AU"/>
              </w:rPr>
              <w:t>Physical parameter bars:</w:t>
            </w:r>
          </w:p>
        </w:tc>
        <w:tc>
          <w:tcPr>
            <w:tcW w:w="669" w:type="pct"/>
            <w:tcBorders>
              <w:top w:val="nil"/>
              <w:left w:val="nil"/>
              <w:bottom w:val="nil"/>
              <w:right w:val="nil"/>
            </w:tcBorders>
            <w:shd w:val="clear" w:color="000000" w:fill="FFFFFF"/>
            <w:noWrap/>
            <w:hideMark/>
          </w:tcPr>
          <w:p w14:paraId="561FBF76" w14:textId="1777D381" w:rsidR="000C7427" w:rsidRPr="00137FDC" w:rsidRDefault="000C7427" w:rsidP="000C7427">
            <w:pPr>
              <w:spacing w:after="0" w:line="240" w:lineRule="auto"/>
              <w:jc w:val="center"/>
              <w:rPr>
                <w:rFonts w:ascii="Aptos Narrow" w:eastAsia="Times New Roman" w:hAnsi="Aptos Narrow" w:cs="Times New Roman"/>
                <w:b/>
                <w:bCs/>
                <w:color w:val="000000"/>
                <w:szCs w:val="20"/>
                <w:lang w:eastAsia="en-AU"/>
              </w:rPr>
            </w:pPr>
            <w:r w:rsidRPr="00137FDC">
              <w:rPr>
                <w:b/>
                <w:bCs/>
              </w:rPr>
              <w:t>10-yr average</w:t>
            </w:r>
          </w:p>
        </w:tc>
        <w:tc>
          <w:tcPr>
            <w:tcW w:w="392" w:type="pct"/>
            <w:tcBorders>
              <w:top w:val="nil"/>
              <w:left w:val="nil"/>
              <w:bottom w:val="nil"/>
              <w:right w:val="nil"/>
            </w:tcBorders>
            <w:shd w:val="clear" w:color="000000" w:fill="FFFFFF"/>
            <w:noWrap/>
            <w:hideMark/>
          </w:tcPr>
          <w:p w14:paraId="1B00E304" w14:textId="085B07AF" w:rsidR="000C7427" w:rsidRPr="00137FDC" w:rsidRDefault="000C7427" w:rsidP="000C7427">
            <w:pPr>
              <w:spacing w:after="0" w:line="240" w:lineRule="auto"/>
              <w:jc w:val="center"/>
              <w:rPr>
                <w:rFonts w:ascii="Aptos Narrow" w:eastAsia="Times New Roman" w:hAnsi="Aptos Narrow" w:cs="Times New Roman"/>
                <w:b/>
                <w:bCs/>
                <w:color w:val="000000"/>
                <w:szCs w:val="20"/>
                <w:lang w:eastAsia="en-AU"/>
              </w:rPr>
            </w:pPr>
            <w:r w:rsidRPr="00137FDC">
              <w:rPr>
                <w:b/>
                <w:bCs/>
              </w:rPr>
              <w:t>G</w:t>
            </w:r>
          </w:p>
        </w:tc>
        <w:tc>
          <w:tcPr>
            <w:tcW w:w="669" w:type="pct"/>
            <w:tcBorders>
              <w:top w:val="nil"/>
              <w:left w:val="nil"/>
              <w:bottom w:val="nil"/>
              <w:right w:val="nil"/>
            </w:tcBorders>
            <w:shd w:val="clear" w:color="000000" w:fill="FFFFFF"/>
            <w:noWrap/>
            <w:hideMark/>
          </w:tcPr>
          <w:p w14:paraId="0C11DF6E" w14:textId="3EF57A83" w:rsidR="000C7427" w:rsidRPr="00137FDC" w:rsidRDefault="000C7427" w:rsidP="000C7427">
            <w:pPr>
              <w:spacing w:after="0" w:line="240" w:lineRule="auto"/>
              <w:jc w:val="center"/>
              <w:rPr>
                <w:rFonts w:ascii="Aptos Narrow" w:eastAsia="Times New Roman" w:hAnsi="Aptos Narrow" w:cs="Times New Roman"/>
                <w:b/>
                <w:bCs/>
                <w:color w:val="000000"/>
                <w:szCs w:val="20"/>
                <w:lang w:eastAsia="en-AU"/>
              </w:rPr>
            </w:pPr>
            <w:r w:rsidRPr="00137FDC">
              <w:rPr>
                <w:b/>
                <w:bCs/>
              </w:rPr>
              <w:t>10-yr average</w:t>
            </w:r>
          </w:p>
        </w:tc>
        <w:tc>
          <w:tcPr>
            <w:tcW w:w="346" w:type="pct"/>
            <w:tcBorders>
              <w:top w:val="nil"/>
              <w:left w:val="nil"/>
              <w:bottom w:val="nil"/>
              <w:right w:val="nil"/>
            </w:tcBorders>
            <w:shd w:val="clear" w:color="000000" w:fill="FFFFFF"/>
            <w:noWrap/>
            <w:hideMark/>
          </w:tcPr>
          <w:p w14:paraId="24B543AC" w14:textId="7714D0FA" w:rsidR="000C7427" w:rsidRPr="00137FDC" w:rsidRDefault="000C7427" w:rsidP="000C7427">
            <w:pPr>
              <w:spacing w:after="0" w:line="240" w:lineRule="auto"/>
              <w:jc w:val="center"/>
              <w:rPr>
                <w:rFonts w:ascii="Aptos Narrow" w:eastAsia="Times New Roman" w:hAnsi="Aptos Narrow" w:cs="Times New Roman"/>
                <w:b/>
                <w:bCs/>
                <w:color w:val="000000"/>
                <w:szCs w:val="20"/>
                <w:lang w:eastAsia="en-AU"/>
              </w:rPr>
            </w:pPr>
            <w:r w:rsidRPr="00137FDC">
              <w:rPr>
                <w:b/>
                <w:bCs/>
              </w:rPr>
              <w:t>N</w:t>
            </w:r>
          </w:p>
        </w:tc>
        <w:tc>
          <w:tcPr>
            <w:tcW w:w="669" w:type="pct"/>
            <w:tcBorders>
              <w:top w:val="nil"/>
              <w:left w:val="nil"/>
              <w:bottom w:val="nil"/>
              <w:right w:val="nil"/>
            </w:tcBorders>
            <w:shd w:val="clear" w:color="000000" w:fill="FFFFFF"/>
            <w:noWrap/>
            <w:hideMark/>
          </w:tcPr>
          <w:p w14:paraId="58F1E69D" w14:textId="048D1E9B" w:rsidR="000C7427" w:rsidRPr="00137FDC" w:rsidRDefault="000C7427" w:rsidP="000C7427">
            <w:pPr>
              <w:spacing w:after="0" w:line="240" w:lineRule="auto"/>
              <w:jc w:val="center"/>
              <w:rPr>
                <w:rFonts w:ascii="Aptos Narrow" w:eastAsia="Times New Roman" w:hAnsi="Aptos Narrow" w:cs="Times New Roman"/>
                <w:b/>
                <w:bCs/>
                <w:color w:val="000000"/>
                <w:szCs w:val="20"/>
                <w:lang w:eastAsia="en-AU"/>
              </w:rPr>
            </w:pPr>
            <w:r w:rsidRPr="00137FDC">
              <w:rPr>
                <w:b/>
                <w:bCs/>
              </w:rPr>
              <w:t>10-yr average</w:t>
            </w:r>
          </w:p>
        </w:tc>
        <w:tc>
          <w:tcPr>
            <w:tcW w:w="346" w:type="pct"/>
            <w:tcBorders>
              <w:top w:val="nil"/>
              <w:left w:val="nil"/>
              <w:bottom w:val="nil"/>
              <w:right w:val="nil"/>
            </w:tcBorders>
            <w:shd w:val="clear" w:color="000000" w:fill="FFFFFF"/>
            <w:noWrap/>
            <w:hideMark/>
          </w:tcPr>
          <w:p w14:paraId="5328F9AA" w14:textId="71444D15" w:rsidR="000C7427" w:rsidRPr="00137FDC" w:rsidRDefault="000C7427" w:rsidP="000C7427">
            <w:pPr>
              <w:spacing w:after="0" w:line="240" w:lineRule="auto"/>
              <w:jc w:val="center"/>
              <w:rPr>
                <w:rFonts w:ascii="Aptos Narrow" w:eastAsia="Times New Roman" w:hAnsi="Aptos Narrow" w:cs="Times New Roman"/>
                <w:b/>
                <w:bCs/>
                <w:color w:val="000000"/>
                <w:szCs w:val="20"/>
                <w:lang w:eastAsia="en-AU"/>
              </w:rPr>
            </w:pPr>
            <w:r w:rsidRPr="00137FDC">
              <w:rPr>
                <w:b/>
                <w:bCs/>
              </w:rPr>
              <w:t>SW</w:t>
            </w:r>
          </w:p>
        </w:tc>
      </w:tr>
      <w:tr w:rsidR="000C7427" w:rsidRPr="00E4184C" w14:paraId="4CA3F8F1" w14:textId="77777777" w:rsidTr="000C7427">
        <w:trPr>
          <w:trHeight w:val="300"/>
        </w:trPr>
        <w:tc>
          <w:tcPr>
            <w:tcW w:w="1910" w:type="pct"/>
            <w:tcBorders>
              <w:top w:val="nil"/>
              <w:left w:val="nil"/>
              <w:bottom w:val="nil"/>
              <w:right w:val="nil"/>
            </w:tcBorders>
            <w:shd w:val="clear" w:color="000000" w:fill="FFFFFF"/>
            <w:noWrap/>
            <w:vAlign w:val="bottom"/>
            <w:hideMark/>
          </w:tcPr>
          <w:p w14:paraId="7A0F0B00" w14:textId="77777777" w:rsidR="000C7427" w:rsidRPr="00137FDC" w:rsidRDefault="000C7427" w:rsidP="000C7427">
            <w:pPr>
              <w:spacing w:after="0" w:line="240" w:lineRule="auto"/>
              <w:rPr>
                <w:rFonts w:eastAsia="Times New Roman" w:cs="Times New Roman"/>
                <w:color w:val="000000"/>
                <w:szCs w:val="20"/>
                <w:lang w:eastAsia="en-AU"/>
              </w:rPr>
            </w:pPr>
            <w:r w:rsidRPr="00137FDC">
              <w:rPr>
                <w:rFonts w:eastAsia="Times New Roman" w:cs="Times New Roman"/>
                <w:color w:val="000000"/>
                <w:szCs w:val="20"/>
                <w:lang w:eastAsia="en-AU"/>
              </w:rPr>
              <w:t>Effective area (ha)</w:t>
            </w:r>
          </w:p>
        </w:tc>
        <w:tc>
          <w:tcPr>
            <w:tcW w:w="669" w:type="pct"/>
            <w:tcBorders>
              <w:top w:val="nil"/>
              <w:left w:val="nil"/>
              <w:bottom w:val="nil"/>
              <w:right w:val="nil"/>
            </w:tcBorders>
            <w:shd w:val="clear" w:color="000000" w:fill="FFFFFF"/>
            <w:noWrap/>
            <w:hideMark/>
          </w:tcPr>
          <w:p w14:paraId="2E26032D" w14:textId="250A173B"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744</w:t>
            </w:r>
          </w:p>
        </w:tc>
        <w:tc>
          <w:tcPr>
            <w:tcW w:w="392" w:type="pct"/>
            <w:tcBorders>
              <w:top w:val="nil"/>
              <w:left w:val="nil"/>
              <w:bottom w:val="nil"/>
              <w:right w:val="nil"/>
            </w:tcBorders>
            <w:shd w:val="clear" w:color="000000" w:fill="FFFFFF"/>
            <w:noWrap/>
            <w:hideMark/>
          </w:tcPr>
          <w:p w14:paraId="035498B6" w14:textId="570C7A4E" w:rsidR="000C7427" w:rsidRPr="00EC350C" w:rsidRDefault="000C7427" w:rsidP="000C7427">
            <w:pPr>
              <w:spacing w:after="0" w:line="240" w:lineRule="auto"/>
              <w:jc w:val="center"/>
              <w:rPr>
                <w:rFonts w:ascii="Aptos Narrow" w:eastAsia="Times New Roman" w:hAnsi="Aptos Narrow" w:cs="Times New Roman"/>
                <w:szCs w:val="20"/>
                <w:lang w:eastAsia="en-AU"/>
              </w:rPr>
            </w:pPr>
            <w:r w:rsidRPr="00AC6EE0">
              <w:t>693</w:t>
            </w:r>
          </w:p>
        </w:tc>
        <w:tc>
          <w:tcPr>
            <w:tcW w:w="669" w:type="pct"/>
            <w:tcBorders>
              <w:top w:val="nil"/>
              <w:left w:val="nil"/>
              <w:bottom w:val="nil"/>
              <w:right w:val="nil"/>
            </w:tcBorders>
            <w:shd w:val="clear" w:color="000000" w:fill="FFFFFF"/>
            <w:noWrap/>
            <w:hideMark/>
          </w:tcPr>
          <w:p w14:paraId="5F733CE8" w14:textId="2D79CEF6"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829</w:t>
            </w:r>
          </w:p>
        </w:tc>
        <w:tc>
          <w:tcPr>
            <w:tcW w:w="346" w:type="pct"/>
            <w:tcBorders>
              <w:top w:val="nil"/>
              <w:left w:val="nil"/>
              <w:bottom w:val="nil"/>
              <w:right w:val="nil"/>
            </w:tcBorders>
            <w:shd w:val="clear" w:color="000000" w:fill="FFFFFF"/>
            <w:noWrap/>
            <w:hideMark/>
          </w:tcPr>
          <w:p w14:paraId="62F4725D" w14:textId="2C1354F6" w:rsidR="000C7427" w:rsidRPr="00EC350C" w:rsidRDefault="000C7427" w:rsidP="000C7427">
            <w:pPr>
              <w:spacing w:after="0" w:line="240" w:lineRule="auto"/>
              <w:jc w:val="center"/>
              <w:rPr>
                <w:rFonts w:ascii="Aptos Narrow" w:eastAsia="Times New Roman" w:hAnsi="Aptos Narrow" w:cs="Times New Roman"/>
                <w:szCs w:val="20"/>
                <w:lang w:eastAsia="en-AU"/>
              </w:rPr>
            </w:pPr>
            <w:r w:rsidRPr="00AC6EE0">
              <w:t>755</w:t>
            </w:r>
          </w:p>
        </w:tc>
        <w:tc>
          <w:tcPr>
            <w:tcW w:w="669" w:type="pct"/>
            <w:tcBorders>
              <w:top w:val="nil"/>
              <w:left w:val="nil"/>
              <w:bottom w:val="nil"/>
              <w:right w:val="nil"/>
            </w:tcBorders>
            <w:shd w:val="clear" w:color="000000" w:fill="FFFFFF"/>
            <w:noWrap/>
            <w:hideMark/>
          </w:tcPr>
          <w:p w14:paraId="56D441B6" w14:textId="65D33C37"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1,302</w:t>
            </w:r>
          </w:p>
        </w:tc>
        <w:tc>
          <w:tcPr>
            <w:tcW w:w="346" w:type="pct"/>
            <w:tcBorders>
              <w:top w:val="nil"/>
              <w:left w:val="nil"/>
              <w:bottom w:val="nil"/>
              <w:right w:val="nil"/>
            </w:tcBorders>
            <w:shd w:val="clear" w:color="000000" w:fill="FFFFFF"/>
            <w:noWrap/>
            <w:hideMark/>
          </w:tcPr>
          <w:p w14:paraId="27E9BA7C" w14:textId="3E123934" w:rsidR="000C7427" w:rsidRPr="00EC350C" w:rsidRDefault="000C7427" w:rsidP="000C7427">
            <w:pPr>
              <w:spacing w:after="0" w:line="240" w:lineRule="auto"/>
              <w:jc w:val="center"/>
              <w:rPr>
                <w:rFonts w:ascii="Aptos Narrow" w:eastAsia="Times New Roman" w:hAnsi="Aptos Narrow" w:cs="Times New Roman"/>
                <w:szCs w:val="20"/>
                <w:lang w:eastAsia="en-AU"/>
              </w:rPr>
            </w:pPr>
            <w:r w:rsidRPr="00AC6EE0">
              <w:t>1,626</w:t>
            </w:r>
          </w:p>
        </w:tc>
      </w:tr>
      <w:tr w:rsidR="000C7427" w:rsidRPr="00E4184C" w14:paraId="3AAF04D2" w14:textId="77777777" w:rsidTr="000C7427">
        <w:trPr>
          <w:trHeight w:val="300"/>
        </w:trPr>
        <w:tc>
          <w:tcPr>
            <w:tcW w:w="1910" w:type="pct"/>
            <w:tcBorders>
              <w:top w:val="nil"/>
              <w:left w:val="nil"/>
              <w:bottom w:val="nil"/>
              <w:right w:val="nil"/>
            </w:tcBorders>
            <w:shd w:val="clear" w:color="000000" w:fill="FFFFFF"/>
            <w:noWrap/>
            <w:vAlign w:val="bottom"/>
            <w:hideMark/>
          </w:tcPr>
          <w:p w14:paraId="499223D8" w14:textId="77777777" w:rsidR="000C7427" w:rsidRPr="00137FDC" w:rsidRDefault="000C7427" w:rsidP="000C7427">
            <w:pPr>
              <w:spacing w:after="0" w:line="240" w:lineRule="auto"/>
              <w:rPr>
                <w:rFonts w:eastAsia="Times New Roman" w:cs="Times New Roman"/>
                <w:szCs w:val="20"/>
                <w:lang w:eastAsia="en-AU"/>
              </w:rPr>
            </w:pPr>
            <w:r w:rsidRPr="00137FDC">
              <w:rPr>
                <w:rFonts w:eastAsia="Times New Roman" w:cs="Times New Roman"/>
                <w:szCs w:val="20"/>
                <w:lang w:eastAsia="en-AU"/>
              </w:rPr>
              <w:t>Stocking rate (DSE/ha)</w:t>
            </w:r>
          </w:p>
        </w:tc>
        <w:tc>
          <w:tcPr>
            <w:tcW w:w="669" w:type="pct"/>
            <w:tcBorders>
              <w:top w:val="nil"/>
              <w:left w:val="nil"/>
              <w:bottom w:val="nil"/>
              <w:right w:val="nil"/>
            </w:tcBorders>
            <w:shd w:val="clear" w:color="000000" w:fill="FFFFFF"/>
            <w:noWrap/>
            <w:hideMark/>
          </w:tcPr>
          <w:p w14:paraId="0675FDB3" w14:textId="36C94A9C"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16.8</w:t>
            </w:r>
          </w:p>
        </w:tc>
        <w:tc>
          <w:tcPr>
            <w:tcW w:w="392" w:type="pct"/>
            <w:tcBorders>
              <w:top w:val="nil"/>
              <w:left w:val="nil"/>
              <w:bottom w:val="nil"/>
              <w:right w:val="nil"/>
            </w:tcBorders>
            <w:shd w:val="clear" w:color="000000" w:fill="FFFFFF"/>
            <w:noWrap/>
            <w:hideMark/>
          </w:tcPr>
          <w:p w14:paraId="7792628A" w14:textId="2D0E6536"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17.5</w:t>
            </w:r>
          </w:p>
        </w:tc>
        <w:tc>
          <w:tcPr>
            <w:tcW w:w="669" w:type="pct"/>
            <w:tcBorders>
              <w:top w:val="nil"/>
              <w:left w:val="nil"/>
              <w:bottom w:val="nil"/>
              <w:right w:val="nil"/>
            </w:tcBorders>
            <w:shd w:val="clear" w:color="000000" w:fill="FFFFFF"/>
            <w:noWrap/>
            <w:hideMark/>
          </w:tcPr>
          <w:p w14:paraId="45DB2FE9" w14:textId="68F6B8D4"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11.2</w:t>
            </w:r>
          </w:p>
        </w:tc>
        <w:tc>
          <w:tcPr>
            <w:tcW w:w="346" w:type="pct"/>
            <w:tcBorders>
              <w:top w:val="nil"/>
              <w:left w:val="nil"/>
              <w:bottom w:val="nil"/>
              <w:right w:val="nil"/>
            </w:tcBorders>
            <w:shd w:val="clear" w:color="000000" w:fill="FFFFFF"/>
            <w:noWrap/>
            <w:hideMark/>
          </w:tcPr>
          <w:p w14:paraId="04C9C727" w14:textId="76508895"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13.5</w:t>
            </w:r>
          </w:p>
        </w:tc>
        <w:tc>
          <w:tcPr>
            <w:tcW w:w="669" w:type="pct"/>
            <w:tcBorders>
              <w:top w:val="nil"/>
              <w:left w:val="nil"/>
              <w:bottom w:val="nil"/>
              <w:right w:val="nil"/>
            </w:tcBorders>
            <w:shd w:val="clear" w:color="000000" w:fill="FFFFFF"/>
            <w:noWrap/>
            <w:hideMark/>
          </w:tcPr>
          <w:p w14:paraId="4BE9DDE9" w14:textId="06ADDEC5"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15.5</w:t>
            </w:r>
          </w:p>
        </w:tc>
        <w:tc>
          <w:tcPr>
            <w:tcW w:w="346" w:type="pct"/>
            <w:tcBorders>
              <w:top w:val="nil"/>
              <w:left w:val="nil"/>
              <w:bottom w:val="nil"/>
              <w:right w:val="nil"/>
            </w:tcBorders>
            <w:shd w:val="clear" w:color="000000" w:fill="FFFFFF"/>
            <w:noWrap/>
            <w:hideMark/>
          </w:tcPr>
          <w:p w14:paraId="65F31D11" w14:textId="7902B4A9"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14.0</w:t>
            </w:r>
          </w:p>
        </w:tc>
      </w:tr>
      <w:tr w:rsidR="000C7427" w:rsidRPr="00E4184C" w14:paraId="35B7AD1C" w14:textId="77777777" w:rsidTr="000C7427">
        <w:trPr>
          <w:trHeight w:val="300"/>
        </w:trPr>
        <w:tc>
          <w:tcPr>
            <w:tcW w:w="1910" w:type="pct"/>
            <w:tcBorders>
              <w:top w:val="nil"/>
              <w:left w:val="nil"/>
              <w:bottom w:val="nil"/>
              <w:right w:val="nil"/>
            </w:tcBorders>
            <w:shd w:val="clear" w:color="000000" w:fill="FFFFFF"/>
            <w:noWrap/>
            <w:vAlign w:val="bottom"/>
            <w:hideMark/>
          </w:tcPr>
          <w:p w14:paraId="6758B87D" w14:textId="77777777" w:rsidR="000C7427" w:rsidRPr="00137FDC" w:rsidRDefault="000C7427" w:rsidP="000C7427">
            <w:pPr>
              <w:spacing w:after="0" w:line="240" w:lineRule="auto"/>
              <w:rPr>
                <w:rFonts w:eastAsia="Times New Roman" w:cs="Times New Roman"/>
                <w:color w:val="000000"/>
                <w:szCs w:val="20"/>
                <w:lang w:eastAsia="en-AU"/>
              </w:rPr>
            </w:pPr>
            <w:r w:rsidRPr="00137FDC">
              <w:rPr>
                <w:rFonts w:eastAsia="Times New Roman" w:cs="Times New Roman"/>
                <w:color w:val="000000"/>
                <w:szCs w:val="20"/>
                <w:lang w:eastAsia="en-AU"/>
              </w:rPr>
              <w:t>Sheep (head)</w:t>
            </w:r>
          </w:p>
        </w:tc>
        <w:tc>
          <w:tcPr>
            <w:tcW w:w="669" w:type="pct"/>
            <w:tcBorders>
              <w:top w:val="nil"/>
              <w:left w:val="nil"/>
              <w:bottom w:val="nil"/>
              <w:right w:val="nil"/>
            </w:tcBorders>
            <w:shd w:val="clear" w:color="000000" w:fill="FFFFFF"/>
            <w:noWrap/>
            <w:hideMark/>
          </w:tcPr>
          <w:p w14:paraId="51AA8932" w14:textId="73FB360E"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2,181</w:t>
            </w:r>
          </w:p>
        </w:tc>
        <w:tc>
          <w:tcPr>
            <w:tcW w:w="392" w:type="pct"/>
            <w:tcBorders>
              <w:top w:val="nil"/>
              <w:left w:val="nil"/>
              <w:bottom w:val="nil"/>
              <w:right w:val="nil"/>
            </w:tcBorders>
            <w:shd w:val="clear" w:color="000000" w:fill="FFFFFF"/>
            <w:noWrap/>
            <w:hideMark/>
          </w:tcPr>
          <w:p w14:paraId="165E31B0" w14:textId="7EE3DDF0"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1,115</w:t>
            </w:r>
          </w:p>
        </w:tc>
        <w:tc>
          <w:tcPr>
            <w:tcW w:w="669" w:type="pct"/>
            <w:tcBorders>
              <w:top w:val="nil"/>
              <w:left w:val="nil"/>
              <w:bottom w:val="nil"/>
              <w:right w:val="nil"/>
            </w:tcBorders>
            <w:shd w:val="clear" w:color="000000" w:fill="FFFFFF"/>
            <w:noWrap/>
            <w:hideMark/>
          </w:tcPr>
          <w:p w14:paraId="36A4DD58" w14:textId="7B6DD301"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2,813</w:t>
            </w:r>
          </w:p>
        </w:tc>
        <w:tc>
          <w:tcPr>
            <w:tcW w:w="346" w:type="pct"/>
            <w:tcBorders>
              <w:top w:val="nil"/>
              <w:left w:val="nil"/>
              <w:bottom w:val="nil"/>
              <w:right w:val="nil"/>
            </w:tcBorders>
            <w:shd w:val="clear" w:color="000000" w:fill="FFFFFF"/>
            <w:noWrap/>
            <w:hideMark/>
          </w:tcPr>
          <w:p w14:paraId="6DCC397B" w14:textId="4D5E27B2"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1,972</w:t>
            </w:r>
          </w:p>
        </w:tc>
        <w:tc>
          <w:tcPr>
            <w:tcW w:w="669" w:type="pct"/>
            <w:tcBorders>
              <w:top w:val="nil"/>
              <w:left w:val="nil"/>
              <w:bottom w:val="nil"/>
              <w:right w:val="nil"/>
            </w:tcBorders>
            <w:shd w:val="clear" w:color="000000" w:fill="FFFFFF"/>
            <w:noWrap/>
            <w:hideMark/>
          </w:tcPr>
          <w:p w14:paraId="4EC60C95" w14:textId="321D07C5"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7,471</w:t>
            </w:r>
          </w:p>
        </w:tc>
        <w:tc>
          <w:tcPr>
            <w:tcW w:w="346" w:type="pct"/>
            <w:tcBorders>
              <w:top w:val="nil"/>
              <w:left w:val="nil"/>
              <w:bottom w:val="nil"/>
              <w:right w:val="nil"/>
            </w:tcBorders>
            <w:shd w:val="clear" w:color="000000" w:fill="FFFFFF"/>
            <w:noWrap/>
            <w:hideMark/>
          </w:tcPr>
          <w:p w14:paraId="1EDD955C" w14:textId="3F09FD92"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8,040</w:t>
            </w:r>
          </w:p>
        </w:tc>
      </w:tr>
      <w:tr w:rsidR="000C7427" w:rsidRPr="00E4184C" w14:paraId="345F5B08" w14:textId="77777777" w:rsidTr="000C7427">
        <w:trPr>
          <w:trHeight w:val="300"/>
        </w:trPr>
        <w:tc>
          <w:tcPr>
            <w:tcW w:w="1910" w:type="pct"/>
            <w:tcBorders>
              <w:top w:val="nil"/>
              <w:left w:val="nil"/>
              <w:bottom w:val="nil"/>
              <w:right w:val="nil"/>
            </w:tcBorders>
            <w:shd w:val="clear" w:color="000000" w:fill="FFFFFF"/>
            <w:noWrap/>
            <w:vAlign w:val="bottom"/>
            <w:hideMark/>
          </w:tcPr>
          <w:p w14:paraId="6278D7F9" w14:textId="77777777" w:rsidR="000C7427" w:rsidRPr="00137FDC" w:rsidRDefault="000C7427" w:rsidP="000C7427">
            <w:pPr>
              <w:spacing w:after="0" w:line="240" w:lineRule="auto"/>
              <w:rPr>
                <w:rFonts w:eastAsia="Times New Roman" w:cs="Times New Roman"/>
                <w:color w:val="000000"/>
                <w:szCs w:val="20"/>
                <w:lang w:eastAsia="en-AU"/>
              </w:rPr>
            </w:pPr>
            <w:r w:rsidRPr="00137FDC">
              <w:rPr>
                <w:rFonts w:eastAsia="Times New Roman" w:cs="Times New Roman"/>
                <w:color w:val="000000"/>
                <w:szCs w:val="20"/>
                <w:lang w:eastAsia="en-AU"/>
              </w:rPr>
              <w:t>Cattle (head)</w:t>
            </w:r>
          </w:p>
        </w:tc>
        <w:tc>
          <w:tcPr>
            <w:tcW w:w="669" w:type="pct"/>
            <w:tcBorders>
              <w:top w:val="nil"/>
              <w:left w:val="nil"/>
              <w:bottom w:val="nil"/>
              <w:right w:val="nil"/>
            </w:tcBorders>
            <w:shd w:val="clear" w:color="000000" w:fill="FFFFFF"/>
            <w:noWrap/>
            <w:hideMark/>
          </w:tcPr>
          <w:p w14:paraId="51024C43" w14:textId="41A3CDEB"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561</w:t>
            </w:r>
          </w:p>
        </w:tc>
        <w:tc>
          <w:tcPr>
            <w:tcW w:w="392" w:type="pct"/>
            <w:tcBorders>
              <w:top w:val="nil"/>
              <w:left w:val="nil"/>
              <w:bottom w:val="nil"/>
              <w:right w:val="nil"/>
            </w:tcBorders>
            <w:shd w:val="clear" w:color="000000" w:fill="FFFFFF"/>
            <w:noWrap/>
            <w:hideMark/>
          </w:tcPr>
          <w:p w14:paraId="60349A41" w14:textId="06E3E3DD"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530</w:t>
            </w:r>
          </w:p>
        </w:tc>
        <w:tc>
          <w:tcPr>
            <w:tcW w:w="669" w:type="pct"/>
            <w:tcBorders>
              <w:top w:val="nil"/>
              <w:left w:val="nil"/>
              <w:bottom w:val="nil"/>
              <w:right w:val="nil"/>
            </w:tcBorders>
            <w:shd w:val="clear" w:color="000000" w:fill="FFFFFF"/>
            <w:noWrap/>
            <w:hideMark/>
          </w:tcPr>
          <w:p w14:paraId="5D0E8960" w14:textId="4EA39821"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407</w:t>
            </w:r>
          </w:p>
        </w:tc>
        <w:tc>
          <w:tcPr>
            <w:tcW w:w="346" w:type="pct"/>
            <w:tcBorders>
              <w:top w:val="nil"/>
              <w:left w:val="nil"/>
              <w:bottom w:val="nil"/>
              <w:right w:val="nil"/>
            </w:tcBorders>
            <w:shd w:val="clear" w:color="000000" w:fill="FFFFFF"/>
            <w:noWrap/>
            <w:hideMark/>
          </w:tcPr>
          <w:p w14:paraId="11B918F2" w14:textId="02E2A885"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447</w:t>
            </w:r>
          </w:p>
        </w:tc>
        <w:tc>
          <w:tcPr>
            <w:tcW w:w="669" w:type="pct"/>
            <w:tcBorders>
              <w:top w:val="nil"/>
              <w:left w:val="nil"/>
              <w:bottom w:val="nil"/>
              <w:right w:val="nil"/>
            </w:tcBorders>
            <w:shd w:val="clear" w:color="000000" w:fill="FFFFFF"/>
            <w:noWrap/>
            <w:hideMark/>
          </w:tcPr>
          <w:p w14:paraId="04FEB311" w14:textId="3E293698"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297</w:t>
            </w:r>
          </w:p>
        </w:tc>
        <w:tc>
          <w:tcPr>
            <w:tcW w:w="346" w:type="pct"/>
            <w:tcBorders>
              <w:top w:val="nil"/>
              <w:left w:val="nil"/>
              <w:bottom w:val="nil"/>
              <w:right w:val="nil"/>
            </w:tcBorders>
            <w:shd w:val="clear" w:color="000000" w:fill="FFFFFF"/>
            <w:noWrap/>
            <w:hideMark/>
          </w:tcPr>
          <w:p w14:paraId="3A283AAA" w14:textId="481CBD3B" w:rsidR="000C7427" w:rsidRPr="00EC350C" w:rsidRDefault="000C7427" w:rsidP="000C7427">
            <w:pPr>
              <w:spacing w:after="0" w:line="240" w:lineRule="auto"/>
              <w:jc w:val="center"/>
              <w:rPr>
                <w:rFonts w:ascii="Aptos Narrow" w:eastAsia="Times New Roman" w:hAnsi="Aptos Narrow" w:cs="Times New Roman"/>
                <w:color w:val="000000"/>
                <w:szCs w:val="20"/>
                <w:lang w:eastAsia="en-AU"/>
              </w:rPr>
            </w:pPr>
            <w:r w:rsidRPr="00AC6EE0">
              <w:t>249</w:t>
            </w:r>
          </w:p>
        </w:tc>
      </w:tr>
    </w:tbl>
    <w:p w14:paraId="702A3BB9" w14:textId="5A99060B" w:rsidR="001E6BE7" w:rsidRPr="003910BE" w:rsidRDefault="001E6BE7" w:rsidP="001E6BE7">
      <w:pPr>
        <w:rPr>
          <w:szCs w:val="20"/>
        </w:rPr>
      </w:pPr>
    </w:p>
    <w:p w14:paraId="35871ADD" w14:textId="3E4983AB" w:rsidR="00937933" w:rsidRDefault="00937933">
      <w:pPr>
        <w:rPr>
          <w:szCs w:val="20"/>
        </w:rPr>
      </w:pPr>
    </w:p>
    <w:p w14:paraId="7CF9B3EE" w14:textId="781BEE14" w:rsidR="00937933" w:rsidRDefault="00937933">
      <w:pPr>
        <w:rPr>
          <w:szCs w:val="20"/>
        </w:rPr>
      </w:pPr>
    </w:p>
    <w:p w14:paraId="615A33A6" w14:textId="40357F46" w:rsidR="00937933" w:rsidRDefault="00937933">
      <w:pPr>
        <w:rPr>
          <w:szCs w:val="20"/>
        </w:rPr>
      </w:pPr>
      <w:r>
        <w:rPr>
          <w:szCs w:val="20"/>
        </w:rPr>
        <w:br w:type="page"/>
      </w:r>
    </w:p>
    <w:p w14:paraId="1A44E19C" w14:textId="1DFC470E" w:rsidR="00C82ADB" w:rsidRPr="002968F6" w:rsidRDefault="00C82ADB" w:rsidP="002968F6">
      <w:pPr>
        <w:pStyle w:val="Heading3"/>
        <w:rPr>
          <w:b/>
          <w:bCs/>
        </w:rPr>
      </w:pPr>
      <w:bookmarkStart w:id="6" w:name="_Toc214610564"/>
      <w:r w:rsidRPr="002968F6">
        <w:rPr>
          <w:b/>
          <w:bCs/>
        </w:rPr>
        <w:lastRenderedPageBreak/>
        <w:t xml:space="preserve">Business </w:t>
      </w:r>
      <w:r w:rsidR="00AC75A9">
        <w:rPr>
          <w:b/>
          <w:bCs/>
        </w:rPr>
        <w:t>p</w:t>
      </w:r>
      <w:r w:rsidRPr="002968F6">
        <w:rPr>
          <w:b/>
          <w:bCs/>
        </w:rPr>
        <w:t>rofit and returns</w:t>
      </w:r>
      <w:bookmarkEnd w:id="6"/>
    </w:p>
    <w:p w14:paraId="5A193BC6" w14:textId="0C5E2E92" w:rsidR="003753E2" w:rsidRDefault="00606A61" w:rsidP="00E81489">
      <w:pPr>
        <w:rPr>
          <w:szCs w:val="20"/>
        </w:rPr>
      </w:pPr>
      <w:r>
        <w:rPr>
          <w:szCs w:val="20"/>
        </w:rPr>
        <w:t>In 202</w:t>
      </w:r>
      <w:r w:rsidR="007B3D9F">
        <w:rPr>
          <w:szCs w:val="20"/>
        </w:rPr>
        <w:t>4</w:t>
      </w:r>
      <w:r>
        <w:rPr>
          <w:szCs w:val="20"/>
        </w:rPr>
        <w:t>-2</w:t>
      </w:r>
      <w:r w:rsidR="007B3D9F">
        <w:rPr>
          <w:szCs w:val="20"/>
        </w:rPr>
        <w:t>5</w:t>
      </w:r>
      <w:r>
        <w:rPr>
          <w:szCs w:val="20"/>
        </w:rPr>
        <w:t>, f</w:t>
      </w:r>
      <w:r w:rsidR="008E59C3">
        <w:rPr>
          <w:szCs w:val="20"/>
        </w:rPr>
        <w:t xml:space="preserve">arm </w:t>
      </w:r>
      <w:r w:rsidR="00BC66DD">
        <w:rPr>
          <w:szCs w:val="20"/>
        </w:rPr>
        <w:t>prof</w:t>
      </w:r>
      <w:r w:rsidR="00DE79B3">
        <w:rPr>
          <w:szCs w:val="20"/>
        </w:rPr>
        <w:t xml:space="preserve">itability </w:t>
      </w:r>
      <w:r w:rsidR="00FC4AC6">
        <w:rPr>
          <w:szCs w:val="20"/>
        </w:rPr>
        <w:t>was the low</w:t>
      </w:r>
      <w:r w:rsidR="00801E40">
        <w:rPr>
          <w:szCs w:val="20"/>
        </w:rPr>
        <w:t>est in 20 years</w:t>
      </w:r>
      <w:r w:rsidR="008D56A3">
        <w:rPr>
          <w:szCs w:val="20"/>
        </w:rPr>
        <w:t>.</w:t>
      </w:r>
      <w:r w:rsidR="00BA2161">
        <w:rPr>
          <w:szCs w:val="20"/>
        </w:rPr>
        <w:t xml:space="preserve"> </w:t>
      </w:r>
      <w:r w:rsidR="008D4DEF" w:rsidRPr="008D4DEF">
        <w:rPr>
          <w:szCs w:val="20"/>
        </w:rPr>
        <w:t>Negative profits were recorded by 4</w:t>
      </w:r>
      <w:r w:rsidR="00B16E7D">
        <w:rPr>
          <w:szCs w:val="20"/>
        </w:rPr>
        <w:t>9</w:t>
      </w:r>
      <w:r w:rsidR="008D4DEF" w:rsidRPr="008D4DEF">
        <w:rPr>
          <w:szCs w:val="20"/>
        </w:rPr>
        <w:t xml:space="preserve">% of </w:t>
      </w:r>
      <w:r w:rsidR="008D4DEF">
        <w:rPr>
          <w:szCs w:val="20"/>
        </w:rPr>
        <w:t xml:space="preserve">surveyed </w:t>
      </w:r>
      <w:r w:rsidR="008D4DEF" w:rsidRPr="008D4DEF">
        <w:rPr>
          <w:szCs w:val="20"/>
        </w:rPr>
        <w:t>farms</w:t>
      </w:r>
      <w:r w:rsidR="003D23CC">
        <w:rPr>
          <w:szCs w:val="20"/>
        </w:rPr>
        <w:t>, with average</w:t>
      </w:r>
      <w:r w:rsidR="00C72704">
        <w:rPr>
          <w:szCs w:val="20"/>
        </w:rPr>
        <w:t xml:space="preserve"> </w:t>
      </w:r>
      <w:r w:rsidR="003D23CC">
        <w:rPr>
          <w:szCs w:val="20"/>
        </w:rPr>
        <w:t>earnings before interest and tax (EBIT)</w:t>
      </w:r>
      <w:r w:rsidR="00CE1DA1">
        <w:rPr>
          <w:szCs w:val="20"/>
        </w:rPr>
        <w:t xml:space="preserve"> </w:t>
      </w:r>
      <w:r w:rsidR="00395E3C">
        <w:rPr>
          <w:szCs w:val="20"/>
        </w:rPr>
        <w:t>decreas</w:t>
      </w:r>
      <w:r w:rsidR="00724923">
        <w:rPr>
          <w:szCs w:val="20"/>
        </w:rPr>
        <w:t>ing</w:t>
      </w:r>
      <w:r w:rsidR="00395E3C">
        <w:rPr>
          <w:szCs w:val="20"/>
        </w:rPr>
        <w:t xml:space="preserve"> to</w:t>
      </w:r>
      <w:r>
        <w:rPr>
          <w:szCs w:val="20"/>
        </w:rPr>
        <w:t xml:space="preserve"> well</w:t>
      </w:r>
      <w:r w:rsidR="00395E3C">
        <w:rPr>
          <w:szCs w:val="20"/>
        </w:rPr>
        <w:t xml:space="preserve"> </w:t>
      </w:r>
      <w:r w:rsidR="002F54FF">
        <w:rPr>
          <w:szCs w:val="20"/>
        </w:rPr>
        <w:t>below the 10</w:t>
      </w:r>
      <w:r w:rsidR="00BA2161">
        <w:rPr>
          <w:szCs w:val="20"/>
        </w:rPr>
        <w:t>-</w:t>
      </w:r>
      <w:r w:rsidR="002F54FF">
        <w:rPr>
          <w:szCs w:val="20"/>
        </w:rPr>
        <w:t>year average</w:t>
      </w:r>
      <w:r w:rsidR="00724923">
        <w:rPr>
          <w:szCs w:val="20"/>
        </w:rPr>
        <w:t xml:space="preserve"> in</w:t>
      </w:r>
      <w:r w:rsidR="00724923" w:rsidRPr="00724923">
        <w:rPr>
          <w:szCs w:val="20"/>
        </w:rPr>
        <w:t xml:space="preserve"> </w:t>
      </w:r>
      <w:r w:rsidR="00724923">
        <w:rPr>
          <w:szCs w:val="20"/>
        </w:rPr>
        <w:t>each region</w:t>
      </w:r>
      <w:r w:rsidR="00F76516">
        <w:rPr>
          <w:szCs w:val="20"/>
        </w:rPr>
        <w:t xml:space="preserve"> (</w:t>
      </w:r>
      <w:r w:rsidR="00F76516">
        <w:rPr>
          <w:szCs w:val="20"/>
        </w:rPr>
        <w:fldChar w:fldCharType="begin"/>
      </w:r>
      <w:r w:rsidR="00F76516">
        <w:rPr>
          <w:szCs w:val="20"/>
        </w:rPr>
        <w:instrText xml:space="preserve"> REF _Ref148952141 \h </w:instrText>
      </w:r>
      <w:r w:rsidR="00F76516">
        <w:rPr>
          <w:szCs w:val="20"/>
        </w:rPr>
      </w:r>
      <w:r w:rsidR="00F76516">
        <w:rPr>
          <w:szCs w:val="20"/>
        </w:rPr>
        <w:fldChar w:fldCharType="separate"/>
      </w:r>
      <w:r w:rsidR="00F76516">
        <w:t xml:space="preserve">Figure </w:t>
      </w:r>
      <w:r w:rsidR="00F76516">
        <w:rPr>
          <w:noProof/>
        </w:rPr>
        <w:t>1</w:t>
      </w:r>
      <w:r w:rsidR="00F76516">
        <w:rPr>
          <w:szCs w:val="20"/>
        </w:rPr>
        <w:fldChar w:fldCharType="end"/>
      </w:r>
      <w:r w:rsidR="00F76516">
        <w:rPr>
          <w:szCs w:val="20"/>
        </w:rPr>
        <w:t>).</w:t>
      </w:r>
      <w:r w:rsidR="00940816">
        <w:rPr>
          <w:szCs w:val="20"/>
        </w:rPr>
        <w:t xml:space="preserve"> </w:t>
      </w:r>
    </w:p>
    <w:p w14:paraId="2A9239C7" w14:textId="48AAA7C2" w:rsidR="0036147B" w:rsidRDefault="00DB4181" w:rsidP="00E81489">
      <w:pPr>
        <w:rPr>
          <w:szCs w:val="20"/>
        </w:rPr>
      </w:pPr>
      <w:r>
        <w:rPr>
          <w:szCs w:val="20"/>
        </w:rPr>
        <w:t xml:space="preserve">Variable costs in </w:t>
      </w:r>
      <w:r w:rsidR="00B26BC8">
        <w:rPr>
          <w:szCs w:val="20"/>
        </w:rPr>
        <w:t xml:space="preserve">the </w:t>
      </w:r>
      <w:proofErr w:type="gramStart"/>
      <w:r w:rsidR="00A31DAB">
        <w:rPr>
          <w:szCs w:val="20"/>
        </w:rPr>
        <w:t>s</w:t>
      </w:r>
      <w:r>
        <w:rPr>
          <w:szCs w:val="20"/>
        </w:rPr>
        <w:t xml:space="preserve">outh </w:t>
      </w:r>
      <w:r w:rsidR="00A31DAB">
        <w:rPr>
          <w:szCs w:val="20"/>
        </w:rPr>
        <w:t>w</w:t>
      </w:r>
      <w:r>
        <w:rPr>
          <w:szCs w:val="20"/>
        </w:rPr>
        <w:t>est</w:t>
      </w:r>
      <w:proofErr w:type="gramEnd"/>
      <w:r w:rsidR="00B26BC8">
        <w:rPr>
          <w:szCs w:val="20"/>
        </w:rPr>
        <w:t xml:space="preserve"> and Gippsland </w:t>
      </w:r>
      <w:r>
        <w:rPr>
          <w:szCs w:val="20"/>
        </w:rPr>
        <w:t>increased to</w:t>
      </w:r>
      <w:r w:rsidR="00E34C39">
        <w:rPr>
          <w:szCs w:val="20"/>
        </w:rPr>
        <w:t xml:space="preserve"> the</w:t>
      </w:r>
      <w:r>
        <w:rPr>
          <w:szCs w:val="20"/>
        </w:rPr>
        <w:t xml:space="preserve"> high</w:t>
      </w:r>
      <w:r w:rsidR="00E34C39">
        <w:rPr>
          <w:szCs w:val="20"/>
        </w:rPr>
        <w:t xml:space="preserve">est </w:t>
      </w:r>
      <w:r w:rsidR="00BC3B89">
        <w:rPr>
          <w:szCs w:val="20"/>
        </w:rPr>
        <w:t>values</w:t>
      </w:r>
      <w:r w:rsidR="0083228E">
        <w:rPr>
          <w:szCs w:val="20"/>
        </w:rPr>
        <w:t xml:space="preserve"> on record</w:t>
      </w:r>
      <w:r w:rsidR="00063BC1">
        <w:rPr>
          <w:szCs w:val="20"/>
        </w:rPr>
        <w:t xml:space="preserve">. </w:t>
      </w:r>
      <w:r w:rsidR="00660031">
        <w:rPr>
          <w:szCs w:val="20"/>
        </w:rPr>
        <w:t>C</w:t>
      </w:r>
      <w:r w:rsidR="00FF0057">
        <w:rPr>
          <w:szCs w:val="20"/>
        </w:rPr>
        <w:t xml:space="preserve">onsecutive years of very dry conditions </w:t>
      </w:r>
      <w:r w:rsidR="0009379D">
        <w:rPr>
          <w:szCs w:val="20"/>
        </w:rPr>
        <w:t>and poor pasture growth</w:t>
      </w:r>
      <w:r w:rsidR="00660031">
        <w:rPr>
          <w:szCs w:val="20"/>
        </w:rPr>
        <w:t xml:space="preserve"> led to an increased reliance</w:t>
      </w:r>
      <w:r w:rsidR="00FF0057" w:rsidRPr="00063BC1">
        <w:rPr>
          <w:szCs w:val="20"/>
        </w:rPr>
        <w:t xml:space="preserve"> </w:t>
      </w:r>
      <w:r w:rsidR="004979C2">
        <w:rPr>
          <w:szCs w:val="20"/>
        </w:rPr>
        <w:t>on</w:t>
      </w:r>
      <w:r w:rsidR="00A00E4C">
        <w:rPr>
          <w:szCs w:val="20"/>
        </w:rPr>
        <w:t xml:space="preserve"> </w:t>
      </w:r>
      <w:r w:rsidR="00FF0057">
        <w:rPr>
          <w:szCs w:val="20"/>
        </w:rPr>
        <w:t>s</w:t>
      </w:r>
      <w:r w:rsidR="00063BC1" w:rsidRPr="00063BC1">
        <w:rPr>
          <w:szCs w:val="20"/>
        </w:rPr>
        <w:t>upplementary feed</w:t>
      </w:r>
      <w:r w:rsidR="00D2539A">
        <w:rPr>
          <w:szCs w:val="20"/>
        </w:rPr>
        <w:t>,</w:t>
      </w:r>
      <w:r w:rsidR="00063BC1" w:rsidRPr="00063BC1">
        <w:rPr>
          <w:szCs w:val="20"/>
        </w:rPr>
        <w:t xml:space="preserve"> </w:t>
      </w:r>
      <w:r w:rsidR="00660031">
        <w:rPr>
          <w:szCs w:val="20"/>
        </w:rPr>
        <w:t>increasing</w:t>
      </w:r>
      <w:r w:rsidR="0060406C">
        <w:rPr>
          <w:szCs w:val="20"/>
        </w:rPr>
        <w:t xml:space="preserve"> supplementary feed costs to high levels</w:t>
      </w:r>
      <w:r w:rsidR="0009379D">
        <w:rPr>
          <w:szCs w:val="20"/>
        </w:rPr>
        <w:t>.</w:t>
      </w:r>
      <w:r w:rsidR="00DC154F">
        <w:rPr>
          <w:szCs w:val="20"/>
        </w:rPr>
        <w:t xml:space="preserve"> Farmers attempted to minimise these costs by</w:t>
      </w:r>
      <w:r w:rsidR="0002382E">
        <w:rPr>
          <w:szCs w:val="20"/>
        </w:rPr>
        <w:t xml:space="preserve"> reducing stocking rates</w:t>
      </w:r>
      <w:r w:rsidR="00E65280">
        <w:rPr>
          <w:szCs w:val="20"/>
        </w:rPr>
        <w:t>.</w:t>
      </w:r>
      <w:r w:rsidR="009E2CBB">
        <w:rPr>
          <w:szCs w:val="20"/>
        </w:rPr>
        <w:t xml:space="preserve"> </w:t>
      </w:r>
      <w:r w:rsidR="00C44EB4">
        <w:rPr>
          <w:szCs w:val="20"/>
        </w:rPr>
        <w:t>Improved r</w:t>
      </w:r>
      <w:r w:rsidR="00166914" w:rsidRPr="00166914">
        <w:rPr>
          <w:szCs w:val="20"/>
        </w:rPr>
        <w:t>ed meat prices</w:t>
      </w:r>
      <w:r w:rsidR="001A4BC5">
        <w:rPr>
          <w:szCs w:val="20"/>
        </w:rPr>
        <w:t xml:space="preserve"> </w:t>
      </w:r>
      <w:r w:rsidR="00E124FD">
        <w:rPr>
          <w:szCs w:val="20"/>
        </w:rPr>
        <w:t xml:space="preserve">(price received for sheep, lamb and </w:t>
      </w:r>
      <w:r w:rsidR="00851803">
        <w:rPr>
          <w:szCs w:val="20"/>
        </w:rPr>
        <w:t>cattle</w:t>
      </w:r>
      <w:r w:rsidR="0003434D">
        <w:rPr>
          <w:szCs w:val="20"/>
        </w:rPr>
        <w:t>)</w:t>
      </w:r>
      <w:r w:rsidR="00E124FD">
        <w:rPr>
          <w:szCs w:val="20"/>
        </w:rPr>
        <w:t xml:space="preserve"> </w:t>
      </w:r>
      <w:r w:rsidR="005E6C87">
        <w:rPr>
          <w:szCs w:val="20"/>
        </w:rPr>
        <w:t xml:space="preserve">increased </w:t>
      </w:r>
      <w:r w:rsidR="002D359B">
        <w:rPr>
          <w:szCs w:val="20"/>
        </w:rPr>
        <w:t xml:space="preserve">income from stock sales </w:t>
      </w:r>
      <w:r w:rsidR="00C44EB4">
        <w:rPr>
          <w:szCs w:val="20"/>
        </w:rPr>
        <w:t>but</w:t>
      </w:r>
      <w:r w:rsidR="00781F21">
        <w:rPr>
          <w:szCs w:val="20"/>
        </w:rPr>
        <w:t xml:space="preserve"> decreases</w:t>
      </w:r>
      <w:r w:rsidR="00FD13E7">
        <w:rPr>
          <w:szCs w:val="20"/>
        </w:rPr>
        <w:t xml:space="preserve"> </w:t>
      </w:r>
      <w:r w:rsidR="00781F21">
        <w:rPr>
          <w:szCs w:val="20"/>
        </w:rPr>
        <w:t xml:space="preserve">in </w:t>
      </w:r>
      <w:r w:rsidR="00FD13E7">
        <w:rPr>
          <w:szCs w:val="20"/>
        </w:rPr>
        <w:t xml:space="preserve">stock inventories meant that </w:t>
      </w:r>
      <w:r w:rsidR="0083181D">
        <w:rPr>
          <w:szCs w:val="20"/>
        </w:rPr>
        <w:t xml:space="preserve">the increase in </w:t>
      </w:r>
      <w:r w:rsidR="00FD13E7">
        <w:rPr>
          <w:szCs w:val="20"/>
        </w:rPr>
        <w:t>farm income</w:t>
      </w:r>
      <w:r w:rsidR="0083181D">
        <w:rPr>
          <w:szCs w:val="20"/>
        </w:rPr>
        <w:t>s</w:t>
      </w:r>
      <w:r w:rsidR="00FD13E7">
        <w:rPr>
          <w:szCs w:val="20"/>
        </w:rPr>
        <w:t xml:space="preserve"> </w:t>
      </w:r>
      <w:proofErr w:type="gramStart"/>
      <w:r w:rsidR="002D359B">
        <w:rPr>
          <w:szCs w:val="20"/>
        </w:rPr>
        <w:t>were</w:t>
      </w:r>
      <w:proofErr w:type="gramEnd"/>
      <w:r w:rsidR="002D359B">
        <w:rPr>
          <w:szCs w:val="20"/>
        </w:rPr>
        <w:t xml:space="preserve"> </w:t>
      </w:r>
      <w:r w:rsidR="0083181D">
        <w:rPr>
          <w:szCs w:val="20"/>
        </w:rPr>
        <w:t>not</w:t>
      </w:r>
      <w:r w:rsidR="00EE10D3">
        <w:rPr>
          <w:szCs w:val="20"/>
        </w:rPr>
        <w:t xml:space="preserve"> </w:t>
      </w:r>
      <w:r w:rsidR="00C44EB4">
        <w:rPr>
          <w:szCs w:val="20"/>
        </w:rPr>
        <w:t xml:space="preserve">enough to </w:t>
      </w:r>
      <w:r w:rsidR="00C8565D">
        <w:rPr>
          <w:szCs w:val="20"/>
        </w:rPr>
        <w:t xml:space="preserve">offset the large increases in </w:t>
      </w:r>
      <w:r w:rsidR="00261079">
        <w:rPr>
          <w:szCs w:val="20"/>
        </w:rPr>
        <w:t>costs</w:t>
      </w:r>
      <w:r w:rsidR="008429B5">
        <w:rPr>
          <w:szCs w:val="20"/>
        </w:rPr>
        <w:t>.</w:t>
      </w:r>
      <w:r w:rsidR="00BA72A1">
        <w:rPr>
          <w:szCs w:val="20"/>
        </w:rPr>
        <w:t xml:space="preserve"> </w:t>
      </w:r>
    </w:p>
    <w:p w14:paraId="07A02EA3" w14:textId="379E7BD6" w:rsidR="0004253B" w:rsidRDefault="00F56EF6" w:rsidP="004331E4">
      <w:pPr>
        <w:rPr>
          <w:szCs w:val="20"/>
        </w:rPr>
      </w:pPr>
      <w:r w:rsidRPr="00C4563C">
        <w:rPr>
          <w:szCs w:val="20"/>
        </w:rPr>
        <w:t xml:space="preserve">In </w:t>
      </w:r>
      <w:r w:rsidR="00C82ED7">
        <w:rPr>
          <w:szCs w:val="20"/>
        </w:rPr>
        <w:t>202</w:t>
      </w:r>
      <w:r w:rsidR="001D721E">
        <w:rPr>
          <w:szCs w:val="20"/>
        </w:rPr>
        <w:t>4</w:t>
      </w:r>
      <w:r w:rsidR="00CE5B4A">
        <w:t>-</w:t>
      </w:r>
      <w:r w:rsidR="00C82ED7">
        <w:rPr>
          <w:szCs w:val="20"/>
        </w:rPr>
        <w:t>2</w:t>
      </w:r>
      <w:r w:rsidR="0025192B">
        <w:rPr>
          <w:szCs w:val="20"/>
        </w:rPr>
        <w:t>5</w:t>
      </w:r>
      <w:r w:rsidRPr="00C4563C">
        <w:rPr>
          <w:szCs w:val="20"/>
        </w:rPr>
        <w:t xml:space="preserve">, </w:t>
      </w:r>
      <w:r w:rsidR="00C65D22" w:rsidRPr="00E026FA">
        <w:rPr>
          <w:szCs w:val="20"/>
        </w:rPr>
        <w:t xml:space="preserve">average </w:t>
      </w:r>
      <w:r w:rsidR="006E70EC" w:rsidRPr="00E026FA">
        <w:rPr>
          <w:szCs w:val="20"/>
        </w:rPr>
        <w:t>r</w:t>
      </w:r>
      <w:r w:rsidRPr="00E026FA">
        <w:rPr>
          <w:szCs w:val="20"/>
        </w:rPr>
        <w:t xml:space="preserve">eturn on </w:t>
      </w:r>
      <w:r w:rsidR="006E70EC" w:rsidRPr="00E026FA">
        <w:rPr>
          <w:szCs w:val="20"/>
        </w:rPr>
        <w:t>a</w:t>
      </w:r>
      <w:r w:rsidRPr="00E026FA">
        <w:rPr>
          <w:szCs w:val="20"/>
        </w:rPr>
        <w:t>ssets</w:t>
      </w:r>
      <w:r w:rsidR="006F7FBE" w:rsidRPr="00E026FA">
        <w:rPr>
          <w:szCs w:val="20"/>
        </w:rPr>
        <w:t xml:space="preserve"> (</w:t>
      </w:r>
      <w:proofErr w:type="spellStart"/>
      <w:r w:rsidR="006F7FBE" w:rsidRPr="00E026FA">
        <w:rPr>
          <w:szCs w:val="20"/>
        </w:rPr>
        <w:t>RoA</w:t>
      </w:r>
      <w:proofErr w:type="spellEnd"/>
      <w:r w:rsidR="006F7FBE" w:rsidRPr="00E026FA">
        <w:rPr>
          <w:szCs w:val="20"/>
        </w:rPr>
        <w:t>)</w:t>
      </w:r>
      <w:r w:rsidR="000B3448">
        <w:rPr>
          <w:szCs w:val="20"/>
        </w:rPr>
        <w:t xml:space="preserve"> and re</w:t>
      </w:r>
      <w:r w:rsidR="0018613E">
        <w:rPr>
          <w:szCs w:val="20"/>
        </w:rPr>
        <w:t>turn on equity</w:t>
      </w:r>
      <w:r w:rsidR="00170E76">
        <w:rPr>
          <w:szCs w:val="20"/>
        </w:rPr>
        <w:t xml:space="preserve"> (</w:t>
      </w:r>
      <w:proofErr w:type="spellStart"/>
      <w:r w:rsidR="00170E76">
        <w:rPr>
          <w:szCs w:val="20"/>
        </w:rPr>
        <w:t>RoE</w:t>
      </w:r>
      <w:proofErr w:type="spellEnd"/>
      <w:r w:rsidR="00170E76">
        <w:rPr>
          <w:szCs w:val="20"/>
        </w:rPr>
        <w:t>)</w:t>
      </w:r>
      <w:r w:rsidRPr="00C4563C">
        <w:rPr>
          <w:szCs w:val="20"/>
        </w:rPr>
        <w:t xml:space="preserve"> </w:t>
      </w:r>
      <w:r w:rsidR="003A12FF">
        <w:rPr>
          <w:szCs w:val="20"/>
        </w:rPr>
        <w:t xml:space="preserve">were negative </w:t>
      </w:r>
      <w:r w:rsidR="00E43A99">
        <w:rPr>
          <w:szCs w:val="20"/>
        </w:rPr>
        <w:t>(</w:t>
      </w:r>
      <w:r w:rsidR="00E43A99">
        <w:rPr>
          <w:szCs w:val="20"/>
        </w:rPr>
        <w:fldChar w:fldCharType="begin"/>
      </w:r>
      <w:r w:rsidR="00E43A99">
        <w:rPr>
          <w:szCs w:val="20"/>
        </w:rPr>
        <w:instrText xml:space="preserve"> REF _Ref148953679 \h </w:instrText>
      </w:r>
      <w:r w:rsidR="00E43A99">
        <w:rPr>
          <w:szCs w:val="20"/>
        </w:rPr>
      </w:r>
      <w:r w:rsidR="00E43A99">
        <w:rPr>
          <w:szCs w:val="20"/>
        </w:rPr>
        <w:fldChar w:fldCharType="separate"/>
      </w:r>
      <w:r w:rsidR="00E43A99">
        <w:t xml:space="preserve">Figure </w:t>
      </w:r>
      <w:r w:rsidR="00E43A99">
        <w:rPr>
          <w:noProof/>
        </w:rPr>
        <w:t>2</w:t>
      </w:r>
      <w:r w:rsidR="00E43A99">
        <w:rPr>
          <w:szCs w:val="20"/>
        </w:rPr>
        <w:fldChar w:fldCharType="end"/>
      </w:r>
      <w:r w:rsidR="00E43A99">
        <w:rPr>
          <w:szCs w:val="20"/>
        </w:rPr>
        <w:t xml:space="preserve">) </w:t>
      </w:r>
      <w:r w:rsidR="003A12FF">
        <w:rPr>
          <w:szCs w:val="20"/>
        </w:rPr>
        <w:t>and</w:t>
      </w:r>
      <w:r w:rsidR="00565A39" w:rsidRPr="00C4563C">
        <w:rPr>
          <w:szCs w:val="20"/>
        </w:rPr>
        <w:t xml:space="preserve"> </w:t>
      </w:r>
      <w:r w:rsidR="00B70854">
        <w:rPr>
          <w:szCs w:val="20"/>
        </w:rPr>
        <w:t>below</w:t>
      </w:r>
      <w:r w:rsidRPr="00C4563C">
        <w:rPr>
          <w:szCs w:val="20"/>
        </w:rPr>
        <w:t xml:space="preserve"> the </w:t>
      </w:r>
      <w:r w:rsidR="00ED48FA">
        <w:rPr>
          <w:szCs w:val="20"/>
        </w:rPr>
        <w:t>10-year</w:t>
      </w:r>
      <w:r w:rsidRPr="00C4563C">
        <w:rPr>
          <w:szCs w:val="20"/>
        </w:rPr>
        <w:t xml:space="preserve"> average in all regions</w:t>
      </w:r>
      <w:r w:rsidR="003357BF">
        <w:rPr>
          <w:szCs w:val="20"/>
        </w:rPr>
        <w:t>.</w:t>
      </w:r>
      <w:r w:rsidR="00AA25F4">
        <w:rPr>
          <w:szCs w:val="20"/>
        </w:rPr>
        <w:t xml:space="preserve"> </w:t>
      </w:r>
      <w:r w:rsidR="002902DD">
        <w:rPr>
          <w:szCs w:val="20"/>
        </w:rPr>
        <w:t xml:space="preserve"> </w:t>
      </w:r>
      <w:r w:rsidR="00793B2A">
        <w:rPr>
          <w:szCs w:val="20"/>
        </w:rPr>
        <w:t>Despite the low</w:t>
      </w:r>
      <w:r w:rsidR="007B7ECB" w:rsidRPr="00C4563C">
        <w:rPr>
          <w:szCs w:val="20"/>
        </w:rPr>
        <w:t xml:space="preserve"> </w:t>
      </w:r>
      <w:r w:rsidR="00793B2A">
        <w:rPr>
          <w:szCs w:val="20"/>
        </w:rPr>
        <w:t xml:space="preserve">regional </w:t>
      </w:r>
      <w:r w:rsidR="007B7ECB" w:rsidRPr="00C4563C">
        <w:rPr>
          <w:szCs w:val="20"/>
        </w:rPr>
        <w:t>average</w:t>
      </w:r>
      <w:r w:rsidR="00793B2A">
        <w:rPr>
          <w:szCs w:val="20"/>
        </w:rPr>
        <w:t xml:space="preserve"> returns</w:t>
      </w:r>
      <w:r w:rsidR="007B7ECB" w:rsidRPr="00C4563C">
        <w:rPr>
          <w:szCs w:val="20"/>
        </w:rPr>
        <w:t xml:space="preserve">, each region had participant farms that recorded high returns and </w:t>
      </w:r>
      <w:r w:rsidR="006F36DA">
        <w:rPr>
          <w:szCs w:val="20"/>
        </w:rPr>
        <w:t xml:space="preserve">farms with </w:t>
      </w:r>
      <w:r w:rsidR="007B7ECB" w:rsidRPr="00C4563C">
        <w:rPr>
          <w:szCs w:val="20"/>
        </w:rPr>
        <w:t>negative returns</w:t>
      </w:r>
      <w:r w:rsidR="007B7ECB">
        <w:rPr>
          <w:szCs w:val="20"/>
        </w:rPr>
        <w:t xml:space="preserve"> (Appendix B1, C1, D1)</w:t>
      </w:r>
      <w:r w:rsidR="007B7ECB" w:rsidRPr="00C4563C">
        <w:rPr>
          <w:szCs w:val="20"/>
        </w:rPr>
        <w:t xml:space="preserve">. </w:t>
      </w:r>
    </w:p>
    <w:p w14:paraId="11B1AE1F" w14:textId="00B392EA" w:rsidR="00A81ACD" w:rsidRDefault="00CA5F2A" w:rsidP="00A81ACD">
      <w:pPr>
        <w:pStyle w:val="Caption"/>
      </w:pPr>
      <w:r>
        <w:rPr>
          <w:noProof/>
        </w:rPr>
        <w:drawing>
          <wp:inline distT="0" distB="0" distL="0" distR="0" wp14:anchorId="2FAE4614" wp14:editId="05780E6D">
            <wp:extent cx="2806342" cy="1638300"/>
            <wp:effectExtent l="0" t="0" r="0" b="0"/>
            <wp:docPr id="1487501801" name="Picture 1" descr="2024-25 regional return on assets (RoA) and return on equity (R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501801" name="Picture 1" descr="2024-25 regional return on assets (RoA) and return on equity (Ro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9105" cy="1639913"/>
                    </a:xfrm>
                    <a:prstGeom prst="rect">
                      <a:avLst/>
                    </a:prstGeom>
                    <a:noFill/>
                  </pic:spPr>
                </pic:pic>
              </a:graphicData>
            </a:graphic>
          </wp:inline>
        </w:drawing>
      </w:r>
    </w:p>
    <w:p w14:paraId="7EA8B110" w14:textId="67099BF5" w:rsidR="009B117C" w:rsidRPr="00C4563C" w:rsidRDefault="00A81ACD" w:rsidP="00A81ACD">
      <w:pPr>
        <w:pStyle w:val="Caption"/>
      </w:pPr>
      <w:bookmarkStart w:id="7" w:name="_Ref148953679"/>
      <w:r>
        <w:t xml:space="preserve">Figure </w:t>
      </w:r>
      <w:r>
        <w:fldChar w:fldCharType="begin"/>
      </w:r>
      <w:r>
        <w:instrText>SEQ Figure \* ARABIC</w:instrText>
      </w:r>
      <w:r>
        <w:fldChar w:fldCharType="separate"/>
      </w:r>
      <w:r w:rsidR="00EF38F6">
        <w:rPr>
          <w:noProof/>
        </w:rPr>
        <w:t>2</w:t>
      </w:r>
      <w:r>
        <w:fldChar w:fldCharType="end"/>
      </w:r>
      <w:bookmarkEnd w:id="7"/>
      <w:r>
        <w:t>. 202</w:t>
      </w:r>
      <w:r w:rsidR="00D34E97">
        <w:t>4</w:t>
      </w:r>
      <w:r w:rsidR="00CE5B4A">
        <w:t>-</w:t>
      </w:r>
      <w:r>
        <w:t>2</w:t>
      </w:r>
      <w:r w:rsidR="00D34E97">
        <w:t>5</w:t>
      </w:r>
      <w:r>
        <w:t xml:space="preserve"> </w:t>
      </w:r>
      <w:r w:rsidR="001277CC">
        <w:t>regional</w:t>
      </w:r>
      <w:r w:rsidR="00DC6966">
        <w:t xml:space="preserve"> return on assets</w:t>
      </w:r>
      <w:r w:rsidR="00CA5F2A">
        <w:t xml:space="preserve"> (</w:t>
      </w:r>
      <w:proofErr w:type="spellStart"/>
      <w:r w:rsidR="00CA5F2A">
        <w:t>RoA</w:t>
      </w:r>
      <w:proofErr w:type="spellEnd"/>
      <w:r w:rsidR="00CA5F2A">
        <w:t xml:space="preserve">) and </w:t>
      </w:r>
      <w:r w:rsidR="008C0DFE">
        <w:t>return on equity (</w:t>
      </w:r>
      <w:proofErr w:type="spellStart"/>
      <w:r w:rsidR="008C0DFE">
        <w:t>RoE</w:t>
      </w:r>
      <w:proofErr w:type="spellEnd"/>
      <w:r w:rsidR="008C0DFE">
        <w:t>)</w:t>
      </w:r>
      <w:r w:rsidR="00DC6966">
        <w:t>.</w:t>
      </w:r>
    </w:p>
    <w:p w14:paraId="6E504966" w14:textId="77777777" w:rsidR="00A027CE" w:rsidRDefault="00A027CE" w:rsidP="00F64AB9">
      <w:pPr>
        <w:rPr>
          <w:szCs w:val="20"/>
        </w:rPr>
        <w:sectPr w:rsidR="00A027CE" w:rsidSect="00652A32">
          <w:type w:val="continuous"/>
          <w:pgSz w:w="11906" w:h="16838"/>
          <w:pgMar w:top="1440" w:right="1440" w:bottom="1440" w:left="1440" w:header="708" w:footer="708" w:gutter="0"/>
          <w:cols w:num="2" w:space="708"/>
          <w:docGrid w:linePitch="360"/>
        </w:sectPr>
      </w:pPr>
    </w:p>
    <w:p w14:paraId="24FD8E90" w14:textId="54BA9177" w:rsidR="001C7E47" w:rsidRDefault="00A027CE" w:rsidP="00F64AB9">
      <w:pPr>
        <w:rPr>
          <w:szCs w:val="20"/>
        </w:rPr>
      </w:pPr>
      <w:r>
        <w:rPr>
          <w:noProof/>
          <w:szCs w:val="20"/>
        </w:rPr>
        <w:drawing>
          <wp:inline distT="0" distB="0" distL="0" distR="0" wp14:anchorId="146B619E" wp14:editId="04068A8E">
            <wp:extent cx="5119260" cy="2240783"/>
            <wp:effectExtent l="0" t="0" r="5715" b="7620"/>
            <wp:docPr id="1031744801" name="Picture 2" descr="Regional average earnings before interest and tax (EBIT) over time (2004-05 to 2024-25) ($/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44801" name="Picture 2" descr="Regional average earnings before interest and tax (EBIT) over time (2004-05 to 2024-25) ($/h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66971" cy="2261667"/>
                    </a:xfrm>
                    <a:prstGeom prst="rect">
                      <a:avLst/>
                    </a:prstGeom>
                    <a:noFill/>
                  </pic:spPr>
                </pic:pic>
              </a:graphicData>
            </a:graphic>
          </wp:inline>
        </w:drawing>
      </w:r>
    </w:p>
    <w:p w14:paraId="7D078672" w14:textId="77777777" w:rsidR="00A027CE" w:rsidRDefault="00A027CE" w:rsidP="00A027CE">
      <w:pPr>
        <w:pStyle w:val="Caption"/>
      </w:pPr>
      <w:bookmarkStart w:id="8" w:name="_Ref148952141"/>
      <w:r>
        <w:t xml:space="preserve">Figure </w:t>
      </w:r>
      <w:r>
        <w:fldChar w:fldCharType="begin"/>
      </w:r>
      <w:r>
        <w:instrText>SEQ Figure \* ARABIC</w:instrText>
      </w:r>
      <w:r>
        <w:fldChar w:fldCharType="separate"/>
      </w:r>
      <w:r>
        <w:rPr>
          <w:noProof/>
        </w:rPr>
        <w:t>1</w:t>
      </w:r>
      <w:r>
        <w:fldChar w:fldCharType="end"/>
      </w:r>
      <w:bookmarkEnd w:id="8"/>
      <w:r>
        <w:t>.</w:t>
      </w:r>
      <w:r w:rsidRPr="004E4B2E">
        <w:t xml:space="preserve"> </w:t>
      </w:r>
      <w:r w:rsidRPr="000A6AD7">
        <w:t xml:space="preserve">Regional </w:t>
      </w:r>
      <w:r>
        <w:t>average earnings before interest and tax (EBIT)</w:t>
      </w:r>
      <w:r w:rsidRPr="000A6AD7">
        <w:t xml:space="preserve"> over time</w:t>
      </w:r>
      <w:r>
        <w:t xml:space="preserve"> (2004-05 to 2024-25) ($/ha).</w:t>
      </w:r>
    </w:p>
    <w:p w14:paraId="191CB802" w14:textId="77777777" w:rsidR="00A027CE" w:rsidRDefault="00A027CE" w:rsidP="00F64AB9">
      <w:pPr>
        <w:rPr>
          <w:szCs w:val="20"/>
        </w:rPr>
        <w:sectPr w:rsidR="00A027CE" w:rsidSect="00600711">
          <w:type w:val="continuous"/>
          <w:pgSz w:w="11906" w:h="16838"/>
          <w:pgMar w:top="1440" w:right="1440" w:bottom="1440" w:left="1440" w:header="708" w:footer="708" w:gutter="0"/>
          <w:cols w:space="708"/>
          <w:docGrid w:linePitch="360"/>
        </w:sectPr>
      </w:pPr>
    </w:p>
    <w:p w14:paraId="407A2D5C" w14:textId="77777777" w:rsidR="001C7E47" w:rsidRDefault="001C7E47">
      <w:pPr>
        <w:rPr>
          <w:szCs w:val="20"/>
        </w:rPr>
      </w:pPr>
      <w:r>
        <w:rPr>
          <w:szCs w:val="20"/>
        </w:rPr>
        <w:br w:type="page"/>
      </w:r>
    </w:p>
    <w:p w14:paraId="3962CD18" w14:textId="77777777" w:rsidR="00463317" w:rsidRDefault="00463317" w:rsidP="00F64AB9">
      <w:pPr>
        <w:rPr>
          <w:rFonts w:asciiTheme="majorHAnsi" w:eastAsiaTheme="majorEastAsia" w:hAnsiTheme="majorHAnsi" w:cstheme="majorBidi"/>
          <w:b/>
          <w:bCs/>
          <w:color w:val="1F3763" w:themeColor="accent1" w:themeShade="7F"/>
          <w:sz w:val="24"/>
          <w:szCs w:val="24"/>
        </w:rPr>
        <w:sectPr w:rsidR="00463317" w:rsidSect="00EF0E82">
          <w:type w:val="continuous"/>
          <w:pgSz w:w="11906" w:h="16838"/>
          <w:pgMar w:top="1440" w:right="1440" w:bottom="1440" w:left="1440" w:header="708" w:footer="708" w:gutter="0"/>
          <w:cols w:space="708"/>
          <w:docGrid w:linePitch="360"/>
        </w:sectPr>
      </w:pPr>
    </w:p>
    <w:p w14:paraId="558BF9C8" w14:textId="68093230" w:rsidR="001C7E47" w:rsidRPr="00AA15AC" w:rsidRDefault="008B0CE2" w:rsidP="00600711">
      <w:pPr>
        <w:pStyle w:val="Heading3"/>
        <w:rPr>
          <w:b/>
          <w:bCs/>
        </w:rPr>
      </w:pPr>
      <w:bookmarkStart w:id="9" w:name="_Toc214610565"/>
      <w:r>
        <w:rPr>
          <w:b/>
        </w:rPr>
        <w:lastRenderedPageBreak/>
        <w:t>Average performance</w:t>
      </w:r>
      <w:r w:rsidR="00072913">
        <w:rPr>
          <w:b/>
        </w:rPr>
        <w:t xml:space="preserve"> measures</w:t>
      </w:r>
      <w:bookmarkEnd w:id="9"/>
    </w:p>
    <w:p w14:paraId="0986595D" w14:textId="77777777" w:rsidR="00812D9B" w:rsidRDefault="008708DA" w:rsidP="00F64AB9">
      <w:pPr>
        <w:rPr>
          <w:szCs w:val="20"/>
        </w:rPr>
      </w:pPr>
      <w:r>
        <w:rPr>
          <w:szCs w:val="20"/>
        </w:rPr>
        <w:t>When the data</w:t>
      </w:r>
      <w:r w:rsidDel="006F7FBE">
        <w:rPr>
          <w:szCs w:val="20"/>
        </w:rPr>
        <w:t>set</w:t>
      </w:r>
      <w:r>
        <w:rPr>
          <w:szCs w:val="20"/>
        </w:rPr>
        <w:t xml:space="preserve"> </w:t>
      </w:r>
      <w:r w:rsidDel="006F7FBE">
        <w:rPr>
          <w:szCs w:val="20"/>
        </w:rPr>
        <w:t>was</w:t>
      </w:r>
      <w:r w:rsidR="006F7FBE">
        <w:rPr>
          <w:szCs w:val="20"/>
        </w:rPr>
        <w:t xml:space="preserve"> </w:t>
      </w:r>
      <w:r>
        <w:rPr>
          <w:szCs w:val="20"/>
        </w:rPr>
        <w:t>separated into</w:t>
      </w:r>
      <w:r w:rsidR="00644C74">
        <w:rPr>
          <w:szCs w:val="20"/>
        </w:rPr>
        <w:t xml:space="preserve"> farm business types</w:t>
      </w:r>
      <w:r w:rsidR="006B2E8D">
        <w:rPr>
          <w:szCs w:val="20"/>
        </w:rPr>
        <w:t xml:space="preserve"> (see glossary for def</w:t>
      </w:r>
      <w:r w:rsidR="009A4ACD">
        <w:rPr>
          <w:szCs w:val="20"/>
        </w:rPr>
        <w:t>initions),</w:t>
      </w:r>
      <w:r w:rsidR="00904181">
        <w:rPr>
          <w:szCs w:val="20"/>
        </w:rPr>
        <w:t xml:space="preserve"> on average</w:t>
      </w:r>
      <w:r w:rsidR="009A4ACD">
        <w:rPr>
          <w:szCs w:val="20"/>
        </w:rPr>
        <w:t xml:space="preserve"> </w:t>
      </w:r>
      <w:r w:rsidR="007427BD">
        <w:rPr>
          <w:szCs w:val="20"/>
        </w:rPr>
        <w:t>s</w:t>
      </w:r>
      <w:r w:rsidR="00D35EE3">
        <w:rPr>
          <w:szCs w:val="20"/>
        </w:rPr>
        <w:t>tock</w:t>
      </w:r>
      <w:r w:rsidR="00936BE7">
        <w:rPr>
          <w:szCs w:val="20"/>
        </w:rPr>
        <w:t xml:space="preserve"> and </w:t>
      </w:r>
      <w:r w:rsidR="007427BD">
        <w:rPr>
          <w:szCs w:val="20"/>
        </w:rPr>
        <w:t>grain</w:t>
      </w:r>
      <w:r w:rsidR="00E64E46">
        <w:rPr>
          <w:szCs w:val="20"/>
        </w:rPr>
        <w:t xml:space="preserve"> businesses</w:t>
      </w:r>
      <w:r w:rsidR="007427BD">
        <w:rPr>
          <w:szCs w:val="20"/>
        </w:rPr>
        <w:t xml:space="preserve"> </w:t>
      </w:r>
      <w:r w:rsidR="005140FF">
        <w:rPr>
          <w:szCs w:val="20"/>
        </w:rPr>
        <w:t>were the</w:t>
      </w:r>
      <w:r w:rsidR="00904181">
        <w:rPr>
          <w:szCs w:val="20"/>
        </w:rPr>
        <w:t xml:space="preserve"> best performing</w:t>
      </w:r>
      <w:r w:rsidR="005140FF">
        <w:rPr>
          <w:szCs w:val="20"/>
        </w:rPr>
        <w:t xml:space="preserve"> </w:t>
      </w:r>
      <w:r w:rsidR="00664AB5">
        <w:rPr>
          <w:szCs w:val="20"/>
        </w:rPr>
        <w:t>and the only business type</w:t>
      </w:r>
      <w:r w:rsidR="005140FF">
        <w:rPr>
          <w:szCs w:val="20"/>
        </w:rPr>
        <w:t xml:space="preserve"> with </w:t>
      </w:r>
      <w:r w:rsidR="00904181">
        <w:rPr>
          <w:szCs w:val="20"/>
        </w:rPr>
        <w:t>positive average</w:t>
      </w:r>
      <w:r w:rsidR="00915139">
        <w:rPr>
          <w:szCs w:val="20"/>
        </w:rPr>
        <w:t xml:space="preserve"> annual returns</w:t>
      </w:r>
      <w:r w:rsidR="00723BB5">
        <w:rPr>
          <w:szCs w:val="20"/>
        </w:rPr>
        <w:t xml:space="preserve"> </w:t>
      </w:r>
      <w:r w:rsidR="00723BB5" w:rsidRPr="00D42503">
        <w:rPr>
          <w:szCs w:val="20"/>
        </w:rPr>
        <w:t>(</w:t>
      </w:r>
      <w:r w:rsidR="00723BB5" w:rsidRPr="00D42503">
        <w:rPr>
          <w:szCs w:val="20"/>
        </w:rPr>
        <w:fldChar w:fldCharType="begin"/>
      </w:r>
      <w:r w:rsidR="00723BB5" w:rsidRPr="00D42503">
        <w:rPr>
          <w:szCs w:val="20"/>
        </w:rPr>
        <w:instrText xml:space="preserve"> REF _Ref148952260 \h </w:instrText>
      </w:r>
      <w:r w:rsidR="00723BB5" w:rsidRPr="00D42503">
        <w:rPr>
          <w:szCs w:val="20"/>
        </w:rPr>
      </w:r>
      <w:r w:rsidR="00723BB5" w:rsidRPr="00D42503">
        <w:rPr>
          <w:szCs w:val="20"/>
        </w:rPr>
        <w:fldChar w:fldCharType="separate"/>
      </w:r>
      <w:r w:rsidR="00723BB5">
        <w:t xml:space="preserve">Table </w:t>
      </w:r>
      <w:r w:rsidR="00723BB5">
        <w:rPr>
          <w:noProof/>
        </w:rPr>
        <w:t>1</w:t>
      </w:r>
      <w:r w:rsidR="00723BB5" w:rsidRPr="00D42503">
        <w:rPr>
          <w:szCs w:val="20"/>
        </w:rPr>
        <w:fldChar w:fldCharType="end"/>
      </w:r>
      <w:r w:rsidR="00723BB5" w:rsidRPr="00D42503">
        <w:rPr>
          <w:szCs w:val="20"/>
        </w:rPr>
        <w:t>).</w:t>
      </w:r>
      <w:r w:rsidR="00915139">
        <w:rPr>
          <w:szCs w:val="20"/>
        </w:rPr>
        <w:t xml:space="preserve"> </w:t>
      </w:r>
      <w:r w:rsidR="007E2259" w:rsidRPr="00D42503">
        <w:rPr>
          <w:szCs w:val="20"/>
        </w:rPr>
        <w:t>Stock and grain businesses recorded the highest average farm income</w:t>
      </w:r>
      <w:r w:rsidR="00AE343B">
        <w:rPr>
          <w:szCs w:val="20"/>
        </w:rPr>
        <w:t xml:space="preserve">. </w:t>
      </w:r>
    </w:p>
    <w:p w14:paraId="059A1B84" w14:textId="7F14336D" w:rsidR="00E34447" w:rsidRDefault="00AE343B" w:rsidP="00F64AB9">
      <w:pPr>
        <w:rPr>
          <w:szCs w:val="20"/>
        </w:rPr>
      </w:pPr>
      <w:r>
        <w:rPr>
          <w:szCs w:val="20"/>
        </w:rPr>
        <w:t xml:space="preserve">Specialist beef </w:t>
      </w:r>
      <w:r w:rsidR="00825A99">
        <w:rPr>
          <w:szCs w:val="20"/>
        </w:rPr>
        <w:t xml:space="preserve">businesses </w:t>
      </w:r>
      <w:r w:rsidR="007E2259" w:rsidRPr="00D42503">
        <w:rPr>
          <w:szCs w:val="20"/>
        </w:rPr>
        <w:t>recorded the highest average operating (variable plus overhead) costs</w:t>
      </w:r>
      <w:r w:rsidR="000B6E2D">
        <w:rPr>
          <w:szCs w:val="20"/>
        </w:rPr>
        <w:t xml:space="preserve"> per hectare</w:t>
      </w:r>
      <w:r w:rsidR="007E2259" w:rsidRPr="00D42503">
        <w:rPr>
          <w:szCs w:val="20"/>
        </w:rPr>
        <w:t>.</w:t>
      </w:r>
      <w:r w:rsidR="00A727FE">
        <w:rPr>
          <w:szCs w:val="20"/>
        </w:rPr>
        <w:t xml:space="preserve"> </w:t>
      </w:r>
      <w:r w:rsidR="00F900AA">
        <w:rPr>
          <w:szCs w:val="20"/>
        </w:rPr>
        <w:t>Businesses specialising in sheep</w:t>
      </w:r>
      <w:r w:rsidR="00477D73">
        <w:rPr>
          <w:szCs w:val="20"/>
        </w:rPr>
        <w:t xml:space="preserve"> and businesses specialising in beef</w:t>
      </w:r>
      <w:r w:rsidR="00F900AA">
        <w:rPr>
          <w:szCs w:val="20"/>
        </w:rPr>
        <w:t xml:space="preserve"> had the lowest average </w:t>
      </w:r>
      <w:proofErr w:type="spellStart"/>
      <w:r w:rsidR="00237A39">
        <w:rPr>
          <w:szCs w:val="20"/>
        </w:rPr>
        <w:t>RoA</w:t>
      </w:r>
      <w:proofErr w:type="spellEnd"/>
      <w:r w:rsidR="008708DA">
        <w:rPr>
          <w:szCs w:val="20"/>
        </w:rPr>
        <w:t xml:space="preserve"> </w:t>
      </w:r>
      <w:r w:rsidR="007B7ECB">
        <w:rPr>
          <w:szCs w:val="20"/>
        </w:rPr>
        <w:t>in 202</w:t>
      </w:r>
      <w:r w:rsidR="00825A99">
        <w:rPr>
          <w:szCs w:val="20"/>
        </w:rPr>
        <w:t>4</w:t>
      </w:r>
      <w:r w:rsidR="007B7ECB">
        <w:rPr>
          <w:szCs w:val="20"/>
        </w:rPr>
        <w:t>-2</w:t>
      </w:r>
      <w:r w:rsidR="00825A99">
        <w:rPr>
          <w:szCs w:val="20"/>
        </w:rPr>
        <w:t>5</w:t>
      </w:r>
      <w:r w:rsidR="009C145B">
        <w:rPr>
          <w:szCs w:val="20"/>
        </w:rPr>
        <w:t xml:space="preserve"> </w:t>
      </w:r>
      <w:r w:rsidR="009100B7" w:rsidRPr="00D42503">
        <w:rPr>
          <w:szCs w:val="20"/>
        </w:rPr>
        <w:t>(</w:t>
      </w:r>
      <w:r w:rsidR="00A81ACD" w:rsidRPr="00D42503">
        <w:rPr>
          <w:szCs w:val="20"/>
        </w:rPr>
        <w:fldChar w:fldCharType="begin"/>
      </w:r>
      <w:r w:rsidR="00A81ACD" w:rsidRPr="00D42503">
        <w:rPr>
          <w:szCs w:val="20"/>
        </w:rPr>
        <w:instrText xml:space="preserve"> REF _Ref148952260 \h </w:instrText>
      </w:r>
      <w:r w:rsidR="00A81ACD" w:rsidRPr="00D42503">
        <w:rPr>
          <w:szCs w:val="20"/>
        </w:rPr>
      </w:r>
      <w:r w:rsidR="00A81ACD" w:rsidRPr="00D42503">
        <w:rPr>
          <w:szCs w:val="20"/>
        </w:rPr>
        <w:fldChar w:fldCharType="separate"/>
      </w:r>
      <w:r w:rsidR="00EF38F6">
        <w:t xml:space="preserve">Table </w:t>
      </w:r>
      <w:r w:rsidR="00EF38F6">
        <w:rPr>
          <w:noProof/>
        </w:rPr>
        <w:t>1</w:t>
      </w:r>
      <w:r w:rsidR="00A81ACD" w:rsidRPr="00D42503">
        <w:rPr>
          <w:szCs w:val="20"/>
        </w:rPr>
        <w:fldChar w:fldCharType="end"/>
      </w:r>
      <w:r w:rsidR="004B3323" w:rsidRPr="00D42503">
        <w:rPr>
          <w:szCs w:val="20"/>
        </w:rPr>
        <w:t xml:space="preserve">). </w:t>
      </w:r>
      <w:bookmarkStart w:id="10" w:name="_Ref148952260"/>
    </w:p>
    <w:p w14:paraId="50D68C2D" w14:textId="58B40FE3" w:rsidR="00450274" w:rsidRPr="002D639E" w:rsidRDefault="00450274" w:rsidP="00F64AB9">
      <w:pPr>
        <w:rPr>
          <w:rFonts w:asciiTheme="majorHAnsi" w:eastAsiaTheme="majorEastAsia" w:hAnsiTheme="majorHAnsi" w:cstheme="majorBidi"/>
          <w:b/>
          <w:color w:val="1F3763" w:themeColor="accent1" w:themeShade="7F"/>
          <w:sz w:val="24"/>
          <w:szCs w:val="24"/>
        </w:rPr>
      </w:pPr>
      <w:r w:rsidRPr="002D639E">
        <w:rPr>
          <w:rFonts w:asciiTheme="majorHAnsi" w:eastAsiaTheme="majorEastAsia" w:hAnsiTheme="majorHAnsi" w:cstheme="majorBidi"/>
          <w:b/>
          <w:color w:val="1F3763" w:themeColor="accent1" w:themeShade="7F"/>
          <w:sz w:val="24"/>
          <w:szCs w:val="24"/>
        </w:rPr>
        <w:t>Income</w:t>
      </w:r>
    </w:p>
    <w:p w14:paraId="7E93EAD4" w14:textId="77777777" w:rsidR="00450274" w:rsidRDefault="00450274" w:rsidP="00450274">
      <w:pPr>
        <w:rPr>
          <w:szCs w:val="20"/>
        </w:rPr>
      </w:pPr>
      <w:r w:rsidRPr="007A4E98">
        <w:rPr>
          <w:szCs w:val="20"/>
        </w:rPr>
        <w:t>Small and large farms derived their income from different enterprise mixes. On the smallest farms, beef cattle sales contributed an average of 58% of total cash income. In contrast, cattle sales accounted for only 26% of total cash income on the largest</w:t>
      </w:r>
      <w:r>
        <w:rPr>
          <w:szCs w:val="20"/>
        </w:rPr>
        <w:t xml:space="preserve"> </w:t>
      </w:r>
      <w:r w:rsidRPr="007A4E98">
        <w:rPr>
          <w:szCs w:val="20"/>
        </w:rPr>
        <w:t>farms (Appendix A3). Sheep sales were the dominant income source on larger farms, making up an average of 41% of total cash income, compared with 25% on the smallest farms.</w:t>
      </w:r>
    </w:p>
    <w:p w14:paraId="4F011E3B" w14:textId="354B8458" w:rsidR="001F3369" w:rsidRPr="001D7015" w:rsidRDefault="001C253F" w:rsidP="00441A9C">
      <w:pPr>
        <w:pStyle w:val="Heading3"/>
        <w:rPr>
          <w:b/>
          <w:bCs/>
        </w:rPr>
      </w:pPr>
      <w:r>
        <w:rPr>
          <w:szCs w:val="20"/>
        </w:rPr>
        <w:br w:type="column"/>
      </w:r>
      <w:bookmarkStart w:id="11" w:name="_Toc214610566"/>
      <w:r w:rsidR="0088744D" w:rsidRPr="0024588C">
        <w:rPr>
          <w:b/>
        </w:rPr>
        <w:t>Feed</w:t>
      </w:r>
      <w:r w:rsidR="00450274">
        <w:rPr>
          <w:b/>
        </w:rPr>
        <w:t xml:space="preserve"> costs and</w:t>
      </w:r>
      <w:r w:rsidR="001F3369" w:rsidRPr="0024588C">
        <w:rPr>
          <w:b/>
        </w:rPr>
        <w:t xml:space="preserve"> m</w:t>
      </w:r>
      <w:r w:rsidR="001F3369" w:rsidRPr="00441A9C">
        <w:rPr>
          <w:b/>
          <w:bCs/>
        </w:rPr>
        <w:t>anagement decisions</w:t>
      </w:r>
      <w:bookmarkEnd w:id="11"/>
      <w:r w:rsidR="001F3369" w:rsidRPr="00441A9C">
        <w:rPr>
          <w:b/>
          <w:bCs/>
        </w:rPr>
        <w:t xml:space="preserve"> </w:t>
      </w:r>
    </w:p>
    <w:p w14:paraId="77A307C2" w14:textId="6BA56F65" w:rsidR="00F10E1A" w:rsidRDefault="004D2D65" w:rsidP="00685C7A">
      <w:r>
        <w:t>Farm managers responded differently to the challenging dry conditions</w:t>
      </w:r>
      <w:r w:rsidR="00631982">
        <w:t xml:space="preserve"> in </w:t>
      </w:r>
      <w:r w:rsidR="0080442D">
        <w:t>2024-25</w:t>
      </w:r>
      <w:r w:rsidR="00BF6361">
        <w:t xml:space="preserve">. </w:t>
      </w:r>
      <w:r w:rsidR="00D67E49">
        <w:t>F</w:t>
      </w:r>
      <w:r w:rsidR="00A32FD7" w:rsidRPr="00A32FD7">
        <w:t xml:space="preserve">eed management decisions </w:t>
      </w:r>
      <w:r w:rsidR="00D67E49">
        <w:t xml:space="preserve">were made </w:t>
      </w:r>
      <w:r w:rsidR="00A32FD7" w:rsidRPr="00A32FD7">
        <w:t>to fill critical feed and stock water</w:t>
      </w:r>
      <w:r w:rsidR="00E141F1">
        <w:t xml:space="preserve"> gaps.</w:t>
      </w:r>
    </w:p>
    <w:p w14:paraId="3AB0FEE2" w14:textId="3A92767A" w:rsidR="00BD0E49" w:rsidRDefault="00EF0468" w:rsidP="002F313C">
      <w:r>
        <w:t>Selective de-stocking</w:t>
      </w:r>
      <w:r w:rsidR="009C4181">
        <w:t xml:space="preserve">, selling </w:t>
      </w:r>
      <w:r w:rsidR="003818F0">
        <w:t>lighter animals earlier</w:t>
      </w:r>
      <w:r w:rsidR="003D7796">
        <w:t xml:space="preserve"> and</w:t>
      </w:r>
      <w:r w:rsidR="00DB544A">
        <w:t xml:space="preserve"> ultimately</w:t>
      </w:r>
      <w:r w:rsidR="003D7796">
        <w:t xml:space="preserve"> </w:t>
      </w:r>
      <w:r w:rsidR="00771810">
        <w:t>lowering stocking rates</w:t>
      </w:r>
      <w:r w:rsidR="00FE05A3">
        <w:t xml:space="preserve"> m</w:t>
      </w:r>
      <w:r w:rsidR="00FE05A3" w:rsidRPr="00002EDB">
        <w:t>inimise</w:t>
      </w:r>
      <w:r w:rsidR="00FE05A3">
        <w:t>d</w:t>
      </w:r>
      <w:r w:rsidR="00FE05A3" w:rsidRPr="00002EDB">
        <w:t xml:space="preserve"> impacts of dry conditions</w:t>
      </w:r>
      <w:r w:rsidR="003D7796">
        <w:t xml:space="preserve">. </w:t>
      </w:r>
      <w:r w:rsidR="00BD0E49" w:rsidRPr="00002EDB">
        <w:t>This was reflected in the negative livestock inventory change across most enterprises and regions</w:t>
      </w:r>
      <w:r w:rsidR="00BD0E49">
        <w:t>.</w:t>
      </w:r>
    </w:p>
    <w:p w14:paraId="4CE05AC0" w14:textId="2509FE47" w:rsidR="002F313C" w:rsidRPr="00002EDB" w:rsidRDefault="003D7796" w:rsidP="002F313C">
      <w:r>
        <w:t>Of the stock that remained</w:t>
      </w:r>
      <w:r w:rsidR="007E5E28">
        <w:t xml:space="preserve"> on farm</w:t>
      </w:r>
      <w:r>
        <w:t>, the fe</w:t>
      </w:r>
      <w:r w:rsidR="04AD6E3C">
        <w:t>e</w:t>
      </w:r>
      <w:r>
        <w:t>d gap created</w:t>
      </w:r>
      <w:r w:rsidR="005008DE">
        <w:t xml:space="preserve"> </w:t>
      </w:r>
      <w:r w:rsidR="003818F0">
        <w:t>by</w:t>
      </w:r>
      <w:r w:rsidR="003A1F16">
        <w:t xml:space="preserve"> poor</w:t>
      </w:r>
      <w:r w:rsidR="00807628">
        <w:t xml:space="preserve"> soil moisture and low</w:t>
      </w:r>
      <w:r w:rsidR="003A1F16">
        <w:t xml:space="preserve"> pasture growth was fill</w:t>
      </w:r>
      <w:r w:rsidR="001D5D79">
        <w:t>ed</w:t>
      </w:r>
      <w:r w:rsidR="003A1F16">
        <w:t xml:space="preserve"> with purchased and </w:t>
      </w:r>
      <w:r w:rsidR="008C475D">
        <w:t>hom</w:t>
      </w:r>
      <w:r w:rsidR="001D5D79">
        <w:t>e</w:t>
      </w:r>
      <w:r w:rsidR="008C475D">
        <w:t>grown supplementary feed.</w:t>
      </w:r>
      <w:r w:rsidR="007424F7">
        <w:t xml:space="preserve"> This included farmers drawing on their homegrown feed inventories </w:t>
      </w:r>
      <w:r w:rsidR="00BB6C3F">
        <w:t>across the state</w:t>
      </w:r>
      <w:r w:rsidR="00B17881">
        <w:t>.</w:t>
      </w:r>
      <w:r w:rsidR="00BB6C3F">
        <w:t xml:space="preserve"> </w:t>
      </w:r>
    </w:p>
    <w:p w14:paraId="73968E61" w14:textId="2FBB6316" w:rsidR="004D2D65" w:rsidRDefault="004D2D65" w:rsidP="004D2D65">
      <w:r>
        <w:t xml:space="preserve">The </w:t>
      </w:r>
      <w:r w:rsidR="686186BF">
        <w:t>increased</w:t>
      </w:r>
      <w:r>
        <w:t xml:space="preserve"> supplementary feeding in 2024-25 </w:t>
      </w:r>
      <w:r w:rsidR="7111BE24">
        <w:t xml:space="preserve">resulted in </w:t>
      </w:r>
      <w:r>
        <w:t xml:space="preserve">in the highest purchased feed costs in 6 years. </w:t>
      </w:r>
      <w:r w:rsidR="007D5B2B">
        <w:t xml:space="preserve">Some enterprises were fully fed supplementary feed for a portion of the year. </w:t>
      </w:r>
      <w:r w:rsidR="0014256F">
        <w:t>The timing of purchasing feed matter</w:t>
      </w:r>
      <w:r w:rsidR="7F9A450E">
        <w:t xml:space="preserve">ed, </w:t>
      </w:r>
      <w:r w:rsidR="0014256F">
        <w:t>as f</w:t>
      </w:r>
      <w:r w:rsidR="003816D1">
        <w:t xml:space="preserve">odder price per tonne </w:t>
      </w:r>
      <w:r w:rsidR="003E1355">
        <w:t>became more expensive during the year</w:t>
      </w:r>
      <w:r w:rsidR="003233F9">
        <w:t xml:space="preserve">. </w:t>
      </w:r>
      <w:r w:rsidR="007D5B2B">
        <w:t>On average,</w:t>
      </w:r>
      <w:r w:rsidR="00441A9C">
        <w:t xml:space="preserve"> supplementary</w:t>
      </w:r>
      <w:r w:rsidR="007D5B2B">
        <w:t xml:space="preserve"> feed comprised </w:t>
      </w:r>
      <w:r w:rsidR="006576C5">
        <w:t>30</w:t>
      </w:r>
      <w:r w:rsidR="007D5B2B">
        <w:t xml:space="preserve">% of the diet on </w:t>
      </w:r>
      <w:proofErr w:type="gramStart"/>
      <w:r w:rsidR="002B0CAD">
        <w:t>s</w:t>
      </w:r>
      <w:r w:rsidR="007D5B2B">
        <w:t xml:space="preserve">outh </w:t>
      </w:r>
      <w:r w:rsidR="002B0CAD">
        <w:t>w</w:t>
      </w:r>
      <w:r w:rsidR="007D5B2B">
        <w:t>est</w:t>
      </w:r>
      <w:proofErr w:type="gramEnd"/>
      <w:r w:rsidR="007D5B2B">
        <w:t xml:space="preserve"> Victoria farms, </w:t>
      </w:r>
      <w:r w:rsidR="006576C5">
        <w:t>22</w:t>
      </w:r>
      <w:r w:rsidR="007D5B2B">
        <w:t xml:space="preserve">% in northern Victoria and </w:t>
      </w:r>
      <w:r w:rsidR="006576C5">
        <w:t>1</w:t>
      </w:r>
      <w:r w:rsidR="007D5B2B">
        <w:t xml:space="preserve">4% in Gippsland in 2024-25. </w:t>
      </w:r>
      <w:r w:rsidR="002B0CAD">
        <w:t xml:space="preserve">As a result, </w:t>
      </w:r>
      <w:proofErr w:type="gramStart"/>
      <w:r w:rsidR="002B0CAD">
        <w:t>south west</w:t>
      </w:r>
      <w:proofErr w:type="gramEnd"/>
      <w:r w:rsidR="002B0CAD">
        <w:t xml:space="preserve"> Victoria had the highest purchased feed costs of all the regions ($/ha). </w:t>
      </w:r>
    </w:p>
    <w:p w14:paraId="1E62E39E" w14:textId="77777777" w:rsidR="00463317" w:rsidRDefault="00463317" w:rsidP="00F64AB9">
      <w:pPr>
        <w:rPr>
          <w:szCs w:val="20"/>
        </w:rPr>
        <w:sectPr w:rsidR="00463317" w:rsidSect="008B25DD">
          <w:type w:val="continuous"/>
          <w:pgSz w:w="11906" w:h="16838"/>
          <w:pgMar w:top="1440" w:right="1440" w:bottom="1440" w:left="1440" w:header="708" w:footer="708" w:gutter="0"/>
          <w:cols w:num="2" w:space="708"/>
          <w:docGrid w:linePitch="360"/>
        </w:sectPr>
      </w:pPr>
    </w:p>
    <w:p w14:paraId="50052DF9" w14:textId="77777777" w:rsidR="00F64AB9" w:rsidRPr="00F64AB9" w:rsidRDefault="00F64AB9" w:rsidP="00F64AB9">
      <w:pPr>
        <w:rPr>
          <w:szCs w:val="20"/>
        </w:rPr>
      </w:pPr>
    </w:p>
    <w:tbl>
      <w:tblPr>
        <w:tblpPr w:leftFromText="180" w:rightFromText="180" w:vertAnchor="text" w:horzAnchor="margin" w:tblpY="259"/>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96"/>
        <w:gridCol w:w="1323"/>
        <w:gridCol w:w="1323"/>
        <w:gridCol w:w="1323"/>
        <w:gridCol w:w="1560"/>
        <w:gridCol w:w="1086"/>
        <w:gridCol w:w="1323"/>
      </w:tblGrid>
      <w:tr w:rsidR="004152A5" w:rsidRPr="001B754B" w14:paraId="3AEAC31C" w14:textId="77777777" w:rsidTr="000F5F51">
        <w:trPr>
          <w:trHeight w:val="589"/>
        </w:trPr>
        <w:tc>
          <w:tcPr>
            <w:tcW w:w="1696" w:type="dxa"/>
            <w:shd w:val="clear" w:color="000000" w:fill="F2F2F2"/>
            <w:noWrap/>
            <w:vAlign w:val="bottom"/>
            <w:hideMark/>
          </w:tcPr>
          <w:p w14:paraId="65D99133" w14:textId="77777777" w:rsidR="00664831" w:rsidRPr="000F5F51" w:rsidRDefault="00664831" w:rsidP="00664831">
            <w:pPr>
              <w:spacing w:after="0" w:line="240" w:lineRule="auto"/>
              <w:jc w:val="center"/>
              <w:rPr>
                <w:rFonts w:ascii="Calibri" w:eastAsia="Times New Roman" w:hAnsi="Calibri" w:cs="Calibri"/>
                <w:b/>
                <w:bCs/>
                <w:color w:val="000000"/>
                <w:sz w:val="18"/>
                <w:szCs w:val="18"/>
                <w:lang w:eastAsia="en-AU"/>
              </w:rPr>
            </w:pPr>
            <w:r w:rsidRPr="000F5F51">
              <w:rPr>
                <w:rFonts w:ascii="Calibri" w:eastAsia="Times New Roman" w:hAnsi="Calibri" w:cs="Calibri"/>
                <w:b/>
                <w:bCs/>
                <w:color w:val="000000"/>
                <w:sz w:val="18"/>
                <w:szCs w:val="18"/>
                <w:lang w:eastAsia="en-AU"/>
              </w:rPr>
              <w:t>Business type</w:t>
            </w:r>
          </w:p>
        </w:tc>
        <w:tc>
          <w:tcPr>
            <w:tcW w:w="1323" w:type="dxa"/>
            <w:shd w:val="clear" w:color="000000" w:fill="F2F2F2"/>
            <w:vAlign w:val="bottom"/>
            <w:hideMark/>
          </w:tcPr>
          <w:p w14:paraId="66A448BC" w14:textId="77777777" w:rsidR="00664831" w:rsidRPr="000F5F51" w:rsidRDefault="00664831" w:rsidP="00664831">
            <w:pPr>
              <w:spacing w:after="0" w:line="240" w:lineRule="auto"/>
              <w:jc w:val="center"/>
              <w:rPr>
                <w:rFonts w:ascii="Calibri" w:eastAsia="Times New Roman" w:hAnsi="Calibri" w:cs="Calibri"/>
                <w:b/>
                <w:bCs/>
                <w:color w:val="000000"/>
                <w:sz w:val="18"/>
                <w:szCs w:val="18"/>
                <w:lang w:eastAsia="en-AU"/>
              </w:rPr>
            </w:pPr>
            <w:r w:rsidRPr="000F5F51">
              <w:rPr>
                <w:rFonts w:ascii="Calibri" w:eastAsia="Times New Roman" w:hAnsi="Calibri" w:cs="Calibri"/>
                <w:b/>
                <w:bCs/>
                <w:color w:val="000000"/>
                <w:sz w:val="18"/>
                <w:szCs w:val="18"/>
                <w:lang w:eastAsia="en-AU"/>
              </w:rPr>
              <w:t xml:space="preserve">Gross farm income </w:t>
            </w:r>
          </w:p>
        </w:tc>
        <w:tc>
          <w:tcPr>
            <w:tcW w:w="1323" w:type="dxa"/>
            <w:shd w:val="clear" w:color="000000" w:fill="F2F2F2"/>
            <w:vAlign w:val="bottom"/>
            <w:hideMark/>
          </w:tcPr>
          <w:p w14:paraId="47875420" w14:textId="77777777" w:rsidR="00664831" w:rsidRPr="000F5F51" w:rsidRDefault="00664831" w:rsidP="00664831">
            <w:pPr>
              <w:spacing w:after="0" w:line="240" w:lineRule="auto"/>
              <w:jc w:val="center"/>
              <w:rPr>
                <w:rFonts w:ascii="Calibri" w:eastAsia="Times New Roman" w:hAnsi="Calibri" w:cs="Calibri"/>
                <w:b/>
                <w:bCs/>
                <w:color w:val="000000"/>
                <w:sz w:val="18"/>
                <w:szCs w:val="18"/>
                <w:lang w:eastAsia="en-AU"/>
              </w:rPr>
            </w:pPr>
            <w:r w:rsidRPr="000F5F51">
              <w:rPr>
                <w:rFonts w:ascii="Calibri" w:eastAsia="Times New Roman" w:hAnsi="Calibri" w:cs="Calibri"/>
                <w:b/>
                <w:bCs/>
                <w:color w:val="000000"/>
                <w:sz w:val="18"/>
                <w:szCs w:val="18"/>
                <w:lang w:eastAsia="en-AU"/>
              </w:rPr>
              <w:t xml:space="preserve">Total variable costs </w:t>
            </w:r>
          </w:p>
        </w:tc>
        <w:tc>
          <w:tcPr>
            <w:tcW w:w="1323" w:type="dxa"/>
            <w:shd w:val="clear" w:color="000000" w:fill="F2F2F2"/>
            <w:vAlign w:val="bottom"/>
            <w:hideMark/>
          </w:tcPr>
          <w:p w14:paraId="2DB324D2" w14:textId="77777777" w:rsidR="00664831" w:rsidRPr="000F5F51" w:rsidRDefault="00664831" w:rsidP="00664831">
            <w:pPr>
              <w:spacing w:after="0" w:line="240" w:lineRule="auto"/>
              <w:jc w:val="center"/>
              <w:rPr>
                <w:rFonts w:ascii="Calibri" w:eastAsia="Times New Roman" w:hAnsi="Calibri" w:cs="Calibri"/>
                <w:b/>
                <w:bCs/>
                <w:color w:val="000000"/>
                <w:sz w:val="18"/>
                <w:szCs w:val="18"/>
                <w:lang w:eastAsia="en-AU"/>
              </w:rPr>
            </w:pPr>
            <w:r w:rsidRPr="000F5F51">
              <w:rPr>
                <w:rFonts w:ascii="Calibri" w:eastAsia="Times New Roman" w:hAnsi="Calibri" w:cs="Calibri"/>
                <w:b/>
                <w:bCs/>
                <w:color w:val="000000"/>
                <w:sz w:val="18"/>
                <w:szCs w:val="18"/>
                <w:lang w:eastAsia="en-AU"/>
              </w:rPr>
              <w:t xml:space="preserve">Total overhead costs </w:t>
            </w:r>
          </w:p>
        </w:tc>
        <w:tc>
          <w:tcPr>
            <w:tcW w:w="1560" w:type="dxa"/>
            <w:shd w:val="clear" w:color="000000" w:fill="F2F2F2"/>
            <w:vAlign w:val="bottom"/>
            <w:hideMark/>
          </w:tcPr>
          <w:p w14:paraId="4C9853EC" w14:textId="77777777" w:rsidR="00664831" w:rsidRPr="000F5F51" w:rsidRDefault="00664831" w:rsidP="00664831">
            <w:pPr>
              <w:spacing w:after="0" w:line="240" w:lineRule="auto"/>
              <w:jc w:val="center"/>
              <w:rPr>
                <w:rFonts w:ascii="Calibri" w:eastAsia="Times New Roman" w:hAnsi="Calibri" w:cs="Calibri"/>
                <w:b/>
                <w:bCs/>
                <w:color w:val="000000"/>
                <w:sz w:val="18"/>
                <w:szCs w:val="18"/>
                <w:lang w:eastAsia="en-AU"/>
              </w:rPr>
            </w:pPr>
            <w:r w:rsidRPr="000F5F51">
              <w:rPr>
                <w:rFonts w:ascii="Calibri" w:eastAsia="Times New Roman" w:hAnsi="Calibri" w:cs="Calibri"/>
                <w:b/>
                <w:bCs/>
                <w:color w:val="000000"/>
                <w:sz w:val="18"/>
                <w:szCs w:val="18"/>
                <w:lang w:eastAsia="en-AU"/>
              </w:rPr>
              <w:t xml:space="preserve">Earnings before Interest and Tax </w:t>
            </w:r>
          </w:p>
        </w:tc>
        <w:tc>
          <w:tcPr>
            <w:tcW w:w="1086" w:type="dxa"/>
            <w:shd w:val="clear" w:color="000000" w:fill="F2F2F2"/>
            <w:vAlign w:val="bottom"/>
            <w:hideMark/>
          </w:tcPr>
          <w:p w14:paraId="0AD85117" w14:textId="77777777" w:rsidR="00664831" w:rsidRPr="000F5F51" w:rsidRDefault="00664831" w:rsidP="00664831">
            <w:pPr>
              <w:spacing w:after="0" w:line="240" w:lineRule="auto"/>
              <w:jc w:val="center"/>
              <w:rPr>
                <w:rFonts w:ascii="Calibri" w:eastAsia="Times New Roman" w:hAnsi="Calibri" w:cs="Calibri"/>
                <w:b/>
                <w:bCs/>
                <w:color w:val="000000"/>
                <w:sz w:val="18"/>
                <w:szCs w:val="18"/>
                <w:lang w:eastAsia="en-AU"/>
              </w:rPr>
            </w:pPr>
            <w:r w:rsidRPr="000F5F51">
              <w:rPr>
                <w:rFonts w:ascii="Calibri" w:eastAsia="Times New Roman" w:hAnsi="Calibri" w:cs="Calibri"/>
                <w:b/>
                <w:bCs/>
                <w:color w:val="000000"/>
                <w:sz w:val="18"/>
                <w:szCs w:val="18"/>
                <w:lang w:eastAsia="en-AU"/>
              </w:rPr>
              <w:t>Return on assets</w:t>
            </w:r>
          </w:p>
        </w:tc>
        <w:tc>
          <w:tcPr>
            <w:tcW w:w="1323" w:type="dxa"/>
            <w:shd w:val="clear" w:color="000000" w:fill="F2F2F2"/>
            <w:vAlign w:val="bottom"/>
            <w:hideMark/>
          </w:tcPr>
          <w:p w14:paraId="27AB965B" w14:textId="77777777" w:rsidR="00664831" w:rsidRPr="000F5F51" w:rsidRDefault="00664831" w:rsidP="00664831">
            <w:pPr>
              <w:spacing w:after="0" w:line="240" w:lineRule="auto"/>
              <w:jc w:val="center"/>
              <w:rPr>
                <w:rFonts w:ascii="Calibri" w:eastAsia="Times New Roman" w:hAnsi="Calibri" w:cs="Calibri"/>
                <w:b/>
                <w:bCs/>
                <w:color w:val="000000"/>
                <w:sz w:val="18"/>
                <w:szCs w:val="18"/>
                <w:lang w:eastAsia="en-AU"/>
              </w:rPr>
            </w:pPr>
            <w:r w:rsidRPr="000F5F51">
              <w:rPr>
                <w:rFonts w:ascii="Calibri" w:eastAsia="Times New Roman" w:hAnsi="Calibri" w:cs="Calibri"/>
                <w:b/>
                <w:bCs/>
                <w:color w:val="000000"/>
                <w:sz w:val="18"/>
                <w:szCs w:val="18"/>
                <w:lang w:eastAsia="en-AU"/>
              </w:rPr>
              <w:t>Return on equity</w:t>
            </w:r>
          </w:p>
        </w:tc>
      </w:tr>
      <w:tr w:rsidR="004152A5" w:rsidRPr="001B754B" w14:paraId="3EA32745" w14:textId="77777777" w:rsidTr="000F5F51">
        <w:trPr>
          <w:trHeight w:val="317"/>
        </w:trPr>
        <w:tc>
          <w:tcPr>
            <w:tcW w:w="1696" w:type="dxa"/>
            <w:shd w:val="clear" w:color="000000" w:fill="D9D9D9"/>
            <w:noWrap/>
            <w:vAlign w:val="bottom"/>
            <w:hideMark/>
          </w:tcPr>
          <w:p w14:paraId="1BCA87FA" w14:textId="77777777" w:rsidR="00664831" w:rsidRPr="000F5F51" w:rsidRDefault="00664831" w:rsidP="00664831">
            <w:pPr>
              <w:spacing w:after="0" w:line="240" w:lineRule="auto"/>
              <w:jc w:val="center"/>
              <w:rPr>
                <w:rFonts w:ascii="Calibri" w:eastAsia="Times New Roman" w:hAnsi="Calibri" w:cs="Calibri"/>
                <w:color w:val="000000"/>
                <w:sz w:val="18"/>
                <w:szCs w:val="18"/>
                <w:lang w:eastAsia="en-AU"/>
              </w:rPr>
            </w:pPr>
            <w:r w:rsidRPr="000F5F51">
              <w:rPr>
                <w:rFonts w:ascii="Calibri" w:eastAsia="Times New Roman" w:hAnsi="Calibri" w:cs="Calibri"/>
                <w:color w:val="000000"/>
                <w:sz w:val="18"/>
                <w:szCs w:val="18"/>
                <w:lang w:eastAsia="en-AU"/>
              </w:rPr>
              <w:t> </w:t>
            </w:r>
          </w:p>
        </w:tc>
        <w:tc>
          <w:tcPr>
            <w:tcW w:w="1323" w:type="dxa"/>
            <w:shd w:val="clear" w:color="000000" w:fill="D9D9D9"/>
            <w:vAlign w:val="bottom"/>
            <w:hideMark/>
          </w:tcPr>
          <w:p w14:paraId="43CF3B4A" w14:textId="77777777" w:rsidR="00664831" w:rsidRPr="000F5F51" w:rsidRDefault="00664831" w:rsidP="00664831">
            <w:pPr>
              <w:spacing w:after="0" w:line="240" w:lineRule="auto"/>
              <w:jc w:val="center"/>
              <w:rPr>
                <w:rFonts w:ascii="Calibri" w:eastAsia="Times New Roman" w:hAnsi="Calibri" w:cs="Calibri"/>
                <w:color w:val="000000"/>
                <w:sz w:val="18"/>
                <w:szCs w:val="18"/>
                <w:lang w:eastAsia="en-AU"/>
              </w:rPr>
            </w:pPr>
            <w:r w:rsidRPr="000F5F51">
              <w:rPr>
                <w:rFonts w:ascii="Calibri" w:eastAsia="Times New Roman" w:hAnsi="Calibri" w:cs="Calibri"/>
                <w:color w:val="000000"/>
                <w:sz w:val="18"/>
                <w:szCs w:val="18"/>
                <w:lang w:eastAsia="en-AU"/>
              </w:rPr>
              <w:t>$/ha</w:t>
            </w:r>
          </w:p>
        </w:tc>
        <w:tc>
          <w:tcPr>
            <w:tcW w:w="1323" w:type="dxa"/>
            <w:shd w:val="clear" w:color="000000" w:fill="D9D9D9"/>
            <w:vAlign w:val="bottom"/>
            <w:hideMark/>
          </w:tcPr>
          <w:p w14:paraId="00226BF0" w14:textId="77777777" w:rsidR="00664831" w:rsidRPr="000F5F51" w:rsidRDefault="00664831" w:rsidP="00664831">
            <w:pPr>
              <w:spacing w:after="0" w:line="240" w:lineRule="auto"/>
              <w:jc w:val="center"/>
              <w:rPr>
                <w:rFonts w:ascii="Calibri" w:eastAsia="Times New Roman" w:hAnsi="Calibri" w:cs="Calibri"/>
                <w:color w:val="000000"/>
                <w:sz w:val="18"/>
                <w:szCs w:val="18"/>
                <w:lang w:eastAsia="en-AU"/>
              </w:rPr>
            </w:pPr>
            <w:r w:rsidRPr="000F5F51">
              <w:rPr>
                <w:rFonts w:ascii="Calibri" w:eastAsia="Times New Roman" w:hAnsi="Calibri" w:cs="Calibri"/>
                <w:color w:val="000000"/>
                <w:sz w:val="18"/>
                <w:szCs w:val="18"/>
                <w:lang w:eastAsia="en-AU"/>
              </w:rPr>
              <w:t>$/ha</w:t>
            </w:r>
          </w:p>
        </w:tc>
        <w:tc>
          <w:tcPr>
            <w:tcW w:w="1323" w:type="dxa"/>
            <w:shd w:val="clear" w:color="000000" w:fill="D9D9D9"/>
            <w:vAlign w:val="bottom"/>
            <w:hideMark/>
          </w:tcPr>
          <w:p w14:paraId="439398CD" w14:textId="77777777" w:rsidR="00664831" w:rsidRPr="000F5F51" w:rsidRDefault="00664831" w:rsidP="00664831">
            <w:pPr>
              <w:spacing w:after="0" w:line="240" w:lineRule="auto"/>
              <w:jc w:val="center"/>
              <w:rPr>
                <w:rFonts w:ascii="Calibri" w:eastAsia="Times New Roman" w:hAnsi="Calibri" w:cs="Calibri"/>
                <w:color w:val="000000"/>
                <w:sz w:val="18"/>
                <w:szCs w:val="18"/>
                <w:lang w:eastAsia="en-AU"/>
              </w:rPr>
            </w:pPr>
            <w:r w:rsidRPr="000F5F51">
              <w:rPr>
                <w:rFonts w:ascii="Calibri" w:eastAsia="Times New Roman" w:hAnsi="Calibri" w:cs="Calibri"/>
                <w:color w:val="000000"/>
                <w:sz w:val="18"/>
                <w:szCs w:val="18"/>
                <w:lang w:eastAsia="en-AU"/>
              </w:rPr>
              <w:t>$/ha</w:t>
            </w:r>
          </w:p>
        </w:tc>
        <w:tc>
          <w:tcPr>
            <w:tcW w:w="1560" w:type="dxa"/>
            <w:shd w:val="clear" w:color="000000" w:fill="D9D9D9"/>
            <w:vAlign w:val="bottom"/>
            <w:hideMark/>
          </w:tcPr>
          <w:p w14:paraId="1059B64F" w14:textId="77777777" w:rsidR="00664831" w:rsidRPr="000F5F51" w:rsidRDefault="00664831" w:rsidP="00664831">
            <w:pPr>
              <w:spacing w:after="0" w:line="240" w:lineRule="auto"/>
              <w:jc w:val="center"/>
              <w:rPr>
                <w:rFonts w:ascii="Calibri" w:eastAsia="Times New Roman" w:hAnsi="Calibri" w:cs="Calibri"/>
                <w:color w:val="000000"/>
                <w:sz w:val="18"/>
                <w:szCs w:val="18"/>
                <w:lang w:eastAsia="en-AU"/>
              </w:rPr>
            </w:pPr>
            <w:r w:rsidRPr="000F5F51">
              <w:rPr>
                <w:rFonts w:ascii="Calibri" w:eastAsia="Times New Roman" w:hAnsi="Calibri" w:cs="Calibri"/>
                <w:color w:val="000000"/>
                <w:sz w:val="18"/>
                <w:szCs w:val="18"/>
                <w:lang w:eastAsia="en-AU"/>
              </w:rPr>
              <w:t>$/ha</w:t>
            </w:r>
          </w:p>
        </w:tc>
        <w:tc>
          <w:tcPr>
            <w:tcW w:w="1086" w:type="dxa"/>
            <w:shd w:val="clear" w:color="000000" w:fill="D9D9D9"/>
            <w:vAlign w:val="bottom"/>
            <w:hideMark/>
          </w:tcPr>
          <w:p w14:paraId="5CB3C1A6" w14:textId="77777777" w:rsidR="00664831" w:rsidRPr="000F5F51" w:rsidRDefault="00664831" w:rsidP="00664831">
            <w:pPr>
              <w:spacing w:after="0" w:line="240" w:lineRule="auto"/>
              <w:jc w:val="center"/>
              <w:rPr>
                <w:rFonts w:ascii="Calibri" w:eastAsia="Times New Roman" w:hAnsi="Calibri" w:cs="Calibri"/>
                <w:color w:val="000000"/>
                <w:sz w:val="18"/>
                <w:szCs w:val="18"/>
                <w:lang w:eastAsia="en-AU"/>
              </w:rPr>
            </w:pPr>
            <w:r w:rsidRPr="000F5F51">
              <w:rPr>
                <w:rFonts w:ascii="Calibri" w:eastAsia="Times New Roman" w:hAnsi="Calibri" w:cs="Calibri"/>
                <w:color w:val="000000"/>
                <w:sz w:val="18"/>
                <w:szCs w:val="18"/>
                <w:lang w:eastAsia="en-AU"/>
              </w:rPr>
              <w:t>%</w:t>
            </w:r>
          </w:p>
        </w:tc>
        <w:tc>
          <w:tcPr>
            <w:tcW w:w="1323" w:type="dxa"/>
            <w:shd w:val="clear" w:color="000000" w:fill="D9D9D9"/>
            <w:vAlign w:val="bottom"/>
            <w:hideMark/>
          </w:tcPr>
          <w:p w14:paraId="7718EC0C" w14:textId="77777777" w:rsidR="00664831" w:rsidRPr="000F5F51" w:rsidRDefault="00664831" w:rsidP="00664831">
            <w:pPr>
              <w:spacing w:after="0" w:line="240" w:lineRule="auto"/>
              <w:jc w:val="center"/>
              <w:rPr>
                <w:rFonts w:ascii="Calibri" w:eastAsia="Times New Roman" w:hAnsi="Calibri" w:cs="Calibri"/>
                <w:color w:val="000000"/>
                <w:sz w:val="18"/>
                <w:szCs w:val="18"/>
                <w:lang w:eastAsia="en-AU"/>
              </w:rPr>
            </w:pPr>
            <w:r w:rsidRPr="000F5F51">
              <w:rPr>
                <w:rFonts w:ascii="Calibri" w:eastAsia="Times New Roman" w:hAnsi="Calibri" w:cs="Calibri"/>
                <w:color w:val="000000"/>
                <w:sz w:val="18"/>
                <w:szCs w:val="18"/>
                <w:lang w:eastAsia="en-AU"/>
              </w:rPr>
              <w:t>%</w:t>
            </w:r>
          </w:p>
        </w:tc>
      </w:tr>
      <w:tr w:rsidR="004152A5" w:rsidRPr="001B754B" w14:paraId="3A3620B7" w14:textId="77777777" w:rsidTr="000F5F51">
        <w:trPr>
          <w:trHeight w:val="317"/>
        </w:trPr>
        <w:tc>
          <w:tcPr>
            <w:tcW w:w="1696" w:type="dxa"/>
            <w:shd w:val="clear" w:color="000000" w:fill="FFFFFF"/>
            <w:noWrap/>
            <w:vAlign w:val="center"/>
            <w:hideMark/>
          </w:tcPr>
          <w:p w14:paraId="1B84317F" w14:textId="77777777" w:rsidR="00664831" w:rsidRPr="000F5F51" w:rsidRDefault="00664831" w:rsidP="00664831">
            <w:pPr>
              <w:spacing w:after="0" w:line="240" w:lineRule="auto"/>
              <w:rPr>
                <w:rFonts w:eastAsia="Times New Roman" w:cs="Calibri"/>
                <w:color w:val="000000"/>
                <w:sz w:val="18"/>
                <w:szCs w:val="18"/>
                <w:lang w:eastAsia="en-AU"/>
              </w:rPr>
            </w:pPr>
            <w:r w:rsidRPr="000F5F51">
              <w:rPr>
                <w:rFonts w:eastAsia="Times New Roman" w:cs="Calibri"/>
                <w:color w:val="000000"/>
                <w:sz w:val="18"/>
                <w:szCs w:val="18"/>
                <w:lang w:eastAsia="en-AU"/>
              </w:rPr>
              <w:t>Sheep and beef</w:t>
            </w:r>
          </w:p>
        </w:tc>
        <w:tc>
          <w:tcPr>
            <w:tcW w:w="1323" w:type="dxa"/>
            <w:shd w:val="clear" w:color="000000" w:fill="FFFFFF"/>
            <w:noWrap/>
            <w:vAlign w:val="center"/>
            <w:hideMark/>
          </w:tcPr>
          <w:p w14:paraId="396B9FC4" w14:textId="1FD80C3A"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1</w:t>
            </w:r>
            <w:r w:rsidR="00D1225F">
              <w:rPr>
                <w:sz w:val="18"/>
                <w:szCs w:val="18"/>
              </w:rPr>
              <w:t>,</w:t>
            </w:r>
            <w:r w:rsidRPr="000F5F51">
              <w:rPr>
                <w:sz w:val="18"/>
                <w:szCs w:val="18"/>
              </w:rPr>
              <w:t>048</w:t>
            </w:r>
          </w:p>
        </w:tc>
        <w:tc>
          <w:tcPr>
            <w:tcW w:w="1323" w:type="dxa"/>
            <w:shd w:val="clear" w:color="000000" w:fill="FFFFFF"/>
            <w:noWrap/>
            <w:vAlign w:val="center"/>
            <w:hideMark/>
          </w:tcPr>
          <w:p w14:paraId="70DCF8BE"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598</w:t>
            </w:r>
          </w:p>
        </w:tc>
        <w:tc>
          <w:tcPr>
            <w:tcW w:w="1323" w:type="dxa"/>
            <w:shd w:val="clear" w:color="000000" w:fill="FFFFFF"/>
            <w:noWrap/>
            <w:vAlign w:val="center"/>
            <w:hideMark/>
          </w:tcPr>
          <w:p w14:paraId="683F895B"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434</w:t>
            </w:r>
          </w:p>
        </w:tc>
        <w:tc>
          <w:tcPr>
            <w:tcW w:w="1560" w:type="dxa"/>
            <w:shd w:val="clear" w:color="000000" w:fill="FFFFFF"/>
            <w:noWrap/>
            <w:vAlign w:val="center"/>
            <w:hideMark/>
          </w:tcPr>
          <w:p w14:paraId="68855D78"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16</w:t>
            </w:r>
          </w:p>
        </w:tc>
        <w:tc>
          <w:tcPr>
            <w:tcW w:w="1086" w:type="dxa"/>
            <w:shd w:val="clear" w:color="000000" w:fill="FFFFFF"/>
            <w:noWrap/>
            <w:vAlign w:val="center"/>
            <w:hideMark/>
          </w:tcPr>
          <w:p w14:paraId="5F5FB6A2"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0.0%</w:t>
            </w:r>
          </w:p>
        </w:tc>
        <w:tc>
          <w:tcPr>
            <w:tcW w:w="1323" w:type="dxa"/>
            <w:shd w:val="clear" w:color="000000" w:fill="FFFFFF"/>
            <w:noWrap/>
            <w:vAlign w:val="center"/>
            <w:hideMark/>
          </w:tcPr>
          <w:p w14:paraId="75EE5039"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-2.2%</w:t>
            </w:r>
          </w:p>
        </w:tc>
      </w:tr>
      <w:tr w:rsidR="004152A5" w:rsidRPr="001B754B" w14:paraId="193A6711" w14:textId="77777777" w:rsidTr="000F5F51">
        <w:trPr>
          <w:trHeight w:val="317"/>
        </w:trPr>
        <w:tc>
          <w:tcPr>
            <w:tcW w:w="1696" w:type="dxa"/>
            <w:shd w:val="clear" w:color="000000" w:fill="FFFFFF"/>
            <w:noWrap/>
            <w:vAlign w:val="center"/>
            <w:hideMark/>
          </w:tcPr>
          <w:p w14:paraId="59983D43" w14:textId="77777777" w:rsidR="00664831" w:rsidRPr="000F5F51" w:rsidRDefault="00664831" w:rsidP="00664831">
            <w:pPr>
              <w:spacing w:after="0" w:line="240" w:lineRule="auto"/>
              <w:rPr>
                <w:rFonts w:eastAsia="Times New Roman" w:cs="Calibri"/>
                <w:color w:val="000000"/>
                <w:sz w:val="18"/>
                <w:szCs w:val="18"/>
                <w:lang w:eastAsia="en-AU"/>
              </w:rPr>
            </w:pPr>
            <w:r w:rsidRPr="000F5F51">
              <w:rPr>
                <w:rFonts w:eastAsia="Times New Roman" w:cs="Calibri"/>
                <w:color w:val="000000"/>
                <w:sz w:val="18"/>
                <w:szCs w:val="18"/>
                <w:lang w:eastAsia="en-AU"/>
              </w:rPr>
              <w:t>Specialist sheep</w:t>
            </w:r>
          </w:p>
        </w:tc>
        <w:tc>
          <w:tcPr>
            <w:tcW w:w="1323" w:type="dxa"/>
            <w:shd w:val="clear" w:color="000000" w:fill="FFFFFF"/>
            <w:noWrap/>
            <w:vAlign w:val="center"/>
            <w:hideMark/>
          </w:tcPr>
          <w:p w14:paraId="40730C81"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971</w:t>
            </w:r>
          </w:p>
        </w:tc>
        <w:tc>
          <w:tcPr>
            <w:tcW w:w="1323" w:type="dxa"/>
            <w:shd w:val="clear" w:color="000000" w:fill="FFFFFF"/>
            <w:noWrap/>
            <w:vAlign w:val="center"/>
            <w:hideMark/>
          </w:tcPr>
          <w:p w14:paraId="18B3908D"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671</w:t>
            </w:r>
          </w:p>
        </w:tc>
        <w:tc>
          <w:tcPr>
            <w:tcW w:w="1323" w:type="dxa"/>
            <w:shd w:val="clear" w:color="000000" w:fill="FFFFFF"/>
            <w:noWrap/>
            <w:vAlign w:val="center"/>
            <w:hideMark/>
          </w:tcPr>
          <w:p w14:paraId="3BBD22FA"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357</w:t>
            </w:r>
          </w:p>
        </w:tc>
        <w:tc>
          <w:tcPr>
            <w:tcW w:w="1560" w:type="dxa"/>
            <w:shd w:val="clear" w:color="000000" w:fill="FFFFFF"/>
            <w:noWrap/>
            <w:vAlign w:val="center"/>
            <w:hideMark/>
          </w:tcPr>
          <w:p w14:paraId="61F39BAC"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-57</w:t>
            </w:r>
          </w:p>
        </w:tc>
        <w:tc>
          <w:tcPr>
            <w:tcW w:w="1086" w:type="dxa"/>
            <w:shd w:val="clear" w:color="000000" w:fill="FFFFFF"/>
            <w:noWrap/>
            <w:vAlign w:val="center"/>
            <w:hideMark/>
          </w:tcPr>
          <w:p w14:paraId="59A800EE"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-0.4%</w:t>
            </w:r>
          </w:p>
        </w:tc>
        <w:tc>
          <w:tcPr>
            <w:tcW w:w="1323" w:type="dxa"/>
            <w:shd w:val="clear" w:color="000000" w:fill="FFFFFF"/>
            <w:noWrap/>
            <w:vAlign w:val="center"/>
            <w:hideMark/>
          </w:tcPr>
          <w:p w14:paraId="1D38966F"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-2.8%</w:t>
            </w:r>
          </w:p>
        </w:tc>
      </w:tr>
      <w:tr w:rsidR="004152A5" w:rsidRPr="001B754B" w14:paraId="72703F9A" w14:textId="77777777" w:rsidTr="000F5F51">
        <w:trPr>
          <w:trHeight w:val="317"/>
        </w:trPr>
        <w:tc>
          <w:tcPr>
            <w:tcW w:w="1696" w:type="dxa"/>
            <w:shd w:val="clear" w:color="000000" w:fill="FFFFFF"/>
            <w:noWrap/>
            <w:vAlign w:val="center"/>
            <w:hideMark/>
          </w:tcPr>
          <w:p w14:paraId="75E45FDE" w14:textId="77777777" w:rsidR="00664831" w:rsidRPr="000F5F51" w:rsidRDefault="00664831" w:rsidP="00664831">
            <w:pPr>
              <w:spacing w:after="0" w:line="240" w:lineRule="auto"/>
              <w:rPr>
                <w:rFonts w:eastAsia="Times New Roman" w:cs="Calibri"/>
                <w:color w:val="000000"/>
                <w:sz w:val="18"/>
                <w:szCs w:val="18"/>
                <w:lang w:eastAsia="en-AU"/>
              </w:rPr>
            </w:pPr>
            <w:r w:rsidRPr="000F5F51">
              <w:rPr>
                <w:rFonts w:eastAsia="Times New Roman" w:cs="Calibri"/>
                <w:color w:val="000000"/>
                <w:sz w:val="18"/>
                <w:szCs w:val="18"/>
                <w:lang w:eastAsia="en-AU"/>
              </w:rPr>
              <w:t>Specialist beef</w:t>
            </w:r>
          </w:p>
        </w:tc>
        <w:tc>
          <w:tcPr>
            <w:tcW w:w="1323" w:type="dxa"/>
            <w:shd w:val="clear" w:color="000000" w:fill="FFFFFF"/>
            <w:noWrap/>
            <w:vAlign w:val="center"/>
            <w:hideMark/>
          </w:tcPr>
          <w:p w14:paraId="553ECA2C" w14:textId="79109863"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1</w:t>
            </w:r>
            <w:r w:rsidR="00D1225F">
              <w:rPr>
                <w:sz w:val="18"/>
                <w:szCs w:val="18"/>
              </w:rPr>
              <w:t>,</w:t>
            </w:r>
            <w:r w:rsidRPr="000F5F51">
              <w:rPr>
                <w:sz w:val="18"/>
                <w:szCs w:val="18"/>
              </w:rPr>
              <w:t>045</w:t>
            </w:r>
          </w:p>
        </w:tc>
        <w:tc>
          <w:tcPr>
            <w:tcW w:w="1323" w:type="dxa"/>
            <w:shd w:val="clear" w:color="000000" w:fill="FFFFFF"/>
            <w:noWrap/>
            <w:vAlign w:val="center"/>
            <w:hideMark/>
          </w:tcPr>
          <w:p w14:paraId="64DEE402"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558</w:t>
            </w:r>
          </w:p>
        </w:tc>
        <w:tc>
          <w:tcPr>
            <w:tcW w:w="1323" w:type="dxa"/>
            <w:shd w:val="clear" w:color="000000" w:fill="FFFFFF"/>
            <w:noWrap/>
            <w:vAlign w:val="center"/>
            <w:hideMark/>
          </w:tcPr>
          <w:p w14:paraId="55DDFB64"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619</w:t>
            </w:r>
          </w:p>
        </w:tc>
        <w:tc>
          <w:tcPr>
            <w:tcW w:w="1560" w:type="dxa"/>
            <w:shd w:val="clear" w:color="000000" w:fill="FFFFFF"/>
            <w:noWrap/>
            <w:vAlign w:val="center"/>
            <w:hideMark/>
          </w:tcPr>
          <w:p w14:paraId="4001FCED"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-131</w:t>
            </w:r>
          </w:p>
        </w:tc>
        <w:tc>
          <w:tcPr>
            <w:tcW w:w="1086" w:type="dxa"/>
            <w:shd w:val="clear" w:color="000000" w:fill="FFFFFF"/>
            <w:noWrap/>
            <w:vAlign w:val="center"/>
            <w:hideMark/>
          </w:tcPr>
          <w:p w14:paraId="2750E285"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-0.5%</w:t>
            </w:r>
          </w:p>
        </w:tc>
        <w:tc>
          <w:tcPr>
            <w:tcW w:w="1323" w:type="dxa"/>
            <w:shd w:val="clear" w:color="000000" w:fill="FFFFFF"/>
            <w:noWrap/>
            <w:vAlign w:val="center"/>
            <w:hideMark/>
          </w:tcPr>
          <w:p w14:paraId="650EDAA9"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-1.6%</w:t>
            </w:r>
          </w:p>
        </w:tc>
      </w:tr>
      <w:tr w:rsidR="004152A5" w:rsidRPr="001B754B" w14:paraId="04301E99" w14:textId="77777777" w:rsidTr="000F5F51">
        <w:trPr>
          <w:trHeight w:val="317"/>
        </w:trPr>
        <w:tc>
          <w:tcPr>
            <w:tcW w:w="1696" w:type="dxa"/>
            <w:shd w:val="clear" w:color="000000" w:fill="FFFFFF"/>
            <w:noWrap/>
            <w:vAlign w:val="center"/>
            <w:hideMark/>
          </w:tcPr>
          <w:p w14:paraId="1BD24937" w14:textId="77777777" w:rsidR="00664831" w:rsidRPr="000F5F51" w:rsidRDefault="00664831" w:rsidP="00664831">
            <w:pPr>
              <w:spacing w:after="0" w:line="240" w:lineRule="auto"/>
              <w:rPr>
                <w:rFonts w:eastAsia="Times New Roman" w:cs="Calibri"/>
                <w:color w:val="000000"/>
                <w:sz w:val="18"/>
                <w:szCs w:val="18"/>
                <w:lang w:eastAsia="en-AU"/>
              </w:rPr>
            </w:pPr>
            <w:r w:rsidRPr="000F5F51">
              <w:rPr>
                <w:rFonts w:eastAsia="Times New Roman" w:cs="Calibri"/>
                <w:color w:val="000000"/>
                <w:sz w:val="18"/>
                <w:szCs w:val="18"/>
                <w:lang w:eastAsia="en-AU"/>
              </w:rPr>
              <w:t>Stock and grain</w:t>
            </w:r>
          </w:p>
        </w:tc>
        <w:tc>
          <w:tcPr>
            <w:tcW w:w="1323" w:type="dxa"/>
            <w:shd w:val="clear" w:color="000000" w:fill="FFFFFF"/>
            <w:noWrap/>
            <w:vAlign w:val="center"/>
            <w:hideMark/>
          </w:tcPr>
          <w:p w14:paraId="6D4F921A" w14:textId="75E8411D"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1</w:t>
            </w:r>
            <w:r w:rsidR="00D1225F">
              <w:rPr>
                <w:sz w:val="18"/>
                <w:szCs w:val="18"/>
              </w:rPr>
              <w:t>,</w:t>
            </w:r>
            <w:r w:rsidRPr="000F5F51">
              <w:rPr>
                <w:sz w:val="18"/>
                <w:szCs w:val="18"/>
              </w:rPr>
              <w:t>546</w:t>
            </w:r>
          </w:p>
        </w:tc>
        <w:tc>
          <w:tcPr>
            <w:tcW w:w="1323" w:type="dxa"/>
            <w:shd w:val="clear" w:color="000000" w:fill="FFFFFF"/>
            <w:noWrap/>
            <w:vAlign w:val="center"/>
            <w:hideMark/>
          </w:tcPr>
          <w:p w14:paraId="20A4E875"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668</w:t>
            </w:r>
          </w:p>
        </w:tc>
        <w:tc>
          <w:tcPr>
            <w:tcW w:w="1323" w:type="dxa"/>
            <w:shd w:val="clear" w:color="000000" w:fill="FFFFFF"/>
            <w:noWrap/>
            <w:vAlign w:val="center"/>
            <w:hideMark/>
          </w:tcPr>
          <w:p w14:paraId="71769177"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507</w:t>
            </w:r>
          </w:p>
        </w:tc>
        <w:tc>
          <w:tcPr>
            <w:tcW w:w="1560" w:type="dxa"/>
            <w:shd w:val="clear" w:color="000000" w:fill="FFFFFF"/>
            <w:noWrap/>
            <w:vAlign w:val="center"/>
            <w:hideMark/>
          </w:tcPr>
          <w:p w14:paraId="6CB76E93"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371</w:t>
            </w:r>
          </w:p>
        </w:tc>
        <w:tc>
          <w:tcPr>
            <w:tcW w:w="1086" w:type="dxa"/>
            <w:shd w:val="clear" w:color="000000" w:fill="FFFFFF"/>
            <w:noWrap/>
            <w:vAlign w:val="center"/>
            <w:hideMark/>
          </w:tcPr>
          <w:p w14:paraId="5419F06B"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1.4%</w:t>
            </w:r>
          </w:p>
        </w:tc>
        <w:tc>
          <w:tcPr>
            <w:tcW w:w="1323" w:type="dxa"/>
            <w:shd w:val="clear" w:color="000000" w:fill="FFFFFF"/>
            <w:noWrap/>
            <w:vAlign w:val="center"/>
            <w:hideMark/>
          </w:tcPr>
          <w:p w14:paraId="02290BD2" w14:textId="77777777" w:rsidR="00664831" w:rsidRPr="000F5F51" w:rsidRDefault="00664831" w:rsidP="00664831">
            <w:pPr>
              <w:spacing w:after="0" w:line="240" w:lineRule="auto"/>
              <w:jc w:val="center"/>
              <w:rPr>
                <w:rFonts w:eastAsia="Times New Roman" w:cs="Calibri"/>
                <w:color w:val="000000"/>
                <w:sz w:val="18"/>
                <w:szCs w:val="18"/>
                <w:lang w:eastAsia="en-AU"/>
              </w:rPr>
            </w:pPr>
            <w:r w:rsidRPr="000F5F51">
              <w:rPr>
                <w:sz w:val="18"/>
                <w:szCs w:val="18"/>
              </w:rPr>
              <w:t>0.4%</w:t>
            </w:r>
          </w:p>
        </w:tc>
      </w:tr>
    </w:tbl>
    <w:p w14:paraId="7C0D61CB" w14:textId="0768EA41" w:rsidR="00664831" w:rsidRDefault="00E558ED" w:rsidP="002D639E">
      <w:pPr>
        <w:pStyle w:val="Caption"/>
      </w:pPr>
      <w:r>
        <w:t xml:space="preserve">Table </w:t>
      </w:r>
      <w:r>
        <w:fldChar w:fldCharType="begin"/>
      </w:r>
      <w:r>
        <w:instrText>SEQ Table \* ARABIC</w:instrText>
      </w:r>
      <w:r>
        <w:fldChar w:fldCharType="separate"/>
      </w:r>
      <w:r w:rsidR="00EF38F6">
        <w:rPr>
          <w:noProof/>
        </w:rPr>
        <w:t>1</w:t>
      </w:r>
      <w:r>
        <w:fldChar w:fldCharType="end"/>
      </w:r>
      <w:bookmarkEnd w:id="10"/>
      <w:r w:rsidR="0077110C">
        <w:t>.</w:t>
      </w:r>
      <w:r w:rsidRPr="00E558ED">
        <w:t xml:space="preserve"> </w:t>
      </w:r>
      <w:r>
        <w:t>Average performance measures for each business type for the 202</w:t>
      </w:r>
      <w:r w:rsidR="00113645">
        <w:t>4</w:t>
      </w:r>
      <w:r>
        <w:t>-2</w:t>
      </w:r>
      <w:r w:rsidR="00113645">
        <w:t>5</w:t>
      </w:r>
      <w:r>
        <w:t xml:space="preserve"> LFMP dataset.</w:t>
      </w:r>
    </w:p>
    <w:p w14:paraId="0259F761" w14:textId="77777777" w:rsidR="00664831" w:rsidRDefault="00664831" w:rsidP="00BA4D83">
      <w:pPr>
        <w:sectPr w:rsidR="00664831" w:rsidSect="00EF0E82">
          <w:type w:val="continuous"/>
          <w:pgSz w:w="11906" w:h="16838"/>
          <w:pgMar w:top="1440" w:right="1440" w:bottom="1440" w:left="1440" w:header="708" w:footer="708" w:gutter="0"/>
          <w:cols w:space="708"/>
          <w:docGrid w:linePitch="360"/>
        </w:sectPr>
      </w:pPr>
    </w:p>
    <w:p w14:paraId="77B70E08" w14:textId="1B88E1F6" w:rsidR="00681C99" w:rsidRDefault="00681C99" w:rsidP="003C1367">
      <w:pPr>
        <w:rPr>
          <w:szCs w:val="20"/>
        </w:rPr>
      </w:pPr>
      <w:r w:rsidRPr="002D639E">
        <w:rPr>
          <w:rFonts w:asciiTheme="majorHAnsi" w:eastAsiaTheme="majorEastAsia" w:hAnsiTheme="majorHAnsi" w:cstheme="majorBidi"/>
          <w:b/>
          <w:bCs/>
          <w:color w:val="1F3763" w:themeColor="accent1" w:themeShade="7F"/>
          <w:sz w:val="24"/>
          <w:szCs w:val="24"/>
        </w:rPr>
        <w:lastRenderedPageBreak/>
        <w:t>Costs by farm scale</w:t>
      </w:r>
    </w:p>
    <w:p w14:paraId="05161E8B" w14:textId="54342F86" w:rsidR="00EF7B7E" w:rsidRDefault="00D3713B" w:rsidP="00EF7B7E">
      <w:r w:rsidRPr="0E3031CD">
        <w:t>When livestock businesses were separated by s</w:t>
      </w:r>
      <w:r w:rsidR="005E4362" w:rsidRPr="0E3031CD">
        <w:t>ize</w:t>
      </w:r>
      <w:r w:rsidRPr="0E3031CD">
        <w:t xml:space="preserve"> (based on total DSE)</w:t>
      </w:r>
      <w:r w:rsidR="00981CE1" w:rsidRPr="0E3031CD">
        <w:t xml:space="preserve">, scale economies were observed. </w:t>
      </w:r>
      <w:r w:rsidR="002F6851">
        <w:rPr>
          <w:szCs w:val="20"/>
        </w:rPr>
        <w:fldChar w:fldCharType="begin"/>
      </w:r>
      <w:r w:rsidR="002F6851">
        <w:rPr>
          <w:szCs w:val="20"/>
        </w:rPr>
        <w:instrText xml:space="preserve"> REF _Ref148953526 \h </w:instrText>
      </w:r>
      <w:r w:rsidR="002F6851">
        <w:rPr>
          <w:szCs w:val="20"/>
        </w:rPr>
      </w:r>
      <w:r w:rsidR="002F6851">
        <w:rPr>
          <w:szCs w:val="20"/>
        </w:rPr>
        <w:fldChar w:fldCharType="separate"/>
      </w:r>
      <w:r w:rsidR="00067916">
        <w:t xml:space="preserve">Figure </w:t>
      </w:r>
      <w:r w:rsidR="00067916">
        <w:rPr>
          <w:noProof/>
        </w:rPr>
        <w:t>3</w:t>
      </w:r>
      <w:r w:rsidR="002F6851">
        <w:rPr>
          <w:szCs w:val="20"/>
        </w:rPr>
        <w:fldChar w:fldCharType="end"/>
      </w:r>
      <w:r w:rsidR="002F6851">
        <w:rPr>
          <w:szCs w:val="20"/>
        </w:rPr>
        <w:t xml:space="preserve"> </w:t>
      </w:r>
      <w:r w:rsidR="003C1367" w:rsidRPr="0E3031CD">
        <w:t>show</w:t>
      </w:r>
      <w:r w:rsidR="00D72065" w:rsidRPr="0E3031CD">
        <w:t xml:space="preserve">s </w:t>
      </w:r>
      <w:r w:rsidR="003C1367" w:rsidRPr="0E3031CD">
        <w:t>scale economies</w:t>
      </w:r>
      <w:r w:rsidR="005B1796">
        <w:rPr>
          <w:szCs w:val="20"/>
        </w:rPr>
        <w:t xml:space="preserve"> </w:t>
      </w:r>
      <w:r w:rsidR="003C1367" w:rsidRPr="0E3031CD">
        <w:t xml:space="preserve">in </w:t>
      </w:r>
      <w:r w:rsidR="00176AA0" w:rsidRPr="0E3031CD">
        <w:t xml:space="preserve">sheep and cattle </w:t>
      </w:r>
      <w:r w:rsidR="003C1367" w:rsidRPr="0E3031CD">
        <w:t xml:space="preserve">production </w:t>
      </w:r>
      <w:r w:rsidR="002F3987" w:rsidRPr="0E3031CD">
        <w:t>we</w:t>
      </w:r>
      <w:r w:rsidR="003C1367" w:rsidRPr="0E3031CD">
        <w:t xml:space="preserve">re in overhead costs. </w:t>
      </w:r>
      <w:r w:rsidR="0019773C" w:rsidRPr="0E3031CD">
        <w:t>T</w:t>
      </w:r>
      <w:r w:rsidR="00E45DA3" w:rsidRPr="0E3031CD">
        <w:t>here were</w:t>
      </w:r>
      <w:r w:rsidR="00C807A3">
        <w:rPr>
          <w:szCs w:val="20"/>
        </w:rPr>
        <w:t xml:space="preserve"> </w:t>
      </w:r>
      <w:r w:rsidR="003C1367" w:rsidRPr="0E3031CD">
        <w:t>significant differences</w:t>
      </w:r>
      <w:r w:rsidR="00E02459" w:rsidRPr="0E3031CD">
        <w:t xml:space="preserve"> in overhead costs</w:t>
      </w:r>
      <w:r w:rsidR="003C1367" w:rsidRPr="003C1367">
        <w:rPr>
          <w:szCs w:val="20"/>
        </w:rPr>
        <w:t xml:space="preserve"> </w:t>
      </w:r>
      <w:r w:rsidR="00D040BF" w:rsidRPr="0E3031CD">
        <w:t>between th</w:t>
      </w:r>
      <w:r w:rsidR="00006BD9" w:rsidRPr="0E3031CD">
        <w:t xml:space="preserve">e small and large </w:t>
      </w:r>
      <w:r w:rsidR="003C1367" w:rsidRPr="0E3031CD">
        <w:t>size group</w:t>
      </w:r>
      <w:r w:rsidR="00E02459" w:rsidRPr="0E3031CD">
        <w:t>s</w:t>
      </w:r>
      <w:r w:rsidR="003C1367" w:rsidRPr="0E3031CD">
        <w:t>, but</w:t>
      </w:r>
      <w:r w:rsidR="005133F6" w:rsidRPr="0E3031CD">
        <w:t xml:space="preserve"> no</w:t>
      </w:r>
      <w:r w:rsidR="00E45DA3" w:rsidRPr="0E3031CD">
        <w:t xml:space="preserve"> differences</w:t>
      </w:r>
      <w:r w:rsidR="003C1367" w:rsidRPr="0E3031CD">
        <w:t xml:space="preserve"> for </w:t>
      </w:r>
      <w:r w:rsidR="00E45DA3" w:rsidRPr="0E3031CD">
        <w:t>variable</w:t>
      </w:r>
      <w:r w:rsidR="003C1367" w:rsidRPr="0E3031CD">
        <w:t xml:space="preserve"> costs</w:t>
      </w:r>
      <w:r w:rsidR="00E45DA3">
        <w:rPr>
          <w:szCs w:val="20"/>
        </w:rPr>
        <w:t xml:space="preserve">. </w:t>
      </w:r>
      <w:r w:rsidR="00557013" w:rsidRPr="0E3031CD">
        <w:t>Non-cash overhead costs per DSE</w:t>
      </w:r>
      <w:r w:rsidR="00D75DB8" w:rsidRPr="0E3031CD">
        <w:t xml:space="preserve"> were the main contributor</w:t>
      </w:r>
      <w:r w:rsidR="005D7E55" w:rsidRPr="0E3031CD">
        <w:t xml:space="preserve"> </w:t>
      </w:r>
      <w:r w:rsidR="2A3E835F" w:rsidRPr="0E3031CD">
        <w:t>to</w:t>
      </w:r>
      <w:r w:rsidR="005D7E55" w:rsidRPr="0E3031CD">
        <w:t xml:space="preserve"> this difference</w:t>
      </w:r>
      <w:r w:rsidR="009C460E" w:rsidRPr="0E3031CD">
        <w:t>. I</w:t>
      </w:r>
      <w:r w:rsidR="00557013" w:rsidRPr="0E3031CD">
        <w:t xml:space="preserve">mputed labour and depreciation </w:t>
      </w:r>
      <w:r w:rsidR="00682C90" w:rsidRPr="0E3031CD">
        <w:t>made up a higher proportion</w:t>
      </w:r>
      <w:r w:rsidR="00E03994" w:rsidRPr="0E3031CD">
        <w:t xml:space="preserve"> of overhead costs </w:t>
      </w:r>
      <w:r w:rsidR="00D0767B" w:rsidRPr="0E3031CD">
        <w:t xml:space="preserve">on small farms </w:t>
      </w:r>
      <w:r w:rsidR="00E03994" w:rsidRPr="0E3031CD">
        <w:t>(6</w:t>
      </w:r>
      <w:r w:rsidR="00D54D81" w:rsidRPr="0E3031CD">
        <w:t>1</w:t>
      </w:r>
      <w:r w:rsidR="00E03994">
        <w:rPr>
          <w:szCs w:val="20"/>
        </w:rPr>
        <w:t>%</w:t>
      </w:r>
      <w:r w:rsidR="00D54D81" w:rsidRPr="0E3031CD">
        <w:t xml:space="preserve"> of overhead costs</w:t>
      </w:r>
      <w:r w:rsidR="00E03994" w:rsidRPr="0E3031CD">
        <w:t>) compared to larger farms (35%)</w:t>
      </w:r>
      <w:r w:rsidR="00D54D81">
        <w:rPr>
          <w:szCs w:val="20"/>
        </w:rPr>
        <w:t>.</w:t>
      </w:r>
      <w:r w:rsidR="00557013">
        <w:rPr>
          <w:szCs w:val="20"/>
        </w:rPr>
        <w:t xml:space="preserve"> </w:t>
      </w:r>
      <w:r w:rsidR="00A3690B" w:rsidRPr="0E3031CD">
        <w:t xml:space="preserve">These non-cash overhead costs </w:t>
      </w:r>
      <w:r w:rsidR="00A60B6F" w:rsidRPr="0E3031CD">
        <w:t>are not part of</w:t>
      </w:r>
      <w:r w:rsidR="00A3690B">
        <w:rPr>
          <w:szCs w:val="20"/>
        </w:rPr>
        <w:t xml:space="preserve"> </w:t>
      </w:r>
      <w:r w:rsidR="000242E4" w:rsidRPr="0E3031CD">
        <w:t xml:space="preserve">business </w:t>
      </w:r>
      <w:r w:rsidR="00A3690B" w:rsidRPr="0E3031CD">
        <w:t>cash flow</w:t>
      </w:r>
      <w:r w:rsidR="004556DA">
        <w:rPr>
          <w:szCs w:val="20"/>
        </w:rPr>
        <w:t>.</w:t>
      </w:r>
      <w:r w:rsidR="00A3690B">
        <w:rPr>
          <w:szCs w:val="20"/>
        </w:rPr>
        <w:t xml:space="preserve"> </w:t>
      </w:r>
      <w:r w:rsidR="00E45DA3" w:rsidRPr="0E3031CD">
        <w:t>This result highlights that l</w:t>
      </w:r>
      <w:r w:rsidR="00A67F82" w:rsidRPr="0E3031CD">
        <w:t xml:space="preserve">arger farms can reduce their </w:t>
      </w:r>
      <w:r w:rsidR="00CC444B" w:rsidRPr="0E3031CD">
        <w:t xml:space="preserve">overhead </w:t>
      </w:r>
      <w:r w:rsidR="00A67F82" w:rsidRPr="0E3031CD">
        <w:t>costs</w:t>
      </w:r>
      <w:r w:rsidR="00382BC6" w:rsidRPr="0E3031CD">
        <w:t xml:space="preserve"> per unit of output</w:t>
      </w:r>
      <w:r w:rsidR="00A67F82" w:rsidRPr="0E3031CD">
        <w:t xml:space="preserve"> </w:t>
      </w:r>
      <w:r w:rsidR="5C04EC8D" w:rsidRPr="0E3031CD">
        <w:t xml:space="preserve">by </w:t>
      </w:r>
      <w:r w:rsidR="00A67F82" w:rsidRPr="0E3031CD">
        <w:t>spreading overhead costs over more output.</w:t>
      </w:r>
      <w:r w:rsidR="00D15CFE">
        <w:rPr>
          <w:szCs w:val="20"/>
        </w:rPr>
        <w:t xml:space="preserve"> </w:t>
      </w:r>
      <w:r w:rsidR="00EF7B7E" w:rsidRPr="0E3031CD">
        <w:t xml:space="preserve">Livestock businesses of all sizes controlled their variable costs </w:t>
      </w:r>
      <w:r w:rsidR="005C27A0" w:rsidRPr="0E3031CD">
        <w:t>(mainly feed costs) per DSE</w:t>
      </w:r>
      <w:r w:rsidR="00D15CFE" w:rsidRPr="0E3031CD">
        <w:t xml:space="preserve"> in 2024-25.</w:t>
      </w:r>
    </w:p>
    <w:p w14:paraId="523D0C19" w14:textId="5B7726BE" w:rsidR="00A81ACD" w:rsidRDefault="00957E11" w:rsidP="002D639E">
      <w:r>
        <w:rPr>
          <w:noProof/>
        </w:rPr>
        <w:drawing>
          <wp:inline distT="0" distB="0" distL="0" distR="0" wp14:anchorId="3BE782E8" wp14:editId="2AB1ABAE">
            <wp:extent cx="3009900" cy="1509801"/>
            <wp:effectExtent l="0" t="0" r="0" b="0"/>
            <wp:docPr id="1346975855" name="Picture 6" descr="2024-25 variable and overhead costs ($/DSE) for livestock businesses separated by farm scale (defined by total D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75855" name="Picture 6" descr="2024-25 variable and overhead costs ($/DSE) for livestock businesses separated by farm scale (defined by total DS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26435" cy="1518095"/>
                    </a:xfrm>
                    <a:prstGeom prst="rect">
                      <a:avLst/>
                    </a:prstGeom>
                    <a:noFill/>
                  </pic:spPr>
                </pic:pic>
              </a:graphicData>
            </a:graphic>
          </wp:inline>
        </w:drawing>
      </w:r>
    </w:p>
    <w:p w14:paraId="7B8F59AD" w14:textId="372D227E" w:rsidR="00893C60" w:rsidRDefault="00A81ACD" w:rsidP="00A81ACD">
      <w:pPr>
        <w:pStyle w:val="Caption"/>
      </w:pPr>
      <w:bookmarkStart w:id="12" w:name="_Ref148953526"/>
      <w:r>
        <w:t xml:space="preserve">Figure </w:t>
      </w:r>
      <w:r>
        <w:fldChar w:fldCharType="begin"/>
      </w:r>
      <w:r>
        <w:instrText>SEQ Figure \* ARABIC</w:instrText>
      </w:r>
      <w:r>
        <w:fldChar w:fldCharType="separate"/>
      </w:r>
      <w:r w:rsidR="00067916">
        <w:rPr>
          <w:noProof/>
        </w:rPr>
        <w:t>3</w:t>
      </w:r>
      <w:r>
        <w:fldChar w:fldCharType="end"/>
      </w:r>
      <w:bookmarkEnd w:id="12"/>
      <w:r>
        <w:t>.</w:t>
      </w:r>
      <w:r w:rsidRPr="00A81ACD">
        <w:t xml:space="preserve"> </w:t>
      </w:r>
      <w:r w:rsidR="00943FBE">
        <w:t>2024-25 v</w:t>
      </w:r>
      <w:r>
        <w:t xml:space="preserve">ariable and overhead costs ($/DSE) for </w:t>
      </w:r>
      <w:r w:rsidR="00214B90">
        <w:t xml:space="preserve">livestock </w:t>
      </w:r>
      <w:r w:rsidR="00CB1EAC">
        <w:t>businesses</w:t>
      </w:r>
      <w:r>
        <w:t xml:space="preserve"> </w:t>
      </w:r>
      <w:r w:rsidR="007C23F8">
        <w:t>separated by farm scale (defined by total DSE)</w:t>
      </w:r>
    </w:p>
    <w:p w14:paraId="0DD20784" w14:textId="3BAE694C" w:rsidR="001C253F" w:rsidRPr="002968F6" w:rsidRDefault="001C253F" w:rsidP="001C253F">
      <w:pPr>
        <w:rPr>
          <w:b/>
          <w:bCs/>
        </w:rPr>
      </w:pPr>
      <w:r>
        <w:rPr>
          <w:rFonts w:asciiTheme="majorHAnsi" w:eastAsiaTheme="majorEastAsia" w:hAnsiTheme="majorHAnsi" w:cstheme="majorBidi"/>
          <w:b/>
          <w:bCs/>
          <w:color w:val="1F3763" w:themeColor="accent1" w:themeShade="7F"/>
          <w:sz w:val="24"/>
          <w:szCs w:val="24"/>
        </w:rPr>
        <w:br w:type="column"/>
      </w:r>
      <w:proofErr w:type="spellStart"/>
      <w:r>
        <w:rPr>
          <w:rFonts w:asciiTheme="majorHAnsi" w:eastAsiaTheme="majorEastAsia" w:hAnsiTheme="majorHAnsi" w:cstheme="majorBidi"/>
          <w:b/>
          <w:bCs/>
          <w:color w:val="1F3763" w:themeColor="accent1" w:themeShade="7F"/>
          <w:sz w:val="24"/>
          <w:szCs w:val="24"/>
        </w:rPr>
        <w:t>RoA</w:t>
      </w:r>
      <w:proofErr w:type="spellEnd"/>
      <w:r>
        <w:rPr>
          <w:rFonts w:asciiTheme="majorHAnsi" w:eastAsiaTheme="majorEastAsia" w:hAnsiTheme="majorHAnsi" w:cstheme="majorBidi"/>
          <w:b/>
          <w:bCs/>
          <w:color w:val="1F3763" w:themeColor="accent1" w:themeShade="7F"/>
          <w:sz w:val="24"/>
          <w:szCs w:val="24"/>
        </w:rPr>
        <w:t xml:space="preserve"> by farm s</w:t>
      </w:r>
      <w:r w:rsidRPr="006A126E">
        <w:rPr>
          <w:rFonts w:asciiTheme="majorHAnsi" w:eastAsiaTheme="majorEastAsia" w:hAnsiTheme="majorHAnsi" w:cstheme="majorBidi"/>
          <w:b/>
          <w:bCs/>
          <w:color w:val="1F3763" w:themeColor="accent1" w:themeShade="7F"/>
          <w:sz w:val="24"/>
          <w:szCs w:val="24"/>
        </w:rPr>
        <w:t>cale</w:t>
      </w:r>
    </w:p>
    <w:p w14:paraId="1C87BAAD" w14:textId="77777777" w:rsidR="00D938DD" w:rsidRDefault="001C253F" w:rsidP="00D938DD">
      <w:pPr>
        <w:rPr>
          <w:szCs w:val="20"/>
        </w:rPr>
      </w:pPr>
      <w:r w:rsidRPr="00C4563C">
        <w:rPr>
          <w:szCs w:val="20"/>
        </w:rPr>
        <w:t>When the LFMP dataset was separated by business s</w:t>
      </w:r>
      <w:r>
        <w:rPr>
          <w:szCs w:val="20"/>
        </w:rPr>
        <w:t>ize (based on cash income)</w:t>
      </w:r>
      <w:r w:rsidRPr="00C4563C">
        <w:rPr>
          <w:szCs w:val="20"/>
        </w:rPr>
        <w:t xml:space="preserve">, </w:t>
      </w:r>
      <w:r w:rsidRPr="005D090A">
        <w:rPr>
          <w:szCs w:val="20"/>
        </w:rPr>
        <w:t xml:space="preserve">larger farms </w:t>
      </w:r>
      <w:r>
        <w:rPr>
          <w:szCs w:val="20"/>
        </w:rPr>
        <w:t xml:space="preserve">had </w:t>
      </w:r>
      <w:r w:rsidRPr="005D090A">
        <w:rPr>
          <w:szCs w:val="20"/>
        </w:rPr>
        <w:t xml:space="preserve">higher average </w:t>
      </w:r>
      <w:proofErr w:type="spellStart"/>
      <w:r>
        <w:rPr>
          <w:szCs w:val="20"/>
        </w:rPr>
        <w:t>RoA</w:t>
      </w:r>
      <w:proofErr w:type="spellEnd"/>
      <w:r w:rsidRPr="005D090A">
        <w:rPr>
          <w:szCs w:val="20"/>
        </w:rPr>
        <w:t xml:space="preserve"> than smaller farms</w:t>
      </w:r>
      <w:r>
        <w:rPr>
          <w:szCs w:val="20"/>
        </w:rPr>
        <w:t xml:space="preserve"> (</w:t>
      </w:r>
      <w:r w:rsidR="00067916">
        <w:rPr>
          <w:szCs w:val="20"/>
        </w:rPr>
        <w:fldChar w:fldCharType="begin"/>
      </w:r>
      <w:r w:rsidR="00067916">
        <w:rPr>
          <w:szCs w:val="20"/>
        </w:rPr>
        <w:instrText xml:space="preserve"> REF _Ref213746926 \h </w:instrText>
      </w:r>
      <w:r w:rsidR="00067916">
        <w:rPr>
          <w:szCs w:val="20"/>
        </w:rPr>
      </w:r>
      <w:r w:rsidR="00067916">
        <w:rPr>
          <w:szCs w:val="20"/>
        </w:rPr>
        <w:fldChar w:fldCharType="separate"/>
      </w:r>
      <w:r w:rsidR="00067916">
        <w:t xml:space="preserve">Figure </w:t>
      </w:r>
      <w:r w:rsidR="00067916">
        <w:rPr>
          <w:noProof/>
        </w:rPr>
        <w:t>4</w:t>
      </w:r>
      <w:r w:rsidR="00067916">
        <w:rPr>
          <w:szCs w:val="20"/>
        </w:rPr>
        <w:fldChar w:fldCharType="end"/>
      </w:r>
      <w:r>
        <w:rPr>
          <w:szCs w:val="20"/>
        </w:rPr>
        <w:t xml:space="preserve">). </w:t>
      </w:r>
      <w:r w:rsidR="00D938DD" w:rsidRPr="00C4563C">
        <w:rPr>
          <w:szCs w:val="20"/>
        </w:rPr>
        <w:t>Surveyed farms with cash income less than $</w:t>
      </w:r>
      <w:r w:rsidR="00D938DD">
        <w:rPr>
          <w:szCs w:val="20"/>
        </w:rPr>
        <w:t>530</w:t>
      </w:r>
      <w:r w:rsidR="00D938DD" w:rsidRPr="00C4563C">
        <w:rPr>
          <w:szCs w:val="20"/>
        </w:rPr>
        <w:t xml:space="preserve">,000 had the lowest average </w:t>
      </w:r>
      <w:proofErr w:type="spellStart"/>
      <w:r w:rsidR="00D938DD">
        <w:rPr>
          <w:szCs w:val="20"/>
        </w:rPr>
        <w:t>RoA</w:t>
      </w:r>
      <w:proofErr w:type="spellEnd"/>
      <w:r w:rsidR="00D938DD" w:rsidRPr="00C4563C">
        <w:rPr>
          <w:szCs w:val="20"/>
        </w:rPr>
        <w:t>.</w:t>
      </w:r>
    </w:p>
    <w:p w14:paraId="599CE62F" w14:textId="1E113985" w:rsidR="00A3658B" w:rsidRDefault="001C253F" w:rsidP="001C253F">
      <w:pPr>
        <w:rPr>
          <w:szCs w:val="20"/>
        </w:rPr>
      </w:pPr>
      <w:r w:rsidRPr="002C4B56">
        <w:rPr>
          <w:szCs w:val="20"/>
        </w:rPr>
        <w:t>Larger farms have more capacity to reduce their costs through scale</w:t>
      </w:r>
      <w:r w:rsidR="00624A09">
        <w:rPr>
          <w:szCs w:val="20"/>
        </w:rPr>
        <w:t>.</w:t>
      </w:r>
      <w:r w:rsidR="00D938DD">
        <w:rPr>
          <w:szCs w:val="20"/>
        </w:rPr>
        <w:t xml:space="preserve"> </w:t>
      </w:r>
      <w:r w:rsidR="00803D16">
        <w:rPr>
          <w:szCs w:val="20"/>
        </w:rPr>
        <w:t xml:space="preserve">All farms with </w:t>
      </w:r>
      <w:r w:rsidR="003C12B3">
        <w:rPr>
          <w:szCs w:val="20"/>
        </w:rPr>
        <w:t>surplus cash</w:t>
      </w:r>
      <w:r w:rsidR="00803D16">
        <w:rPr>
          <w:szCs w:val="20"/>
        </w:rPr>
        <w:t xml:space="preserve"> may have</w:t>
      </w:r>
      <w:r w:rsidR="00D938DD">
        <w:rPr>
          <w:szCs w:val="20"/>
        </w:rPr>
        <w:t xml:space="preserve"> the ability</w:t>
      </w:r>
      <w:r w:rsidR="003C12B3">
        <w:rPr>
          <w:szCs w:val="20"/>
        </w:rPr>
        <w:t xml:space="preserve"> to invest in more </w:t>
      </w:r>
      <w:r w:rsidR="00946E6A">
        <w:rPr>
          <w:szCs w:val="20"/>
        </w:rPr>
        <w:t xml:space="preserve">expensive </w:t>
      </w:r>
      <w:r w:rsidR="003C12B3" w:rsidRPr="002C4B56">
        <w:rPr>
          <w:szCs w:val="20"/>
        </w:rPr>
        <w:t>productivity-enhancing capital additions</w:t>
      </w:r>
      <w:r w:rsidR="00946E6A">
        <w:rPr>
          <w:szCs w:val="20"/>
        </w:rPr>
        <w:t xml:space="preserve">. </w:t>
      </w:r>
    </w:p>
    <w:p w14:paraId="6B890CC2" w14:textId="77777777" w:rsidR="001C253F" w:rsidRPr="00C4563C" w:rsidRDefault="001C253F" w:rsidP="001C253F">
      <w:pPr>
        <w:rPr>
          <w:szCs w:val="20"/>
        </w:rPr>
      </w:pPr>
      <w:r>
        <w:rPr>
          <w:noProof/>
          <w:szCs w:val="20"/>
        </w:rPr>
        <w:drawing>
          <wp:inline distT="0" distB="0" distL="0" distR="0" wp14:anchorId="46785311" wp14:editId="428EF521">
            <wp:extent cx="2712810" cy="1152525"/>
            <wp:effectExtent l="0" t="0" r="0" b="0"/>
            <wp:docPr id="467312697" name="Picture 4" descr="2024–25 return on assets separated by farm size (defined by total cash inco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12697" name="Picture 4" descr="2024–25 return on assets separated by farm size (defined by total cash income)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1630" cy="1164769"/>
                    </a:xfrm>
                    <a:prstGeom prst="rect">
                      <a:avLst/>
                    </a:prstGeom>
                    <a:noFill/>
                  </pic:spPr>
                </pic:pic>
              </a:graphicData>
            </a:graphic>
          </wp:inline>
        </w:drawing>
      </w:r>
    </w:p>
    <w:p w14:paraId="03BB60AC" w14:textId="684DD232" w:rsidR="001C253F" w:rsidRDefault="001C253F" w:rsidP="001C253F">
      <w:pPr>
        <w:pStyle w:val="Caption"/>
      </w:pPr>
      <w:bookmarkStart w:id="13" w:name="_Ref213746926"/>
      <w:r>
        <w:t xml:space="preserve">Figure </w:t>
      </w:r>
      <w:r>
        <w:fldChar w:fldCharType="begin"/>
      </w:r>
      <w:r>
        <w:instrText>SEQ Figure \* ARABIC</w:instrText>
      </w:r>
      <w:r>
        <w:fldChar w:fldCharType="separate"/>
      </w:r>
      <w:r w:rsidR="00067916">
        <w:rPr>
          <w:noProof/>
        </w:rPr>
        <w:t>4</w:t>
      </w:r>
      <w:r>
        <w:fldChar w:fldCharType="end"/>
      </w:r>
      <w:bookmarkEnd w:id="13"/>
      <w:r>
        <w:t xml:space="preserve">. 2024–25 return on assets separated by farm size (defined by total cash income) </w:t>
      </w:r>
    </w:p>
    <w:p w14:paraId="347FF72A" w14:textId="77777777" w:rsidR="001C253F" w:rsidRPr="001C253F" w:rsidRDefault="001C253F" w:rsidP="002D639E"/>
    <w:p w14:paraId="7458E955" w14:textId="77777777" w:rsidR="002F1C39" w:rsidRDefault="002F1C39">
      <w:pPr>
        <w:rPr>
          <w:rFonts w:asciiTheme="majorHAnsi" w:eastAsiaTheme="majorEastAsia" w:hAnsiTheme="majorHAnsi" w:cstheme="majorBidi"/>
          <w:b/>
          <w:bCs/>
          <w:color w:val="1F3763" w:themeColor="accent1" w:themeShade="7F"/>
          <w:sz w:val="24"/>
          <w:szCs w:val="24"/>
        </w:rPr>
      </w:pPr>
      <w:r>
        <w:rPr>
          <w:b/>
          <w:bCs/>
        </w:rPr>
        <w:br w:type="page"/>
      </w:r>
    </w:p>
    <w:p w14:paraId="4D58E94D" w14:textId="7E7F4A78" w:rsidR="004A1741" w:rsidRPr="002968F6" w:rsidRDefault="00B83D29" w:rsidP="002968F6">
      <w:pPr>
        <w:pStyle w:val="Heading3"/>
        <w:rPr>
          <w:b/>
          <w:bCs/>
        </w:rPr>
      </w:pPr>
      <w:bookmarkStart w:id="14" w:name="_Toc214610567"/>
      <w:r w:rsidRPr="002968F6">
        <w:rPr>
          <w:b/>
          <w:bCs/>
        </w:rPr>
        <w:lastRenderedPageBreak/>
        <w:t>Debt</w:t>
      </w:r>
      <w:bookmarkEnd w:id="14"/>
    </w:p>
    <w:p w14:paraId="6A2723E6" w14:textId="1AA4B112" w:rsidR="00757CFB" w:rsidRPr="00484B98" w:rsidRDefault="00BA5D17" w:rsidP="00757CFB">
      <w:pPr>
        <w:rPr>
          <w:szCs w:val="20"/>
        </w:rPr>
      </w:pPr>
      <w:r>
        <w:rPr>
          <w:szCs w:val="20"/>
        </w:rPr>
        <w:t>Nearly 60% o</w:t>
      </w:r>
      <w:r w:rsidR="00122136" w:rsidRPr="00C4563C">
        <w:rPr>
          <w:szCs w:val="20"/>
        </w:rPr>
        <w:t xml:space="preserve">f </w:t>
      </w:r>
      <w:proofErr w:type="gramStart"/>
      <w:r w:rsidR="00943FBE">
        <w:rPr>
          <w:szCs w:val="20"/>
        </w:rPr>
        <w:t>s</w:t>
      </w:r>
      <w:r w:rsidR="00256E23">
        <w:rPr>
          <w:szCs w:val="20"/>
        </w:rPr>
        <w:t xml:space="preserve">outh </w:t>
      </w:r>
      <w:r w:rsidR="00943FBE">
        <w:rPr>
          <w:szCs w:val="20"/>
        </w:rPr>
        <w:t>w</w:t>
      </w:r>
      <w:r w:rsidR="00256E23">
        <w:rPr>
          <w:szCs w:val="20"/>
        </w:rPr>
        <w:t>est</w:t>
      </w:r>
      <w:proofErr w:type="gramEnd"/>
      <w:r w:rsidR="00256E23">
        <w:rPr>
          <w:szCs w:val="20"/>
        </w:rPr>
        <w:t xml:space="preserve"> </w:t>
      </w:r>
      <w:r w:rsidR="001D1680" w:rsidRPr="00C4563C">
        <w:rPr>
          <w:szCs w:val="20"/>
        </w:rPr>
        <w:t>farm</w:t>
      </w:r>
      <w:r w:rsidR="00C174AF">
        <w:rPr>
          <w:szCs w:val="20"/>
        </w:rPr>
        <w:t>s</w:t>
      </w:r>
      <w:r w:rsidR="00654868">
        <w:rPr>
          <w:szCs w:val="20"/>
        </w:rPr>
        <w:t xml:space="preserve"> </w:t>
      </w:r>
      <w:r w:rsidR="00B811A9">
        <w:rPr>
          <w:szCs w:val="20"/>
        </w:rPr>
        <w:t>increased</w:t>
      </w:r>
      <w:r w:rsidR="00B811A9" w:rsidRPr="00C4563C">
        <w:rPr>
          <w:szCs w:val="20"/>
        </w:rPr>
        <w:t xml:space="preserve"> </w:t>
      </w:r>
      <w:r w:rsidR="001D1680" w:rsidRPr="00C4563C">
        <w:rPr>
          <w:szCs w:val="20"/>
        </w:rPr>
        <w:t xml:space="preserve">debt </w:t>
      </w:r>
      <w:r w:rsidR="00DD19CF">
        <w:rPr>
          <w:szCs w:val="20"/>
        </w:rPr>
        <w:t>during</w:t>
      </w:r>
      <w:r w:rsidR="008D7497">
        <w:rPr>
          <w:szCs w:val="20"/>
        </w:rPr>
        <w:t xml:space="preserve"> </w:t>
      </w:r>
      <w:r w:rsidR="00915F5E">
        <w:rPr>
          <w:szCs w:val="20"/>
        </w:rPr>
        <w:t>202</w:t>
      </w:r>
      <w:r>
        <w:rPr>
          <w:szCs w:val="20"/>
        </w:rPr>
        <w:t>4</w:t>
      </w:r>
      <w:r w:rsidR="00915F5E">
        <w:rPr>
          <w:szCs w:val="20"/>
        </w:rPr>
        <w:t>-2</w:t>
      </w:r>
      <w:r>
        <w:rPr>
          <w:szCs w:val="20"/>
        </w:rPr>
        <w:t>5</w:t>
      </w:r>
      <w:r w:rsidR="00256E23">
        <w:rPr>
          <w:szCs w:val="20"/>
        </w:rPr>
        <w:t xml:space="preserve"> </w:t>
      </w:r>
      <w:r w:rsidR="003465C8">
        <w:rPr>
          <w:szCs w:val="20"/>
        </w:rPr>
        <w:t>(</w:t>
      </w:r>
      <w:r w:rsidR="00225D60">
        <w:rPr>
          <w:szCs w:val="20"/>
        </w:rPr>
        <w:fldChar w:fldCharType="begin"/>
      </w:r>
      <w:r w:rsidR="00225D60">
        <w:rPr>
          <w:szCs w:val="20"/>
        </w:rPr>
        <w:instrText xml:space="preserve"> REF _Ref148966874 \h </w:instrText>
      </w:r>
      <w:r w:rsidR="00225D60">
        <w:rPr>
          <w:szCs w:val="20"/>
        </w:rPr>
      </w:r>
      <w:r w:rsidR="00225D60">
        <w:rPr>
          <w:szCs w:val="20"/>
        </w:rPr>
        <w:fldChar w:fldCharType="separate"/>
      </w:r>
      <w:r w:rsidR="00EF38F6">
        <w:t xml:space="preserve">Figure </w:t>
      </w:r>
      <w:r w:rsidR="00EF38F6">
        <w:rPr>
          <w:noProof/>
        </w:rPr>
        <w:t>5</w:t>
      </w:r>
      <w:r w:rsidR="00225D60">
        <w:rPr>
          <w:szCs w:val="20"/>
        </w:rPr>
        <w:fldChar w:fldCharType="end"/>
      </w:r>
      <w:r w:rsidR="003465C8">
        <w:rPr>
          <w:szCs w:val="20"/>
        </w:rPr>
        <w:t>)</w:t>
      </w:r>
      <w:r w:rsidR="008D7497">
        <w:rPr>
          <w:szCs w:val="20"/>
        </w:rPr>
        <w:t xml:space="preserve">. </w:t>
      </w:r>
      <w:r w:rsidR="00D11D30">
        <w:rPr>
          <w:szCs w:val="20"/>
        </w:rPr>
        <w:t xml:space="preserve">This </w:t>
      </w:r>
      <w:r w:rsidR="006075E1">
        <w:rPr>
          <w:szCs w:val="20"/>
        </w:rPr>
        <w:t>contrasted with</w:t>
      </w:r>
      <w:r w:rsidR="00D11D30">
        <w:rPr>
          <w:szCs w:val="20"/>
        </w:rPr>
        <w:t xml:space="preserve"> </w:t>
      </w:r>
      <w:r w:rsidR="00EB1D9D">
        <w:rPr>
          <w:szCs w:val="20"/>
        </w:rPr>
        <w:t>n</w:t>
      </w:r>
      <w:r w:rsidR="00E10B71">
        <w:rPr>
          <w:szCs w:val="20"/>
        </w:rPr>
        <w:t xml:space="preserve">orthern </w:t>
      </w:r>
      <w:r w:rsidR="00BF698D">
        <w:rPr>
          <w:szCs w:val="20"/>
        </w:rPr>
        <w:t xml:space="preserve">farms </w:t>
      </w:r>
      <w:r w:rsidR="00D11D30">
        <w:rPr>
          <w:szCs w:val="20"/>
        </w:rPr>
        <w:t xml:space="preserve">where </w:t>
      </w:r>
      <w:r w:rsidR="00E10B71">
        <w:rPr>
          <w:szCs w:val="20"/>
        </w:rPr>
        <w:t>2</w:t>
      </w:r>
      <w:r w:rsidR="006633B9">
        <w:rPr>
          <w:szCs w:val="20"/>
        </w:rPr>
        <w:t>4</w:t>
      </w:r>
      <w:r w:rsidR="00CC2904">
        <w:rPr>
          <w:szCs w:val="20"/>
        </w:rPr>
        <w:t>% of farms increased</w:t>
      </w:r>
      <w:r w:rsidR="00E16F70">
        <w:rPr>
          <w:szCs w:val="20"/>
        </w:rPr>
        <w:t xml:space="preserve"> debt</w:t>
      </w:r>
      <w:r w:rsidR="00F84607">
        <w:rPr>
          <w:szCs w:val="20"/>
        </w:rPr>
        <w:t>.</w:t>
      </w:r>
      <w:r w:rsidR="00F35022">
        <w:rPr>
          <w:szCs w:val="20"/>
        </w:rPr>
        <w:t xml:space="preserve"> </w:t>
      </w:r>
      <w:r w:rsidR="00C80797">
        <w:rPr>
          <w:szCs w:val="20"/>
        </w:rPr>
        <w:t>Around 30% of the farms in n</w:t>
      </w:r>
      <w:r w:rsidR="009A39A6">
        <w:rPr>
          <w:szCs w:val="20"/>
        </w:rPr>
        <w:t>orthern Victoria</w:t>
      </w:r>
      <w:r w:rsidR="00290081">
        <w:rPr>
          <w:szCs w:val="20"/>
        </w:rPr>
        <w:t xml:space="preserve"> </w:t>
      </w:r>
      <w:r w:rsidR="00C80797">
        <w:rPr>
          <w:szCs w:val="20"/>
        </w:rPr>
        <w:t>and Gippsland</w:t>
      </w:r>
      <w:r w:rsidR="00290081">
        <w:rPr>
          <w:szCs w:val="20"/>
        </w:rPr>
        <w:t xml:space="preserve"> had </w:t>
      </w:r>
      <w:r w:rsidR="002A3621">
        <w:rPr>
          <w:szCs w:val="20"/>
        </w:rPr>
        <w:t>no debt (</w:t>
      </w:r>
      <w:r w:rsidR="009A39A6">
        <w:rPr>
          <w:szCs w:val="20"/>
        </w:rPr>
        <w:t>29</w:t>
      </w:r>
      <w:r w:rsidR="002A3621">
        <w:rPr>
          <w:szCs w:val="20"/>
        </w:rPr>
        <w:t>%</w:t>
      </w:r>
      <w:r w:rsidR="00C80797">
        <w:rPr>
          <w:szCs w:val="20"/>
        </w:rPr>
        <w:t xml:space="preserve"> and 28% respectively</w:t>
      </w:r>
      <w:r w:rsidR="002A3621">
        <w:rPr>
          <w:szCs w:val="20"/>
        </w:rPr>
        <w:t>).</w:t>
      </w:r>
      <w:r w:rsidR="00757CFB" w:rsidRPr="00C4563C">
        <w:rPr>
          <w:szCs w:val="20"/>
        </w:rPr>
        <w:t xml:space="preserve"> </w:t>
      </w:r>
    </w:p>
    <w:p w14:paraId="43DAA62E" w14:textId="1906C9CD" w:rsidR="004D7625" w:rsidRPr="00836AF8" w:rsidRDefault="00836AF8" w:rsidP="00790315">
      <w:pPr>
        <w:rPr>
          <w:b/>
          <w:bCs/>
          <w:sz w:val="16"/>
          <w:szCs w:val="16"/>
        </w:rPr>
      </w:pPr>
      <w:r>
        <w:rPr>
          <w:noProof/>
        </w:rPr>
        <w:drawing>
          <wp:inline distT="0" distB="0" distL="0" distR="0" wp14:anchorId="34788687" wp14:editId="1DF8ACAF">
            <wp:extent cx="2640965" cy="1575435"/>
            <wp:effectExtent l="0" t="0" r="6985" b="5715"/>
            <wp:docPr id="1388180860" name="Chart 1" descr="Debt activity from 1 July 2024 to 30 June 2025">
              <a:extLst xmlns:a="http://schemas.openxmlformats.org/drawingml/2006/main">
                <a:ext uri="{FF2B5EF4-FFF2-40B4-BE49-F238E27FC236}">
                  <a16:creationId xmlns:a16="http://schemas.microsoft.com/office/drawing/2014/main" id="{2AC39F05-AFDF-4E20-A77F-4A0737FBFB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C53E1A1" w14:textId="72A281C9" w:rsidR="00B312A2" w:rsidRDefault="00B3621A" w:rsidP="00B3621A">
      <w:pPr>
        <w:pStyle w:val="Caption"/>
      </w:pPr>
      <w:bookmarkStart w:id="15" w:name="_Ref148966874"/>
      <w:r>
        <w:t xml:space="preserve">Figure </w:t>
      </w:r>
      <w:r>
        <w:fldChar w:fldCharType="begin"/>
      </w:r>
      <w:r>
        <w:instrText>SEQ Figure \* ARABIC</w:instrText>
      </w:r>
      <w:r>
        <w:fldChar w:fldCharType="separate"/>
      </w:r>
      <w:r w:rsidR="00EF38F6">
        <w:rPr>
          <w:noProof/>
        </w:rPr>
        <w:t>5</w:t>
      </w:r>
      <w:r>
        <w:fldChar w:fldCharType="end"/>
      </w:r>
      <w:bookmarkEnd w:id="15"/>
      <w:r>
        <w:t>.</w:t>
      </w:r>
      <w:r w:rsidRPr="00B3621A">
        <w:t xml:space="preserve"> </w:t>
      </w:r>
      <w:r>
        <w:t>Debt activity from 1 July 202</w:t>
      </w:r>
      <w:r w:rsidR="006633B9">
        <w:t>4</w:t>
      </w:r>
      <w:r>
        <w:t xml:space="preserve"> to 30 June 202</w:t>
      </w:r>
      <w:r w:rsidR="006633B9">
        <w:t>5</w:t>
      </w:r>
    </w:p>
    <w:p w14:paraId="52E3ED69" w14:textId="72B61749" w:rsidR="00241D7C" w:rsidRPr="00F97206" w:rsidRDefault="00224B88" w:rsidP="00F97206">
      <w:pPr>
        <w:pStyle w:val="Heading3"/>
        <w:rPr>
          <w:b/>
          <w:bCs/>
        </w:rPr>
      </w:pPr>
      <w:r>
        <w:rPr>
          <w:b/>
          <w:bCs/>
        </w:rPr>
        <w:br w:type="column"/>
      </w:r>
      <w:bookmarkStart w:id="16" w:name="_Toc214610568"/>
      <w:r w:rsidR="00241D7C" w:rsidRPr="00F97206">
        <w:rPr>
          <w:b/>
          <w:bCs/>
        </w:rPr>
        <w:t>Debt servicing</w:t>
      </w:r>
      <w:bookmarkEnd w:id="16"/>
    </w:p>
    <w:p w14:paraId="09DBF3B0" w14:textId="2849FFB0" w:rsidR="00BC3894" w:rsidRDefault="00F95E2D" w:rsidP="00203C85">
      <w:r>
        <w:t xml:space="preserve">Higher average debt ($/ha) in each region, increased interest costs for LFMP farms in 2024-25. </w:t>
      </w:r>
      <w:r w:rsidR="00916D63">
        <w:t>F</w:t>
      </w:r>
      <w:r>
        <w:t xml:space="preserve">arms with </w:t>
      </w:r>
      <w:r w:rsidR="006C20C2">
        <w:t>lower business</w:t>
      </w:r>
      <w:r w:rsidR="002515D8">
        <w:t xml:space="preserve"> </w:t>
      </w:r>
      <w:r w:rsidR="00FF0439" w:rsidRPr="00FF0439">
        <w:t>equity percentage</w:t>
      </w:r>
      <w:r w:rsidR="006C20C2">
        <w:t xml:space="preserve"> </w:t>
      </w:r>
      <w:r w:rsidR="00C67CD6">
        <w:t>were</w:t>
      </w:r>
      <w:r w:rsidR="003F1C80">
        <w:t xml:space="preserve"> more likely </w:t>
      </w:r>
      <w:r w:rsidR="008F7F63">
        <w:t>to</w:t>
      </w:r>
      <w:r w:rsidR="00A13015">
        <w:t xml:space="preserve"> spend a large pro</w:t>
      </w:r>
      <w:r w:rsidR="00C15BA4">
        <w:t>portion</w:t>
      </w:r>
      <w:r w:rsidR="00FF0439" w:rsidRPr="00FF0439">
        <w:t xml:space="preserve"> of </w:t>
      </w:r>
      <w:r w:rsidR="00DB7402">
        <w:t xml:space="preserve">cash </w:t>
      </w:r>
      <w:r w:rsidR="00FF0439" w:rsidRPr="00FF0439">
        <w:t xml:space="preserve">income </w:t>
      </w:r>
      <w:r w:rsidR="00C02F9A">
        <w:t xml:space="preserve">on </w:t>
      </w:r>
      <w:r w:rsidR="00FF0439" w:rsidRPr="00FF0439">
        <w:t xml:space="preserve">interest costs. </w:t>
      </w:r>
    </w:p>
    <w:p w14:paraId="51ECBC24" w14:textId="026D37A2" w:rsidR="00FF0439" w:rsidRPr="006E6520" w:rsidRDefault="00FF0439" w:rsidP="00203C85">
      <w:r w:rsidRPr="00FF0439">
        <w:t>Interest costs accounted for 20 cents of every dollar (20%) of cash income on farms with below 65% equity</w:t>
      </w:r>
      <w:r w:rsidR="00E721A7">
        <w:t xml:space="preserve"> (</w:t>
      </w:r>
      <w:r w:rsidR="00E721A7">
        <w:fldChar w:fldCharType="begin"/>
      </w:r>
      <w:r w:rsidR="00E721A7">
        <w:instrText xml:space="preserve"> REF _Ref213315061 \h </w:instrText>
      </w:r>
      <w:r w:rsidR="00E721A7">
        <w:fldChar w:fldCharType="separate"/>
      </w:r>
      <w:r w:rsidR="00E721A7">
        <w:t xml:space="preserve">Figure </w:t>
      </w:r>
      <w:r w:rsidR="00E721A7">
        <w:rPr>
          <w:noProof/>
        </w:rPr>
        <w:t>6</w:t>
      </w:r>
      <w:r w:rsidR="00E721A7">
        <w:fldChar w:fldCharType="end"/>
      </w:r>
      <w:r w:rsidR="00E721A7">
        <w:t>)</w:t>
      </w:r>
      <w:r w:rsidRPr="00FF0439">
        <w:t>. Whereas interest costs accounted for 6 cents of every dollar of cash income (6%) on farms with above 80% business equity.</w:t>
      </w:r>
    </w:p>
    <w:p w14:paraId="609CF667" w14:textId="0A18A43F" w:rsidR="008C3B61" w:rsidRDefault="00270775" w:rsidP="008C3B61">
      <w:pPr>
        <w:rPr>
          <w:b/>
          <w:bCs/>
          <w:noProof/>
        </w:rPr>
      </w:pPr>
      <w:r>
        <w:t xml:space="preserve">These results highlight that the use of debt increases the obligatory costs of farm businesses as interest </w:t>
      </w:r>
      <w:r w:rsidR="00622858">
        <w:t xml:space="preserve">(and principal) </w:t>
      </w:r>
      <w:r>
        <w:t xml:space="preserve">must be paid in good and poor years. </w:t>
      </w:r>
    </w:p>
    <w:p w14:paraId="32AC7BE5" w14:textId="24D97744" w:rsidR="00DC73DB" w:rsidRDefault="007F1F27" w:rsidP="00241D7C">
      <w:r>
        <w:t xml:space="preserve">For this reason, farm management strategies employed throughout the year </w:t>
      </w:r>
      <w:r w:rsidR="00622858">
        <w:t>will</w:t>
      </w:r>
      <w:r>
        <w:t xml:space="preserve"> be influenced by</w:t>
      </w:r>
      <w:r w:rsidR="00AF61FF">
        <w:t xml:space="preserve"> not only seasonal conditions</w:t>
      </w:r>
      <w:r w:rsidR="00C52477">
        <w:t xml:space="preserve"> and market prices, but</w:t>
      </w:r>
      <w:r>
        <w:t xml:space="preserve"> the level of debt held by the </w:t>
      </w:r>
      <w:r w:rsidR="00622858">
        <w:t>farm business</w:t>
      </w:r>
      <w:r>
        <w:t>.</w:t>
      </w:r>
    </w:p>
    <w:p w14:paraId="5E89911D" w14:textId="4458D452" w:rsidR="00216135" w:rsidRDefault="00216135" w:rsidP="0082574E">
      <w:pPr>
        <w:pStyle w:val="Caption"/>
      </w:pPr>
      <w:bookmarkStart w:id="17" w:name="_Ref148954079"/>
      <w:r>
        <w:rPr>
          <w:noProof/>
        </w:rPr>
        <w:drawing>
          <wp:inline distT="0" distB="0" distL="0" distR="0" wp14:anchorId="7B6822E8" wp14:editId="6533EA8A">
            <wp:extent cx="2569845" cy="1993355"/>
            <wp:effectExtent l="0" t="0" r="1905" b="6985"/>
            <wp:docPr id="1104197588" name="Picture 8" descr="The proportion of farm cash income spent on interest payments from 2019-20 to 2024-25 separated by different categories of business equity (below 65%, 65% to 80%, abov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197588" name="Picture 8" descr="The proportion of farm cash income spent on interest payments from 2019-20 to 2024-25 separated by different categories of business equity (below 65%, 65% to 80%, above 8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82196" cy="2002935"/>
                    </a:xfrm>
                    <a:prstGeom prst="rect">
                      <a:avLst/>
                    </a:prstGeom>
                    <a:noFill/>
                  </pic:spPr>
                </pic:pic>
              </a:graphicData>
            </a:graphic>
          </wp:inline>
        </w:drawing>
      </w:r>
    </w:p>
    <w:p w14:paraId="38E697D6" w14:textId="7D141050" w:rsidR="0082574E" w:rsidRDefault="0082574E" w:rsidP="0082574E">
      <w:pPr>
        <w:pStyle w:val="Caption"/>
      </w:pPr>
      <w:bookmarkStart w:id="18" w:name="_Ref213315061"/>
      <w:r>
        <w:t xml:space="preserve">Figure </w:t>
      </w:r>
      <w:r>
        <w:fldChar w:fldCharType="begin"/>
      </w:r>
      <w:r>
        <w:instrText>SEQ Figure \* ARABIC</w:instrText>
      </w:r>
      <w:r>
        <w:fldChar w:fldCharType="separate"/>
      </w:r>
      <w:r w:rsidR="00EF38F6">
        <w:rPr>
          <w:noProof/>
        </w:rPr>
        <w:t>6</w:t>
      </w:r>
      <w:r>
        <w:fldChar w:fldCharType="end"/>
      </w:r>
      <w:bookmarkEnd w:id="17"/>
      <w:bookmarkEnd w:id="18"/>
      <w:r w:rsidR="001F0B78">
        <w:t>.</w:t>
      </w:r>
      <w:r w:rsidR="001F0B78" w:rsidRPr="001F0B78">
        <w:t xml:space="preserve"> </w:t>
      </w:r>
      <w:r w:rsidR="001F0B78">
        <w:t xml:space="preserve">The </w:t>
      </w:r>
      <w:r w:rsidR="001F0B78" w:rsidRPr="003349C7">
        <w:t>proportion of farm cash income spent on interest payments</w:t>
      </w:r>
      <w:r w:rsidR="00AB4358">
        <w:t xml:space="preserve"> </w:t>
      </w:r>
      <w:r w:rsidR="001F0B78">
        <w:t>from 2019-20 to 202</w:t>
      </w:r>
      <w:r w:rsidR="009038D7">
        <w:t>4</w:t>
      </w:r>
      <w:r w:rsidR="001F0B78">
        <w:t>-2</w:t>
      </w:r>
      <w:r w:rsidR="009038D7">
        <w:t>5</w:t>
      </w:r>
      <w:r w:rsidR="000D5D3E">
        <w:t xml:space="preserve"> separated by different </w:t>
      </w:r>
      <w:r w:rsidR="004C7021">
        <w:t>categories</w:t>
      </w:r>
      <w:r w:rsidR="000D5D3E">
        <w:t xml:space="preserve"> of </w:t>
      </w:r>
      <w:r w:rsidR="0057622C">
        <w:t xml:space="preserve">business </w:t>
      </w:r>
      <w:r w:rsidR="000D5D3E">
        <w:t>equity (below 65%, 65%</w:t>
      </w:r>
      <w:r w:rsidR="00DA205F">
        <w:t xml:space="preserve"> to </w:t>
      </w:r>
      <w:r w:rsidR="000D5D3E">
        <w:t>80%, above 80%)</w:t>
      </w:r>
      <w:r w:rsidR="001F0B78">
        <w:t>.</w:t>
      </w:r>
    </w:p>
    <w:p w14:paraId="29067482" w14:textId="77777777" w:rsidR="002D5C25" w:rsidRDefault="002D5C25">
      <w:pPr>
        <w:rPr>
          <w:rFonts w:asciiTheme="majorHAnsi" w:eastAsiaTheme="majorEastAsia" w:hAnsiTheme="majorHAnsi" w:cstheme="majorBidi"/>
          <w:b/>
          <w:bCs/>
          <w:color w:val="1F3763" w:themeColor="accent1" w:themeShade="7F"/>
          <w:sz w:val="24"/>
          <w:szCs w:val="24"/>
        </w:rPr>
      </w:pPr>
      <w:r>
        <w:rPr>
          <w:b/>
          <w:bCs/>
        </w:rPr>
        <w:br w:type="page"/>
      </w:r>
    </w:p>
    <w:p w14:paraId="371493E6" w14:textId="3D0CA443" w:rsidR="00790315" w:rsidRDefault="00CB2EEF" w:rsidP="002968F6">
      <w:pPr>
        <w:pStyle w:val="Heading3"/>
        <w:rPr>
          <w:b/>
          <w:bCs/>
        </w:rPr>
      </w:pPr>
      <w:bookmarkStart w:id="19" w:name="_Toc214610569"/>
      <w:r>
        <w:rPr>
          <w:b/>
          <w:bCs/>
        </w:rPr>
        <w:lastRenderedPageBreak/>
        <w:t xml:space="preserve">The </w:t>
      </w:r>
      <w:r w:rsidR="00B907CB">
        <w:rPr>
          <w:b/>
          <w:bCs/>
        </w:rPr>
        <w:t>eff</w:t>
      </w:r>
      <w:r w:rsidR="002F02CA">
        <w:rPr>
          <w:b/>
          <w:bCs/>
        </w:rPr>
        <w:t xml:space="preserve">ect of </w:t>
      </w:r>
      <w:r w:rsidR="004A4403">
        <w:rPr>
          <w:b/>
          <w:bCs/>
        </w:rPr>
        <w:t>farm debt</w:t>
      </w:r>
      <w:r w:rsidR="009B527E">
        <w:rPr>
          <w:b/>
          <w:bCs/>
        </w:rPr>
        <w:t xml:space="preserve"> on r</w:t>
      </w:r>
      <w:r w:rsidR="0089668C" w:rsidRPr="0089668C">
        <w:rPr>
          <w:b/>
          <w:bCs/>
        </w:rPr>
        <w:t xml:space="preserve">isk and </w:t>
      </w:r>
      <w:r w:rsidR="009B527E">
        <w:rPr>
          <w:b/>
          <w:bCs/>
        </w:rPr>
        <w:t>r</w:t>
      </w:r>
      <w:r w:rsidR="0089668C" w:rsidRPr="0089668C">
        <w:rPr>
          <w:b/>
          <w:bCs/>
        </w:rPr>
        <w:t>eturn</w:t>
      </w:r>
      <w:bookmarkEnd w:id="19"/>
    </w:p>
    <w:p w14:paraId="4BAD34C4" w14:textId="5F7F6FB9" w:rsidR="00FC4838" w:rsidRDefault="00FE2459" w:rsidP="00913AC6">
      <w:pPr>
        <w:rPr>
          <w:szCs w:val="20"/>
        </w:rPr>
      </w:pPr>
      <w:r>
        <w:rPr>
          <w:szCs w:val="20"/>
        </w:rPr>
        <w:t xml:space="preserve">Increasing enterprise and </w:t>
      </w:r>
      <w:r w:rsidR="00D445A1" w:rsidRPr="00D445A1">
        <w:rPr>
          <w:szCs w:val="20"/>
        </w:rPr>
        <w:t xml:space="preserve">farm size can improve </w:t>
      </w:r>
      <w:proofErr w:type="spellStart"/>
      <w:r w:rsidR="001031D9">
        <w:rPr>
          <w:szCs w:val="20"/>
        </w:rPr>
        <w:t>RoA</w:t>
      </w:r>
      <w:proofErr w:type="spellEnd"/>
      <w:r w:rsidR="00681AF4">
        <w:rPr>
          <w:szCs w:val="20"/>
        </w:rPr>
        <w:t>,</w:t>
      </w:r>
      <w:r>
        <w:rPr>
          <w:szCs w:val="20"/>
        </w:rPr>
        <w:t xml:space="preserve"> more so in the longer-term</w:t>
      </w:r>
      <w:r w:rsidR="00931F06" w:rsidRPr="00931F06">
        <w:rPr>
          <w:szCs w:val="20"/>
        </w:rPr>
        <w:t xml:space="preserve">. </w:t>
      </w:r>
      <w:r>
        <w:rPr>
          <w:szCs w:val="20"/>
        </w:rPr>
        <w:t>E</w:t>
      </w:r>
      <w:r w:rsidR="00931F06" w:rsidRPr="00931F06">
        <w:rPr>
          <w:szCs w:val="20"/>
        </w:rPr>
        <w:t xml:space="preserve">xpansion often requires taking on additional debt, which raises financial risk and can reduce </w:t>
      </w:r>
      <w:proofErr w:type="spellStart"/>
      <w:r w:rsidR="0069564A">
        <w:rPr>
          <w:szCs w:val="20"/>
        </w:rPr>
        <w:t>RoE</w:t>
      </w:r>
      <w:proofErr w:type="spellEnd"/>
      <w:r w:rsidR="00931F06" w:rsidRPr="00931F06">
        <w:rPr>
          <w:szCs w:val="20"/>
        </w:rPr>
        <w:t>. The balance between debt, equity, total assets and debt servicing remains central to long-term business viability and growth.</w:t>
      </w:r>
    </w:p>
    <w:p w14:paraId="2338C697" w14:textId="3F614045" w:rsidR="006C71C4" w:rsidRDefault="00D93D17" w:rsidP="000B2F63">
      <w:pPr>
        <w:rPr>
          <w:szCs w:val="20"/>
        </w:rPr>
      </w:pPr>
      <w:r w:rsidRPr="00681B54">
        <w:rPr>
          <w:szCs w:val="20"/>
        </w:rPr>
        <w:fldChar w:fldCharType="begin"/>
      </w:r>
      <w:r w:rsidRPr="00681B54">
        <w:rPr>
          <w:szCs w:val="20"/>
        </w:rPr>
        <w:instrText xml:space="preserve"> REF _Ref148967388 \h </w:instrText>
      </w:r>
      <w:r w:rsidRPr="00681B54">
        <w:rPr>
          <w:szCs w:val="20"/>
        </w:rPr>
      </w:r>
      <w:r w:rsidRPr="00681B54">
        <w:rPr>
          <w:szCs w:val="20"/>
        </w:rPr>
        <w:fldChar w:fldCharType="separate"/>
      </w:r>
      <w:r w:rsidRPr="00681B54">
        <w:t xml:space="preserve">Figure </w:t>
      </w:r>
      <w:r w:rsidRPr="00681B54">
        <w:rPr>
          <w:noProof/>
        </w:rPr>
        <w:t>7</w:t>
      </w:r>
      <w:r w:rsidRPr="00681B54">
        <w:rPr>
          <w:szCs w:val="20"/>
        </w:rPr>
        <w:fldChar w:fldCharType="end"/>
      </w:r>
      <w:r w:rsidRPr="00681B54">
        <w:rPr>
          <w:szCs w:val="20"/>
        </w:rPr>
        <w:t xml:space="preserve"> </w:t>
      </w:r>
      <w:r>
        <w:rPr>
          <w:szCs w:val="20"/>
        </w:rPr>
        <w:t xml:space="preserve">shows </w:t>
      </w:r>
      <w:r w:rsidR="007741D5">
        <w:rPr>
          <w:szCs w:val="20"/>
        </w:rPr>
        <w:t xml:space="preserve">average </w:t>
      </w:r>
      <w:proofErr w:type="spellStart"/>
      <w:r w:rsidR="007741D5">
        <w:rPr>
          <w:szCs w:val="20"/>
        </w:rPr>
        <w:t>RoE</w:t>
      </w:r>
      <w:proofErr w:type="spellEnd"/>
      <w:r w:rsidR="007741D5">
        <w:rPr>
          <w:szCs w:val="20"/>
        </w:rPr>
        <w:t xml:space="preserve"> </w:t>
      </w:r>
      <w:r w:rsidR="00D33E29">
        <w:rPr>
          <w:szCs w:val="20"/>
        </w:rPr>
        <w:t xml:space="preserve">during periods of </w:t>
      </w:r>
      <w:r w:rsidR="000656E0">
        <w:rPr>
          <w:szCs w:val="20"/>
        </w:rPr>
        <w:t>higher profitability (2020-21 and 2021-22)</w:t>
      </w:r>
      <w:r w:rsidR="007741D5">
        <w:rPr>
          <w:szCs w:val="20"/>
        </w:rPr>
        <w:t xml:space="preserve"> </w:t>
      </w:r>
      <w:r w:rsidR="00D33E29">
        <w:rPr>
          <w:szCs w:val="20"/>
        </w:rPr>
        <w:t>compared with</w:t>
      </w:r>
      <w:r w:rsidR="007741D5">
        <w:rPr>
          <w:szCs w:val="20"/>
        </w:rPr>
        <w:t xml:space="preserve"> </w:t>
      </w:r>
      <w:r w:rsidR="00A84167">
        <w:rPr>
          <w:szCs w:val="20"/>
        </w:rPr>
        <w:t>lower profitability</w:t>
      </w:r>
      <w:r w:rsidR="00297C1A">
        <w:rPr>
          <w:szCs w:val="20"/>
        </w:rPr>
        <w:t xml:space="preserve"> years</w:t>
      </w:r>
      <w:r w:rsidR="00A84167">
        <w:rPr>
          <w:szCs w:val="20"/>
        </w:rPr>
        <w:t xml:space="preserve"> (2023-24 and 2024-25). </w:t>
      </w:r>
      <w:r w:rsidR="00D84F5B">
        <w:rPr>
          <w:szCs w:val="20"/>
        </w:rPr>
        <w:t>Farms</w:t>
      </w:r>
      <w:r w:rsidR="005079C3">
        <w:rPr>
          <w:szCs w:val="20"/>
        </w:rPr>
        <w:t xml:space="preserve"> </w:t>
      </w:r>
      <w:r w:rsidR="00B31950">
        <w:rPr>
          <w:szCs w:val="20"/>
        </w:rPr>
        <w:t xml:space="preserve">with </w:t>
      </w:r>
      <w:r w:rsidR="00402F23">
        <w:rPr>
          <w:szCs w:val="20"/>
        </w:rPr>
        <w:t>lower business</w:t>
      </w:r>
      <w:r w:rsidR="00B31950">
        <w:rPr>
          <w:szCs w:val="20"/>
        </w:rPr>
        <w:t xml:space="preserve"> equity </w:t>
      </w:r>
      <w:r w:rsidR="00402F23">
        <w:rPr>
          <w:szCs w:val="20"/>
        </w:rPr>
        <w:t xml:space="preserve">(less than </w:t>
      </w:r>
      <w:r w:rsidR="00C230B8">
        <w:rPr>
          <w:szCs w:val="20"/>
        </w:rPr>
        <w:t>80</w:t>
      </w:r>
      <w:r w:rsidR="00402F23">
        <w:rPr>
          <w:szCs w:val="20"/>
        </w:rPr>
        <w:t>% equity)</w:t>
      </w:r>
      <w:r w:rsidR="00DE32AD">
        <w:rPr>
          <w:szCs w:val="20"/>
        </w:rPr>
        <w:t xml:space="preserve"> </w:t>
      </w:r>
      <w:r w:rsidR="003C55E2">
        <w:rPr>
          <w:szCs w:val="20"/>
        </w:rPr>
        <w:t xml:space="preserve">had higher returns </w:t>
      </w:r>
      <w:r w:rsidR="00153E4B">
        <w:rPr>
          <w:szCs w:val="20"/>
        </w:rPr>
        <w:t>during</w:t>
      </w:r>
      <w:r w:rsidR="003C55E2">
        <w:rPr>
          <w:szCs w:val="20"/>
        </w:rPr>
        <w:t xml:space="preserve"> the more profitable years</w:t>
      </w:r>
      <w:r w:rsidR="00D348B4">
        <w:rPr>
          <w:szCs w:val="20"/>
        </w:rPr>
        <w:t xml:space="preserve"> but also faced</w:t>
      </w:r>
      <w:r w:rsidR="00190893">
        <w:rPr>
          <w:szCs w:val="20"/>
        </w:rPr>
        <w:t xml:space="preserve"> </w:t>
      </w:r>
      <w:r w:rsidR="003C55E2">
        <w:rPr>
          <w:szCs w:val="20"/>
        </w:rPr>
        <w:t xml:space="preserve">lower returns </w:t>
      </w:r>
      <w:r w:rsidR="00A77B4B">
        <w:rPr>
          <w:szCs w:val="20"/>
        </w:rPr>
        <w:t>during</w:t>
      </w:r>
      <w:r w:rsidR="003C55E2">
        <w:rPr>
          <w:szCs w:val="20"/>
        </w:rPr>
        <w:t xml:space="preserve"> the </w:t>
      </w:r>
      <w:r w:rsidR="007C456B">
        <w:rPr>
          <w:szCs w:val="20"/>
        </w:rPr>
        <w:t xml:space="preserve">lower profitability </w:t>
      </w:r>
      <w:r w:rsidR="007C456B">
        <w:rPr>
          <w:szCs w:val="20"/>
        </w:rPr>
        <w:t>years</w:t>
      </w:r>
      <w:r w:rsidR="007C456B" w:rsidRPr="00681B54">
        <w:rPr>
          <w:szCs w:val="20"/>
        </w:rPr>
        <w:t xml:space="preserve">. </w:t>
      </w:r>
      <w:r w:rsidR="007C456B" w:rsidRPr="002119C9">
        <w:rPr>
          <w:szCs w:val="20"/>
        </w:rPr>
        <w:t xml:space="preserve">This </w:t>
      </w:r>
      <w:r w:rsidR="00A758D7">
        <w:rPr>
          <w:szCs w:val="20"/>
        </w:rPr>
        <w:t xml:space="preserve">reflects the increased financial risk associated with </w:t>
      </w:r>
      <w:r w:rsidR="00C2273E">
        <w:rPr>
          <w:szCs w:val="20"/>
        </w:rPr>
        <w:t xml:space="preserve">higher debt levels </w:t>
      </w:r>
      <w:r w:rsidR="001A1916">
        <w:rPr>
          <w:szCs w:val="20"/>
        </w:rPr>
        <w:t xml:space="preserve">– particularly </w:t>
      </w:r>
      <w:r w:rsidR="004E3D81">
        <w:rPr>
          <w:szCs w:val="20"/>
        </w:rPr>
        <w:t xml:space="preserve">taking on higher interest costs which </w:t>
      </w:r>
      <w:r w:rsidR="007C456B" w:rsidRPr="002119C9">
        <w:rPr>
          <w:szCs w:val="20"/>
        </w:rPr>
        <w:t xml:space="preserve">need to be paid regardless of </w:t>
      </w:r>
      <w:r w:rsidR="007C456B">
        <w:rPr>
          <w:szCs w:val="20"/>
        </w:rPr>
        <w:t xml:space="preserve">the season or </w:t>
      </w:r>
      <w:r w:rsidR="007C456B" w:rsidRPr="002119C9">
        <w:rPr>
          <w:szCs w:val="20"/>
        </w:rPr>
        <w:t>how well the business is doing.</w:t>
      </w:r>
      <w:r w:rsidR="00D767EE">
        <w:rPr>
          <w:szCs w:val="20"/>
        </w:rPr>
        <w:t xml:space="preserve"> </w:t>
      </w:r>
    </w:p>
    <w:p w14:paraId="318EA946" w14:textId="7C30F4A5" w:rsidR="00EF3161" w:rsidRDefault="00F112C2" w:rsidP="00913AC6">
      <w:pPr>
        <w:rPr>
          <w:szCs w:val="20"/>
        </w:rPr>
      </w:pPr>
      <w:r>
        <w:rPr>
          <w:szCs w:val="20"/>
        </w:rPr>
        <w:t xml:space="preserve">The </w:t>
      </w:r>
      <w:r w:rsidR="009E6B4E">
        <w:rPr>
          <w:szCs w:val="20"/>
        </w:rPr>
        <w:t xml:space="preserve">lower average </w:t>
      </w:r>
      <w:proofErr w:type="spellStart"/>
      <w:r w:rsidR="009E6B4E">
        <w:rPr>
          <w:szCs w:val="20"/>
        </w:rPr>
        <w:t>RoE</w:t>
      </w:r>
      <w:proofErr w:type="spellEnd"/>
      <w:r w:rsidR="009E6B4E">
        <w:rPr>
          <w:szCs w:val="20"/>
        </w:rPr>
        <w:t xml:space="preserve"> </w:t>
      </w:r>
      <w:r w:rsidR="002E3C66">
        <w:rPr>
          <w:szCs w:val="20"/>
        </w:rPr>
        <w:t xml:space="preserve">observed </w:t>
      </w:r>
      <w:r w:rsidR="009E6B4E">
        <w:rPr>
          <w:szCs w:val="20"/>
        </w:rPr>
        <w:t>in the most recent years</w:t>
      </w:r>
      <w:r w:rsidR="001D5E4D">
        <w:rPr>
          <w:szCs w:val="20"/>
        </w:rPr>
        <w:t xml:space="preserve"> (2023-24 and 2024-25)</w:t>
      </w:r>
      <w:r w:rsidR="009E6B4E">
        <w:rPr>
          <w:szCs w:val="20"/>
        </w:rPr>
        <w:t xml:space="preserve"> </w:t>
      </w:r>
      <w:r w:rsidR="00836102">
        <w:rPr>
          <w:szCs w:val="20"/>
        </w:rPr>
        <w:t>for</w:t>
      </w:r>
      <w:r w:rsidR="007A43BE">
        <w:rPr>
          <w:szCs w:val="20"/>
        </w:rPr>
        <w:t xml:space="preserve"> farms with lower equity</w:t>
      </w:r>
      <w:r w:rsidR="00964786">
        <w:rPr>
          <w:szCs w:val="20"/>
        </w:rPr>
        <w:t xml:space="preserve"> highlights</w:t>
      </w:r>
      <w:r w:rsidR="008B4B81">
        <w:rPr>
          <w:szCs w:val="20"/>
        </w:rPr>
        <w:t xml:space="preserve"> the challenges these businesses</w:t>
      </w:r>
      <w:r w:rsidR="00F14A26">
        <w:rPr>
          <w:szCs w:val="20"/>
        </w:rPr>
        <w:t xml:space="preserve"> have</w:t>
      </w:r>
      <w:r w:rsidR="008B4B81">
        <w:rPr>
          <w:szCs w:val="20"/>
        </w:rPr>
        <w:t xml:space="preserve"> face</w:t>
      </w:r>
      <w:r w:rsidR="00F14A26">
        <w:rPr>
          <w:szCs w:val="20"/>
        </w:rPr>
        <w:t>d</w:t>
      </w:r>
      <w:r w:rsidR="008B4B81">
        <w:rPr>
          <w:szCs w:val="20"/>
        </w:rPr>
        <w:t xml:space="preserve"> under tougher operating conditions. </w:t>
      </w:r>
      <w:r w:rsidR="00373C3B">
        <w:rPr>
          <w:szCs w:val="20"/>
        </w:rPr>
        <w:t>It is important to note that</w:t>
      </w:r>
      <w:r w:rsidR="008C1245">
        <w:rPr>
          <w:szCs w:val="20"/>
        </w:rPr>
        <w:t xml:space="preserve"> there is considerable variation in returns. Farms across all equity categories recorded high and low returns in any given year. </w:t>
      </w:r>
    </w:p>
    <w:p w14:paraId="4BA13C35" w14:textId="3D43FCFC" w:rsidR="00D55C56" w:rsidRDefault="00D55C56" w:rsidP="00A735C1">
      <w:pPr>
        <w:rPr>
          <w:noProof/>
        </w:rPr>
      </w:pPr>
    </w:p>
    <w:p w14:paraId="5F1DD78C" w14:textId="77777777" w:rsidR="002D5C25" w:rsidRDefault="002D5C25" w:rsidP="00626EA3">
      <w:pPr>
        <w:pStyle w:val="Caption"/>
        <w:sectPr w:rsidR="002D5C25" w:rsidSect="00652A32">
          <w:type w:val="continuous"/>
          <w:pgSz w:w="11906" w:h="16838"/>
          <w:pgMar w:top="1440" w:right="1440" w:bottom="1440" w:left="1440" w:header="708" w:footer="708" w:gutter="0"/>
          <w:cols w:num="2" w:space="708"/>
          <w:docGrid w:linePitch="360"/>
        </w:sectPr>
      </w:pPr>
      <w:bookmarkStart w:id="20" w:name="_Ref148967388"/>
    </w:p>
    <w:p w14:paraId="74C20E2A" w14:textId="77777777" w:rsidR="002D5C25" w:rsidRDefault="002D5C25" w:rsidP="00626EA3">
      <w:pPr>
        <w:pStyle w:val="Caption"/>
      </w:pPr>
    </w:p>
    <w:p w14:paraId="4AD80DC5" w14:textId="3AEA5206" w:rsidR="002A3766" w:rsidRDefault="002A3766" w:rsidP="00626EA3">
      <w:pPr>
        <w:pStyle w:val="Caption"/>
      </w:pPr>
    </w:p>
    <w:p w14:paraId="3DA10181" w14:textId="39BE2720" w:rsidR="00EE433E" w:rsidRPr="00EE433E" w:rsidRDefault="00EE433E" w:rsidP="002D639E">
      <w:r>
        <w:rPr>
          <w:noProof/>
        </w:rPr>
        <w:drawing>
          <wp:inline distT="0" distB="0" distL="0" distR="0" wp14:anchorId="4EEFB7BD" wp14:editId="1607EDE5">
            <wp:extent cx="4572000" cy="2609850"/>
            <wp:effectExtent l="0" t="0" r="0" b="0"/>
            <wp:docPr id="286797541" name="Chart 1" descr="The average return on equity (RoE) for LFMP farms over the last 5 years (2020-21 to 2024-25), separated by business equity">
              <a:extLst xmlns:a="http://schemas.openxmlformats.org/drawingml/2006/main">
                <a:ext uri="{FF2B5EF4-FFF2-40B4-BE49-F238E27FC236}">
                  <a16:creationId xmlns:a16="http://schemas.microsoft.com/office/drawing/2014/main" id="{B36C27F2-8EF2-4B13-B4E7-D2971F6DBA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53DC943" w14:textId="0DF4FBFD" w:rsidR="002D5C25" w:rsidRDefault="001F0B78" w:rsidP="002D5C25">
      <w:pPr>
        <w:pStyle w:val="Caption"/>
      </w:pPr>
      <w:r>
        <w:t xml:space="preserve">Figure </w:t>
      </w:r>
      <w:r>
        <w:fldChar w:fldCharType="begin"/>
      </w:r>
      <w:r>
        <w:instrText>SEQ Figure \* ARABIC</w:instrText>
      </w:r>
      <w:r>
        <w:fldChar w:fldCharType="separate"/>
      </w:r>
      <w:r w:rsidR="00EF38F6">
        <w:rPr>
          <w:noProof/>
        </w:rPr>
        <w:t>7</w:t>
      </w:r>
      <w:r>
        <w:fldChar w:fldCharType="end"/>
      </w:r>
      <w:bookmarkEnd w:id="20"/>
      <w:r>
        <w:t xml:space="preserve">. </w:t>
      </w:r>
      <w:r w:rsidR="00626EA3">
        <w:t>The</w:t>
      </w:r>
      <w:r w:rsidR="00626EA3" w:rsidRPr="00626EA3">
        <w:t xml:space="preserve"> average </w:t>
      </w:r>
      <w:r w:rsidR="00626EA3">
        <w:t>r</w:t>
      </w:r>
      <w:r w:rsidR="00626EA3" w:rsidRPr="00626EA3">
        <w:t xml:space="preserve">eturn on </w:t>
      </w:r>
      <w:r w:rsidR="00626EA3">
        <w:t>e</w:t>
      </w:r>
      <w:r w:rsidR="00626EA3" w:rsidRPr="00626EA3">
        <w:t>quity (</w:t>
      </w:r>
      <w:proofErr w:type="spellStart"/>
      <w:r w:rsidR="00626EA3" w:rsidRPr="00626EA3">
        <w:t>R</w:t>
      </w:r>
      <w:r w:rsidR="00842F4C">
        <w:t>o</w:t>
      </w:r>
      <w:r w:rsidR="00626EA3" w:rsidRPr="00626EA3">
        <w:t>E</w:t>
      </w:r>
      <w:proofErr w:type="spellEnd"/>
      <w:r w:rsidR="00626EA3" w:rsidRPr="00626EA3">
        <w:t xml:space="preserve">) for </w:t>
      </w:r>
      <w:r w:rsidR="00FF1172">
        <w:t>LFMP farms</w:t>
      </w:r>
      <w:r w:rsidR="007321B1">
        <w:t xml:space="preserve"> </w:t>
      </w:r>
      <w:r w:rsidR="00626EA3" w:rsidRPr="00626EA3">
        <w:t xml:space="preserve">over the last </w:t>
      </w:r>
      <w:r w:rsidR="00EE433E">
        <w:t>5</w:t>
      </w:r>
      <w:r w:rsidR="00EE433E" w:rsidRPr="00626EA3">
        <w:t xml:space="preserve"> </w:t>
      </w:r>
      <w:r w:rsidR="00626EA3" w:rsidRPr="00626EA3">
        <w:t>years</w:t>
      </w:r>
      <w:r w:rsidR="00101813">
        <w:t xml:space="preserve"> (</w:t>
      </w:r>
      <w:r w:rsidR="00EE433E">
        <w:t>2020-21</w:t>
      </w:r>
      <w:r w:rsidR="00101813">
        <w:t xml:space="preserve"> </w:t>
      </w:r>
      <w:r w:rsidR="002D5C25">
        <w:t>to 2024-25)</w:t>
      </w:r>
      <w:r w:rsidR="002D5C25" w:rsidRPr="00626EA3">
        <w:t xml:space="preserve">, </w:t>
      </w:r>
      <w:r w:rsidR="002D5C25">
        <w:t>separated</w:t>
      </w:r>
      <w:r w:rsidR="002D5C25" w:rsidRPr="00626EA3">
        <w:t xml:space="preserve"> </w:t>
      </w:r>
      <w:r w:rsidR="00026366">
        <w:t>by</w:t>
      </w:r>
      <w:r w:rsidR="002D5C25" w:rsidRPr="00626EA3">
        <w:t xml:space="preserve"> business equity</w:t>
      </w:r>
    </w:p>
    <w:p w14:paraId="16E309DA" w14:textId="3E5EF11F" w:rsidR="002D5C25" w:rsidRDefault="002D5C25" w:rsidP="00426F7F">
      <w:pPr>
        <w:pStyle w:val="Caption"/>
        <w:sectPr w:rsidR="002D5C25" w:rsidSect="006A126E">
          <w:type w:val="continuous"/>
          <w:pgSz w:w="11906" w:h="16838"/>
          <w:pgMar w:top="1440" w:right="1440" w:bottom="1440" w:left="1440" w:header="708" w:footer="708" w:gutter="0"/>
          <w:cols w:space="708"/>
          <w:docGrid w:linePitch="360"/>
        </w:sectPr>
      </w:pPr>
    </w:p>
    <w:p w14:paraId="30526642" w14:textId="04C55028" w:rsidR="00130DE3" w:rsidRDefault="00130DE3" w:rsidP="00626EA3">
      <w:pPr>
        <w:pStyle w:val="Caption"/>
      </w:pPr>
    </w:p>
    <w:p w14:paraId="1A0BCC2D" w14:textId="77777777" w:rsidR="003B1C83" w:rsidRDefault="003B1C83" w:rsidP="003B1C83"/>
    <w:p w14:paraId="620A0DB3" w14:textId="0D4BCF0A" w:rsidR="001B22CE" w:rsidRDefault="001B22CE" w:rsidP="00626EA3">
      <w:pPr>
        <w:pStyle w:val="Caption"/>
        <w:rPr>
          <w:rFonts w:cs="VIC-SemiBold"/>
          <w:b/>
          <w:sz w:val="28"/>
          <w:szCs w:val="18"/>
          <w:lang w:val="en-US"/>
        </w:rPr>
      </w:pPr>
      <w:r>
        <w:br w:type="page"/>
      </w:r>
    </w:p>
    <w:p w14:paraId="29D0C0BF" w14:textId="0994F344" w:rsidR="00B96E74" w:rsidRPr="0064154B" w:rsidRDefault="00002085" w:rsidP="00681A15">
      <w:pPr>
        <w:pStyle w:val="Heading2"/>
        <w:rPr>
          <w:bCs/>
        </w:rPr>
      </w:pPr>
      <w:bookmarkStart w:id="21" w:name="_Toc214610570"/>
      <w:r w:rsidRPr="0064154B">
        <w:rPr>
          <w:bCs/>
        </w:rPr>
        <w:lastRenderedPageBreak/>
        <w:t>Gippsland</w:t>
      </w:r>
      <w:bookmarkEnd w:id="21"/>
      <w:r w:rsidR="00794343" w:rsidRPr="0064154B">
        <w:rPr>
          <w:bCs/>
        </w:rPr>
        <w:t xml:space="preserve"> </w:t>
      </w:r>
    </w:p>
    <w:p w14:paraId="333198C8" w14:textId="602FDF71" w:rsidR="00A87448" w:rsidRPr="00FA7E68" w:rsidRDefault="00A87448" w:rsidP="00A87448">
      <w:pPr>
        <w:pStyle w:val="Heading3"/>
        <w:rPr>
          <w:b/>
          <w:bCs/>
        </w:rPr>
      </w:pPr>
      <w:bookmarkStart w:id="22" w:name="_Toc214610571"/>
      <w:r w:rsidRPr="00FA7E68">
        <w:rPr>
          <w:b/>
          <w:bCs/>
        </w:rPr>
        <w:t xml:space="preserve">Gross </w:t>
      </w:r>
      <w:r>
        <w:rPr>
          <w:b/>
          <w:bCs/>
        </w:rPr>
        <w:t>m</w:t>
      </w:r>
      <w:r w:rsidRPr="00FA7E68">
        <w:rPr>
          <w:b/>
          <w:bCs/>
        </w:rPr>
        <w:t>argins</w:t>
      </w:r>
      <w:bookmarkEnd w:id="22"/>
    </w:p>
    <w:p w14:paraId="5DB6CCB2" w14:textId="77777777" w:rsidR="0024018B" w:rsidRPr="0024018B" w:rsidRDefault="0024018B" w:rsidP="00AA15AC"/>
    <w:p w14:paraId="7C012171" w14:textId="3EF94FC3" w:rsidR="009C49E4" w:rsidRDefault="005871E8" w:rsidP="00ED067E">
      <w:pPr>
        <w:pStyle w:val="Caption"/>
        <w:rPr>
          <w:color w:val="FF0000"/>
        </w:rPr>
      </w:pPr>
      <w:r>
        <w:rPr>
          <w:noProof/>
          <w:color w:val="FF0000"/>
        </w:rPr>
        <w:drawing>
          <wp:inline distT="0" distB="0" distL="0" distR="0" wp14:anchorId="491114D1" wp14:editId="6FA2EA64">
            <wp:extent cx="2546350" cy="1276182"/>
            <wp:effectExtent l="0" t="0" r="6350" b="635"/>
            <wp:docPr id="236407563" name="Picture 2" descr="Gippsland average gross margin for wool sheep, prime lamb and beef (2015-16 to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07563" name="Picture 2" descr="Gippsland average gross margin for wool sheep, prime lamb and beef (2015-16 to 2024-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56103" cy="1281070"/>
                    </a:xfrm>
                    <a:prstGeom prst="rect">
                      <a:avLst/>
                    </a:prstGeom>
                    <a:noFill/>
                  </pic:spPr>
                </pic:pic>
              </a:graphicData>
            </a:graphic>
          </wp:inline>
        </w:drawing>
      </w:r>
    </w:p>
    <w:p w14:paraId="60BF3E2E" w14:textId="6D75C32C" w:rsidR="00ED067E" w:rsidRDefault="00ED067E" w:rsidP="00ED067E">
      <w:pPr>
        <w:pStyle w:val="Caption"/>
      </w:pPr>
      <w:bookmarkStart w:id="23" w:name="_Ref148955262"/>
      <w:r>
        <w:t xml:space="preserve">Figure </w:t>
      </w:r>
      <w:r>
        <w:fldChar w:fldCharType="begin"/>
      </w:r>
      <w:r>
        <w:instrText>SEQ Figure \* ARABIC</w:instrText>
      </w:r>
      <w:r>
        <w:fldChar w:fldCharType="separate"/>
      </w:r>
      <w:r w:rsidR="00EF38F6">
        <w:rPr>
          <w:noProof/>
        </w:rPr>
        <w:t>8</w:t>
      </w:r>
      <w:r>
        <w:fldChar w:fldCharType="end"/>
      </w:r>
      <w:bookmarkEnd w:id="23"/>
      <w:r>
        <w:t>. Gippsland</w:t>
      </w:r>
      <w:r w:rsidRPr="0013594D">
        <w:t xml:space="preserve"> </w:t>
      </w:r>
      <w:r>
        <w:t xml:space="preserve">average </w:t>
      </w:r>
      <w:r w:rsidR="001D4497">
        <w:t>gross margin</w:t>
      </w:r>
      <w:r w:rsidR="004039B7">
        <w:t xml:space="preserve"> for wool sheep, prime lamb and beef (201</w:t>
      </w:r>
      <w:r w:rsidR="005871E8">
        <w:t>5</w:t>
      </w:r>
      <w:r w:rsidR="004039B7">
        <w:t>-1</w:t>
      </w:r>
      <w:r w:rsidR="005871E8">
        <w:t>6</w:t>
      </w:r>
      <w:r w:rsidR="004039B7">
        <w:t xml:space="preserve"> </w:t>
      </w:r>
      <w:r w:rsidR="00966E8E">
        <w:t>to</w:t>
      </w:r>
      <w:r w:rsidR="004039B7">
        <w:t xml:space="preserve"> 202</w:t>
      </w:r>
      <w:r w:rsidR="005871E8">
        <w:t>4</w:t>
      </w:r>
      <w:r w:rsidR="004039B7">
        <w:t>-2</w:t>
      </w:r>
      <w:r w:rsidR="005871E8">
        <w:t>5</w:t>
      </w:r>
      <w:r w:rsidR="004039B7">
        <w:t>)</w:t>
      </w:r>
    </w:p>
    <w:p w14:paraId="781FA8BF" w14:textId="7E09AD26" w:rsidR="0072419C" w:rsidRPr="008B2BFF" w:rsidRDefault="00B93F02" w:rsidP="0072419C">
      <w:pPr>
        <w:rPr>
          <w:color w:val="000000" w:themeColor="text1"/>
          <w:szCs w:val="20"/>
        </w:rPr>
      </w:pPr>
      <w:r w:rsidRPr="001D1ABC">
        <w:rPr>
          <w:color w:val="000000" w:themeColor="text1"/>
          <w:szCs w:val="20"/>
        </w:rPr>
        <w:t>Gippsland b</w:t>
      </w:r>
      <w:r w:rsidR="0072419C" w:rsidRPr="001D1ABC">
        <w:rPr>
          <w:color w:val="000000" w:themeColor="text1"/>
          <w:szCs w:val="20"/>
        </w:rPr>
        <w:t xml:space="preserve">eef gross margins </w:t>
      </w:r>
      <w:r w:rsidR="00EB5D29" w:rsidRPr="001D1ABC">
        <w:rPr>
          <w:color w:val="000000" w:themeColor="text1"/>
          <w:szCs w:val="20"/>
        </w:rPr>
        <w:t>decrease</w:t>
      </w:r>
      <w:r w:rsidR="00B42AB1">
        <w:rPr>
          <w:color w:val="000000" w:themeColor="text1"/>
          <w:szCs w:val="20"/>
        </w:rPr>
        <w:t>d</w:t>
      </w:r>
      <w:r w:rsidR="00EB5D29" w:rsidRPr="001D1ABC">
        <w:rPr>
          <w:color w:val="000000" w:themeColor="text1"/>
          <w:szCs w:val="20"/>
        </w:rPr>
        <w:t xml:space="preserve"> </w:t>
      </w:r>
      <w:r w:rsidR="00B42AB1">
        <w:rPr>
          <w:color w:val="000000" w:themeColor="text1"/>
          <w:szCs w:val="20"/>
        </w:rPr>
        <w:t xml:space="preserve">for the third consecutive year </w:t>
      </w:r>
      <w:r w:rsidR="00B65D1D">
        <w:rPr>
          <w:color w:val="000000" w:themeColor="text1"/>
          <w:szCs w:val="20"/>
        </w:rPr>
        <w:t>reaching</w:t>
      </w:r>
      <w:r w:rsidR="0076383D">
        <w:rPr>
          <w:color w:val="000000" w:themeColor="text1"/>
          <w:szCs w:val="20"/>
        </w:rPr>
        <w:t xml:space="preserve"> the</w:t>
      </w:r>
      <w:r w:rsidR="00EB5D29" w:rsidRPr="001D1ABC">
        <w:rPr>
          <w:color w:val="000000" w:themeColor="text1"/>
          <w:szCs w:val="20"/>
        </w:rPr>
        <w:t xml:space="preserve"> second lowest</w:t>
      </w:r>
      <w:r w:rsidR="00A13BF4" w:rsidRPr="001D1ABC">
        <w:rPr>
          <w:color w:val="000000" w:themeColor="text1"/>
          <w:szCs w:val="20"/>
        </w:rPr>
        <w:t xml:space="preserve"> average recorded in the last </w:t>
      </w:r>
      <w:r w:rsidR="0015249D">
        <w:rPr>
          <w:color w:val="000000" w:themeColor="text1"/>
          <w:szCs w:val="20"/>
        </w:rPr>
        <w:t>10</w:t>
      </w:r>
      <w:r w:rsidR="0015249D" w:rsidRPr="001D1ABC">
        <w:rPr>
          <w:color w:val="000000" w:themeColor="text1"/>
          <w:szCs w:val="20"/>
        </w:rPr>
        <w:t xml:space="preserve"> </w:t>
      </w:r>
      <w:r w:rsidR="00A13BF4" w:rsidRPr="001D1ABC">
        <w:rPr>
          <w:color w:val="000000" w:themeColor="text1"/>
          <w:szCs w:val="20"/>
        </w:rPr>
        <w:t>years</w:t>
      </w:r>
      <w:r w:rsidR="00696796" w:rsidRPr="001D1ABC">
        <w:rPr>
          <w:color w:val="000000" w:themeColor="text1"/>
          <w:szCs w:val="20"/>
        </w:rPr>
        <w:t xml:space="preserve"> (</w:t>
      </w:r>
      <w:r w:rsidR="00696796" w:rsidRPr="001D1ABC">
        <w:rPr>
          <w:color w:val="000000" w:themeColor="text1"/>
          <w:szCs w:val="20"/>
        </w:rPr>
        <w:fldChar w:fldCharType="begin"/>
      </w:r>
      <w:r w:rsidR="00696796" w:rsidRPr="001D1ABC">
        <w:rPr>
          <w:color w:val="000000" w:themeColor="text1"/>
          <w:szCs w:val="20"/>
        </w:rPr>
        <w:instrText xml:space="preserve"> REF _Ref148955262 \h </w:instrText>
      </w:r>
      <w:r w:rsidR="00696796" w:rsidRPr="001D1ABC">
        <w:rPr>
          <w:color w:val="000000" w:themeColor="text1"/>
          <w:szCs w:val="20"/>
        </w:rPr>
      </w:r>
      <w:r w:rsidR="00696796" w:rsidRPr="001D1ABC">
        <w:rPr>
          <w:color w:val="000000" w:themeColor="text1"/>
          <w:szCs w:val="20"/>
        </w:rPr>
        <w:fldChar w:fldCharType="separate"/>
      </w:r>
      <w:r w:rsidR="00EF38F6">
        <w:t xml:space="preserve">Figure </w:t>
      </w:r>
      <w:r w:rsidR="00EF38F6">
        <w:rPr>
          <w:noProof/>
        </w:rPr>
        <w:t>8</w:t>
      </w:r>
      <w:r w:rsidR="00696796" w:rsidRPr="001D1ABC">
        <w:rPr>
          <w:color w:val="000000" w:themeColor="text1"/>
          <w:szCs w:val="20"/>
        </w:rPr>
        <w:fldChar w:fldCharType="end"/>
      </w:r>
      <w:r w:rsidR="00696796" w:rsidRPr="001D1ABC">
        <w:rPr>
          <w:color w:val="000000" w:themeColor="text1"/>
          <w:szCs w:val="20"/>
        </w:rPr>
        <w:t>)</w:t>
      </w:r>
      <w:r w:rsidR="0020231E">
        <w:rPr>
          <w:color w:val="000000" w:themeColor="text1"/>
          <w:szCs w:val="20"/>
        </w:rPr>
        <w:t>. Th</w:t>
      </w:r>
      <w:r w:rsidR="0076383D">
        <w:rPr>
          <w:color w:val="000000" w:themeColor="text1"/>
          <w:szCs w:val="20"/>
        </w:rPr>
        <w:t>e</w:t>
      </w:r>
      <w:r w:rsidR="00FD7250">
        <w:rPr>
          <w:color w:val="000000" w:themeColor="text1"/>
          <w:szCs w:val="20"/>
        </w:rPr>
        <w:t xml:space="preserve"> 202</w:t>
      </w:r>
      <w:r w:rsidR="0076383D">
        <w:rPr>
          <w:color w:val="000000" w:themeColor="text1"/>
          <w:szCs w:val="20"/>
        </w:rPr>
        <w:t>4</w:t>
      </w:r>
      <w:r w:rsidR="00FD7250">
        <w:rPr>
          <w:color w:val="000000" w:themeColor="text1"/>
          <w:szCs w:val="20"/>
        </w:rPr>
        <w:t>-2</w:t>
      </w:r>
      <w:r w:rsidR="0076383D">
        <w:rPr>
          <w:color w:val="000000" w:themeColor="text1"/>
          <w:szCs w:val="20"/>
        </w:rPr>
        <w:t>5</w:t>
      </w:r>
      <w:r w:rsidR="00FD7250">
        <w:rPr>
          <w:color w:val="000000" w:themeColor="text1"/>
          <w:szCs w:val="20"/>
        </w:rPr>
        <w:t xml:space="preserve"> </w:t>
      </w:r>
      <w:r w:rsidR="00F92B81">
        <w:rPr>
          <w:color w:val="000000" w:themeColor="text1"/>
          <w:szCs w:val="20"/>
        </w:rPr>
        <w:t xml:space="preserve">beef gross margin </w:t>
      </w:r>
      <w:r w:rsidR="0020231E">
        <w:rPr>
          <w:color w:val="000000" w:themeColor="text1"/>
          <w:szCs w:val="20"/>
        </w:rPr>
        <w:t>was</w:t>
      </w:r>
      <w:r w:rsidR="00696796" w:rsidRPr="001D1ABC">
        <w:rPr>
          <w:color w:val="000000" w:themeColor="text1"/>
          <w:szCs w:val="20"/>
        </w:rPr>
        <w:t xml:space="preserve"> 3</w:t>
      </w:r>
      <w:r w:rsidR="00E416AD">
        <w:rPr>
          <w:color w:val="000000" w:themeColor="text1"/>
          <w:szCs w:val="20"/>
        </w:rPr>
        <w:t>8</w:t>
      </w:r>
      <w:r w:rsidR="00696796" w:rsidRPr="001D1ABC">
        <w:rPr>
          <w:color w:val="000000" w:themeColor="text1"/>
          <w:szCs w:val="20"/>
        </w:rPr>
        <w:t>%</w:t>
      </w:r>
      <w:r w:rsidR="0072419C" w:rsidRPr="001D1ABC">
        <w:rPr>
          <w:color w:val="000000" w:themeColor="text1"/>
          <w:szCs w:val="20"/>
        </w:rPr>
        <w:t xml:space="preserve"> below the </w:t>
      </w:r>
      <w:r w:rsidR="00696796" w:rsidRPr="001D1ABC">
        <w:rPr>
          <w:color w:val="000000" w:themeColor="text1"/>
          <w:szCs w:val="20"/>
        </w:rPr>
        <w:t>five</w:t>
      </w:r>
      <w:r w:rsidR="0072419C" w:rsidRPr="001D1ABC">
        <w:rPr>
          <w:color w:val="000000" w:themeColor="text1"/>
          <w:szCs w:val="20"/>
        </w:rPr>
        <w:t>-year average.</w:t>
      </w:r>
      <w:r w:rsidR="000F078D">
        <w:rPr>
          <w:color w:val="000000" w:themeColor="text1"/>
          <w:szCs w:val="20"/>
        </w:rPr>
        <w:t xml:space="preserve"> </w:t>
      </w:r>
      <w:r w:rsidR="009C064E">
        <w:rPr>
          <w:color w:val="000000" w:themeColor="text1"/>
          <w:szCs w:val="20"/>
        </w:rPr>
        <w:t xml:space="preserve">Prime lamb </w:t>
      </w:r>
      <w:r w:rsidR="00B27098">
        <w:rPr>
          <w:color w:val="000000" w:themeColor="text1"/>
          <w:szCs w:val="20"/>
        </w:rPr>
        <w:t xml:space="preserve">average gross margin </w:t>
      </w:r>
      <w:r w:rsidR="00CC1B44">
        <w:rPr>
          <w:color w:val="000000" w:themeColor="text1"/>
          <w:szCs w:val="20"/>
        </w:rPr>
        <w:t>increased in 202</w:t>
      </w:r>
      <w:r w:rsidR="00C642B2">
        <w:rPr>
          <w:color w:val="000000" w:themeColor="text1"/>
          <w:szCs w:val="20"/>
        </w:rPr>
        <w:t>4</w:t>
      </w:r>
      <w:r w:rsidR="00CC1B44">
        <w:rPr>
          <w:color w:val="000000" w:themeColor="text1"/>
          <w:szCs w:val="20"/>
        </w:rPr>
        <w:t>-2</w:t>
      </w:r>
      <w:r w:rsidR="00C642B2">
        <w:rPr>
          <w:color w:val="000000" w:themeColor="text1"/>
          <w:szCs w:val="20"/>
        </w:rPr>
        <w:t>5</w:t>
      </w:r>
      <w:r w:rsidR="004302EA">
        <w:rPr>
          <w:color w:val="000000" w:themeColor="text1"/>
          <w:szCs w:val="20"/>
        </w:rPr>
        <w:t xml:space="preserve"> and </w:t>
      </w:r>
      <w:r w:rsidR="00B1014E">
        <w:rPr>
          <w:color w:val="000000" w:themeColor="text1"/>
          <w:szCs w:val="20"/>
        </w:rPr>
        <w:t>was above</w:t>
      </w:r>
      <w:r w:rsidR="00B27098">
        <w:rPr>
          <w:color w:val="000000" w:themeColor="text1"/>
          <w:szCs w:val="20"/>
        </w:rPr>
        <w:t xml:space="preserve"> the 5-year regional average. W</w:t>
      </w:r>
      <w:r w:rsidR="009C064E">
        <w:rPr>
          <w:color w:val="000000" w:themeColor="text1"/>
          <w:szCs w:val="20"/>
        </w:rPr>
        <w:t xml:space="preserve">ool sheep </w:t>
      </w:r>
      <w:r w:rsidR="00933E20">
        <w:rPr>
          <w:color w:val="000000" w:themeColor="text1"/>
          <w:szCs w:val="20"/>
        </w:rPr>
        <w:t xml:space="preserve">average gross margins </w:t>
      </w:r>
      <w:r w:rsidR="00B1014E">
        <w:rPr>
          <w:color w:val="000000" w:themeColor="text1"/>
          <w:szCs w:val="20"/>
        </w:rPr>
        <w:t xml:space="preserve">dropped </w:t>
      </w:r>
      <w:r w:rsidR="00BA03CD">
        <w:rPr>
          <w:color w:val="000000" w:themeColor="text1"/>
          <w:szCs w:val="20"/>
        </w:rPr>
        <w:t xml:space="preserve">to a 10-year low </w:t>
      </w:r>
      <w:r w:rsidR="00BC1635">
        <w:rPr>
          <w:color w:val="000000" w:themeColor="text1"/>
          <w:szCs w:val="20"/>
        </w:rPr>
        <w:t>in 202</w:t>
      </w:r>
      <w:r w:rsidR="00B1014E">
        <w:rPr>
          <w:color w:val="000000" w:themeColor="text1"/>
          <w:szCs w:val="20"/>
        </w:rPr>
        <w:t>4</w:t>
      </w:r>
      <w:r w:rsidR="00BC1635">
        <w:rPr>
          <w:color w:val="000000" w:themeColor="text1"/>
          <w:szCs w:val="20"/>
        </w:rPr>
        <w:t>-2</w:t>
      </w:r>
      <w:r w:rsidR="00B1014E">
        <w:rPr>
          <w:color w:val="000000" w:themeColor="text1"/>
          <w:szCs w:val="20"/>
        </w:rPr>
        <w:t>5</w:t>
      </w:r>
      <w:r w:rsidR="00BC1635">
        <w:rPr>
          <w:color w:val="000000" w:themeColor="text1"/>
          <w:szCs w:val="20"/>
        </w:rPr>
        <w:t xml:space="preserve"> to be </w:t>
      </w:r>
      <w:r w:rsidR="00AA3EDC">
        <w:rPr>
          <w:color w:val="000000" w:themeColor="text1"/>
          <w:szCs w:val="20"/>
        </w:rPr>
        <w:t>65</w:t>
      </w:r>
      <w:r w:rsidR="00BC1635">
        <w:rPr>
          <w:color w:val="000000" w:themeColor="text1"/>
          <w:szCs w:val="20"/>
        </w:rPr>
        <w:t>%</w:t>
      </w:r>
      <w:r w:rsidR="00BD6C9D">
        <w:rPr>
          <w:color w:val="000000" w:themeColor="text1"/>
          <w:szCs w:val="20"/>
        </w:rPr>
        <w:t xml:space="preserve"> below</w:t>
      </w:r>
      <w:r w:rsidR="00BC1635">
        <w:rPr>
          <w:color w:val="000000" w:themeColor="text1"/>
          <w:szCs w:val="20"/>
        </w:rPr>
        <w:t xml:space="preserve"> the 5-year regional average. </w:t>
      </w:r>
      <w:r w:rsidR="0082495C">
        <w:rPr>
          <w:color w:val="000000" w:themeColor="text1"/>
          <w:szCs w:val="20"/>
        </w:rPr>
        <w:t xml:space="preserve">Prime lamb and wool sheep enterprises were less common than beef in Gippsland and enterprise averages were more </w:t>
      </w:r>
      <w:r w:rsidR="0082495C" w:rsidRPr="008B2BFF">
        <w:rPr>
          <w:color w:val="000000" w:themeColor="text1"/>
          <w:szCs w:val="20"/>
        </w:rPr>
        <w:t>sensitive to skewing because of outliers.</w:t>
      </w:r>
    </w:p>
    <w:p w14:paraId="10D78F8C" w14:textId="5D7B9DF7" w:rsidR="00D260B7" w:rsidRPr="009D2705" w:rsidRDefault="00310DC3" w:rsidP="009D2705">
      <w:pPr>
        <w:pStyle w:val="Heading3"/>
        <w:rPr>
          <w:b/>
          <w:bCs/>
          <w:color w:val="000000" w:themeColor="text1"/>
          <w:lang w:val="fr-FR"/>
        </w:rPr>
      </w:pPr>
      <w:bookmarkStart w:id="24" w:name="_Toc214610572"/>
      <w:proofErr w:type="spellStart"/>
      <w:r w:rsidRPr="008B2BFF">
        <w:rPr>
          <w:b/>
          <w:bCs/>
          <w:color w:val="000000" w:themeColor="text1"/>
          <w:lang w:val="fr-FR"/>
        </w:rPr>
        <w:t>Costs</w:t>
      </w:r>
      <w:bookmarkEnd w:id="24"/>
      <w:proofErr w:type="spellEnd"/>
      <w:r w:rsidR="00EA6E61" w:rsidRPr="008B2BFF">
        <w:rPr>
          <w:b/>
          <w:bCs/>
          <w:color w:val="000000" w:themeColor="text1"/>
          <w:lang w:val="fr-FR"/>
        </w:rPr>
        <w:t xml:space="preserve"> </w:t>
      </w:r>
    </w:p>
    <w:p w14:paraId="2EEA51B8" w14:textId="693A3D6F" w:rsidR="00E30C02" w:rsidRPr="0082495C" w:rsidRDefault="001D15C2" w:rsidP="00EA6E61">
      <w:pPr>
        <w:rPr>
          <w:color w:val="000000" w:themeColor="text1"/>
          <w:szCs w:val="20"/>
        </w:rPr>
      </w:pPr>
      <w:r>
        <w:rPr>
          <w:color w:val="000000" w:themeColor="text1"/>
          <w:szCs w:val="20"/>
        </w:rPr>
        <w:t>Expenditure on pasture fertiliser increased in 2024-25</w:t>
      </w:r>
      <w:r w:rsidR="007F2C14">
        <w:rPr>
          <w:color w:val="000000" w:themeColor="text1"/>
          <w:szCs w:val="20"/>
        </w:rPr>
        <w:t xml:space="preserve"> as</w:t>
      </w:r>
      <w:r w:rsidR="007F2C14" w:rsidRPr="00E652FB">
        <w:rPr>
          <w:color w:val="000000" w:themeColor="text1"/>
          <w:szCs w:val="20"/>
        </w:rPr>
        <w:t xml:space="preserve"> </w:t>
      </w:r>
      <w:r w:rsidR="003D78FA">
        <w:rPr>
          <w:color w:val="000000" w:themeColor="text1"/>
          <w:szCs w:val="20"/>
        </w:rPr>
        <w:t xml:space="preserve">average </w:t>
      </w:r>
      <w:r w:rsidR="007F2C14" w:rsidRPr="00E652FB">
        <w:rPr>
          <w:color w:val="000000" w:themeColor="text1"/>
          <w:szCs w:val="20"/>
        </w:rPr>
        <w:t>phosphorus application rates</w:t>
      </w:r>
      <w:r w:rsidR="003D78FA">
        <w:rPr>
          <w:color w:val="000000" w:themeColor="text1"/>
          <w:szCs w:val="20"/>
        </w:rPr>
        <w:t xml:space="preserve"> increased </w:t>
      </w:r>
      <w:r w:rsidR="005A6F6E">
        <w:rPr>
          <w:color w:val="000000" w:themeColor="text1"/>
          <w:szCs w:val="20"/>
        </w:rPr>
        <w:t xml:space="preserve">and </w:t>
      </w:r>
      <w:r w:rsidR="00D35FDE">
        <w:rPr>
          <w:color w:val="000000" w:themeColor="text1"/>
          <w:szCs w:val="20"/>
        </w:rPr>
        <w:t xml:space="preserve">superphosphate </w:t>
      </w:r>
      <w:r w:rsidR="00CD67C8">
        <w:rPr>
          <w:color w:val="000000" w:themeColor="text1"/>
          <w:szCs w:val="20"/>
        </w:rPr>
        <w:t>prices</w:t>
      </w:r>
      <w:r w:rsidR="00D35FDE">
        <w:rPr>
          <w:color w:val="000000" w:themeColor="text1"/>
          <w:szCs w:val="20"/>
        </w:rPr>
        <w:t xml:space="preserve"> </w:t>
      </w:r>
      <w:r w:rsidR="00114044">
        <w:rPr>
          <w:color w:val="000000" w:themeColor="text1"/>
          <w:szCs w:val="20"/>
        </w:rPr>
        <w:t>remained steady</w:t>
      </w:r>
      <w:r w:rsidR="00CD67C8">
        <w:rPr>
          <w:color w:val="000000" w:themeColor="text1"/>
          <w:szCs w:val="20"/>
        </w:rPr>
        <w:t xml:space="preserve"> </w:t>
      </w:r>
      <w:r w:rsidR="001B3DD5" w:rsidRPr="00E652FB">
        <w:rPr>
          <w:color w:val="000000" w:themeColor="text1"/>
          <w:szCs w:val="20"/>
        </w:rPr>
        <w:t>(</w:t>
      </w:r>
      <w:r w:rsidR="001B3DD5" w:rsidRPr="00E652FB">
        <w:rPr>
          <w:color w:val="000000" w:themeColor="text1"/>
          <w:szCs w:val="20"/>
        </w:rPr>
        <w:fldChar w:fldCharType="begin"/>
      </w:r>
      <w:r w:rsidR="001B3DD5" w:rsidRPr="00E652FB">
        <w:rPr>
          <w:color w:val="000000" w:themeColor="text1"/>
          <w:szCs w:val="20"/>
        </w:rPr>
        <w:instrText xml:space="preserve"> REF _Ref179808705 \h </w:instrText>
      </w:r>
      <w:r w:rsidR="001B3DD5" w:rsidRPr="00E652FB">
        <w:rPr>
          <w:color w:val="000000" w:themeColor="text1"/>
          <w:szCs w:val="20"/>
        </w:rPr>
      </w:r>
      <w:r w:rsidR="001B3DD5" w:rsidRPr="00E652FB">
        <w:rPr>
          <w:color w:val="000000" w:themeColor="text1"/>
          <w:szCs w:val="20"/>
        </w:rPr>
        <w:fldChar w:fldCharType="separate"/>
      </w:r>
      <w:r w:rsidR="00EF38F6">
        <w:t xml:space="preserve">Figure </w:t>
      </w:r>
      <w:r w:rsidR="00EF38F6">
        <w:rPr>
          <w:noProof/>
        </w:rPr>
        <w:t>9</w:t>
      </w:r>
      <w:r w:rsidR="001B3DD5" w:rsidRPr="00E652FB">
        <w:rPr>
          <w:color w:val="000000" w:themeColor="text1"/>
          <w:szCs w:val="20"/>
        </w:rPr>
        <w:fldChar w:fldCharType="end"/>
      </w:r>
      <w:r w:rsidR="001B3DD5" w:rsidRPr="00E652FB">
        <w:rPr>
          <w:color w:val="000000" w:themeColor="text1"/>
          <w:szCs w:val="20"/>
        </w:rPr>
        <w:t>)</w:t>
      </w:r>
      <w:r w:rsidR="005A6F6E">
        <w:rPr>
          <w:color w:val="000000" w:themeColor="text1"/>
          <w:szCs w:val="20"/>
        </w:rPr>
        <w:t xml:space="preserve">. </w:t>
      </w:r>
      <w:r w:rsidR="002A58CE">
        <w:rPr>
          <w:color w:val="000000" w:themeColor="text1"/>
          <w:szCs w:val="20"/>
        </w:rPr>
        <w:t xml:space="preserve">Pasture </w:t>
      </w:r>
      <w:r w:rsidR="001B3DD5" w:rsidRPr="00136B0B">
        <w:rPr>
          <w:color w:val="000000" w:themeColor="text1"/>
          <w:szCs w:val="20"/>
        </w:rPr>
        <w:t xml:space="preserve">fertiliser </w:t>
      </w:r>
      <w:r w:rsidR="002A58CE">
        <w:rPr>
          <w:color w:val="000000" w:themeColor="text1"/>
          <w:szCs w:val="20"/>
        </w:rPr>
        <w:t xml:space="preserve">remained </w:t>
      </w:r>
      <w:r w:rsidR="001B3DD5" w:rsidRPr="00136B0B">
        <w:rPr>
          <w:color w:val="000000" w:themeColor="text1"/>
          <w:szCs w:val="20"/>
        </w:rPr>
        <w:t>the largest cost item on Gippsland farms in 202</w:t>
      </w:r>
      <w:r w:rsidR="00CA213E">
        <w:rPr>
          <w:color w:val="000000" w:themeColor="text1"/>
          <w:szCs w:val="20"/>
        </w:rPr>
        <w:t>4</w:t>
      </w:r>
      <w:r w:rsidR="001B3DD5" w:rsidRPr="00136B0B">
        <w:rPr>
          <w:color w:val="000000" w:themeColor="text1"/>
          <w:szCs w:val="20"/>
        </w:rPr>
        <w:t>-2</w:t>
      </w:r>
      <w:r w:rsidR="00CA213E">
        <w:rPr>
          <w:color w:val="000000" w:themeColor="text1"/>
          <w:szCs w:val="20"/>
        </w:rPr>
        <w:t>5</w:t>
      </w:r>
      <w:r w:rsidR="001B3DD5" w:rsidRPr="00136B0B">
        <w:rPr>
          <w:color w:val="000000" w:themeColor="text1"/>
          <w:szCs w:val="20"/>
        </w:rPr>
        <w:t>, making up 1</w:t>
      </w:r>
      <w:r w:rsidR="00CA213E">
        <w:rPr>
          <w:color w:val="000000" w:themeColor="text1"/>
          <w:szCs w:val="20"/>
        </w:rPr>
        <w:t>5</w:t>
      </w:r>
      <w:r w:rsidR="001B3DD5" w:rsidRPr="00136B0B">
        <w:rPr>
          <w:color w:val="000000" w:themeColor="text1"/>
          <w:szCs w:val="20"/>
        </w:rPr>
        <w:t xml:space="preserve">% of </w:t>
      </w:r>
      <w:r w:rsidR="004C76D8">
        <w:rPr>
          <w:color w:val="000000" w:themeColor="text1"/>
          <w:szCs w:val="20"/>
        </w:rPr>
        <w:t xml:space="preserve">average farm </w:t>
      </w:r>
      <w:r w:rsidR="001B3DD5" w:rsidRPr="00136B0B">
        <w:rPr>
          <w:color w:val="000000" w:themeColor="text1"/>
          <w:szCs w:val="20"/>
        </w:rPr>
        <w:t>cash operating costs.</w:t>
      </w:r>
    </w:p>
    <w:p w14:paraId="2BAAC7E6" w14:textId="08CC9106" w:rsidR="00653CDB" w:rsidRDefault="008752BF" w:rsidP="006067AD">
      <w:pPr>
        <w:keepNext/>
      </w:pPr>
      <w:r>
        <w:rPr>
          <w:noProof/>
        </w:rPr>
        <w:drawing>
          <wp:inline distT="0" distB="0" distL="0" distR="0" wp14:anchorId="014A1EAD" wp14:editId="4ACFAD37">
            <wp:extent cx="2879725" cy="1414639"/>
            <wp:effectExtent l="0" t="0" r="0" b="0"/>
            <wp:docPr id="1896623172" name="Picture 3" descr="Gippsland farms average expenditure ($/ha) on fertiliser applied to pasture (2019-20 to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23172" name="Picture 3" descr="Gippsland farms average expenditure ($/ha) on fertiliser applied to pasture (2019-20 to 2024-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92261" cy="1420797"/>
                    </a:xfrm>
                    <a:prstGeom prst="rect">
                      <a:avLst/>
                    </a:prstGeom>
                    <a:noFill/>
                  </pic:spPr>
                </pic:pic>
              </a:graphicData>
            </a:graphic>
          </wp:inline>
        </w:drawing>
      </w:r>
    </w:p>
    <w:p w14:paraId="53691E2A" w14:textId="3654C80D" w:rsidR="00576EF0" w:rsidRPr="00E30C02" w:rsidRDefault="00653CDB" w:rsidP="006067AD">
      <w:pPr>
        <w:pStyle w:val="Caption"/>
      </w:pPr>
      <w:bookmarkStart w:id="25" w:name="_Ref179808705"/>
      <w:r>
        <w:t xml:space="preserve">Figure </w:t>
      </w:r>
      <w:r>
        <w:fldChar w:fldCharType="begin"/>
      </w:r>
      <w:r>
        <w:instrText>SEQ Figure \* ARABIC</w:instrText>
      </w:r>
      <w:r>
        <w:fldChar w:fldCharType="separate"/>
      </w:r>
      <w:r w:rsidR="00EF38F6">
        <w:rPr>
          <w:noProof/>
        </w:rPr>
        <w:t>9</w:t>
      </w:r>
      <w:r>
        <w:fldChar w:fldCharType="end"/>
      </w:r>
      <w:bookmarkEnd w:id="25"/>
      <w:r w:rsidRPr="000A6AD7">
        <w:t xml:space="preserve">. </w:t>
      </w:r>
      <w:r w:rsidR="00966E8E">
        <w:t>Gippsland farms a</w:t>
      </w:r>
      <w:r w:rsidRPr="000A6AD7">
        <w:t xml:space="preserve">verage </w:t>
      </w:r>
      <w:r w:rsidR="00966E8E">
        <w:t>expenditure</w:t>
      </w:r>
      <w:r w:rsidR="0023213E">
        <w:t xml:space="preserve"> ($/ha)</w:t>
      </w:r>
      <w:r w:rsidR="00966E8E">
        <w:t xml:space="preserve"> on</w:t>
      </w:r>
      <w:r w:rsidRPr="000A6AD7">
        <w:t xml:space="preserve"> fertiliser applied to pasture</w:t>
      </w:r>
      <w:r w:rsidR="00966E8E">
        <w:t xml:space="preserve"> (2019-20 to 202</w:t>
      </w:r>
      <w:r w:rsidR="008752BF">
        <w:t>4</w:t>
      </w:r>
      <w:r w:rsidR="00966E8E">
        <w:t>-2</w:t>
      </w:r>
      <w:r w:rsidR="008752BF">
        <w:t>5</w:t>
      </w:r>
      <w:r w:rsidR="00966E8E">
        <w:t>)</w:t>
      </w:r>
    </w:p>
    <w:p w14:paraId="5C2DCE9D" w14:textId="5E3BEFA4" w:rsidR="006D3433" w:rsidRDefault="00274561" w:rsidP="00D36D0C">
      <w:pPr>
        <w:rPr>
          <w:color w:val="000000" w:themeColor="text1"/>
          <w:szCs w:val="20"/>
        </w:rPr>
      </w:pPr>
      <w:r w:rsidRPr="0077645A">
        <w:rPr>
          <w:color w:val="000000" w:themeColor="text1"/>
          <w:szCs w:val="20"/>
        </w:rPr>
        <w:t xml:space="preserve">Gippsland farms received </w:t>
      </w:r>
      <w:r>
        <w:rPr>
          <w:color w:val="000000" w:themeColor="text1"/>
          <w:szCs w:val="20"/>
        </w:rPr>
        <w:t>85</w:t>
      </w:r>
      <w:r w:rsidRPr="0077645A">
        <w:rPr>
          <w:color w:val="000000" w:themeColor="text1"/>
          <w:szCs w:val="20"/>
        </w:rPr>
        <w:t xml:space="preserve">% of their long-term average </w:t>
      </w:r>
      <w:r>
        <w:rPr>
          <w:color w:val="000000" w:themeColor="text1"/>
          <w:szCs w:val="20"/>
        </w:rPr>
        <w:t>annual</w:t>
      </w:r>
      <w:r w:rsidRPr="0077645A">
        <w:rPr>
          <w:color w:val="000000" w:themeColor="text1"/>
          <w:szCs w:val="20"/>
        </w:rPr>
        <w:t xml:space="preserve"> rainfall</w:t>
      </w:r>
      <w:r>
        <w:rPr>
          <w:color w:val="000000" w:themeColor="text1"/>
          <w:szCs w:val="20"/>
        </w:rPr>
        <w:t xml:space="preserve"> </w:t>
      </w:r>
      <w:r w:rsidRPr="0077645A">
        <w:rPr>
          <w:color w:val="000000" w:themeColor="text1"/>
          <w:szCs w:val="20"/>
        </w:rPr>
        <w:t>(Appendix D2)</w:t>
      </w:r>
      <w:r w:rsidR="00E541FD">
        <w:rPr>
          <w:color w:val="000000" w:themeColor="text1"/>
          <w:szCs w:val="20"/>
        </w:rPr>
        <w:t>.</w:t>
      </w:r>
      <w:r w:rsidR="00E91242">
        <w:rPr>
          <w:color w:val="000000" w:themeColor="text1"/>
          <w:szCs w:val="20"/>
        </w:rPr>
        <w:t xml:space="preserve"> </w:t>
      </w:r>
      <w:r w:rsidR="00DB034C">
        <w:rPr>
          <w:color w:val="000000" w:themeColor="text1"/>
          <w:szCs w:val="20"/>
        </w:rPr>
        <w:t xml:space="preserve">Increased </w:t>
      </w:r>
      <w:r w:rsidR="00E91242">
        <w:rPr>
          <w:color w:val="000000" w:themeColor="text1"/>
          <w:szCs w:val="20"/>
        </w:rPr>
        <w:t xml:space="preserve">quantities and </w:t>
      </w:r>
      <w:r w:rsidR="00DB034C">
        <w:rPr>
          <w:color w:val="000000" w:themeColor="text1"/>
          <w:szCs w:val="20"/>
        </w:rPr>
        <w:t>rate</w:t>
      </w:r>
      <w:r w:rsidR="002D2E59">
        <w:rPr>
          <w:color w:val="000000" w:themeColor="text1"/>
          <w:szCs w:val="20"/>
        </w:rPr>
        <w:t>s</w:t>
      </w:r>
      <w:r w:rsidR="00E91242">
        <w:rPr>
          <w:color w:val="000000" w:themeColor="text1"/>
          <w:szCs w:val="20"/>
        </w:rPr>
        <w:t xml:space="preserve"> of supplementary feeding to all</w:t>
      </w:r>
      <w:r w:rsidR="004C6794">
        <w:rPr>
          <w:color w:val="000000" w:themeColor="text1"/>
          <w:szCs w:val="20"/>
        </w:rPr>
        <w:t xml:space="preserve"> </w:t>
      </w:r>
      <w:r w:rsidR="006B3CAC">
        <w:rPr>
          <w:color w:val="000000" w:themeColor="text1"/>
          <w:szCs w:val="20"/>
        </w:rPr>
        <w:t xml:space="preserve">types of </w:t>
      </w:r>
      <w:r w:rsidR="004C6794">
        <w:rPr>
          <w:color w:val="000000" w:themeColor="text1"/>
          <w:szCs w:val="20"/>
        </w:rPr>
        <w:t xml:space="preserve">enterprises resulted in a 35% increase in purchased supplementary feed cost </w:t>
      </w:r>
      <w:r w:rsidR="00B7061B">
        <w:rPr>
          <w:color w:val="000000" w:themeColor="text1"/>
          <w:szCs w:val="20"/>
        </w:rPr>
        <w:t>(</w:t>
      </w:r>
      <w:r w:rsidR="00B7061B">
        <w:rPr>
          <w:color w:val="000000" w:themeColor="text1"/>
          <w:szCs w:val="20"/>
        </w:rPr>
        <w:fldChar w:fldCharType="begin"/>
      </w:r>
      <w:r w:rsidR="00B7061B">
        <w:rPr>
          <w:color w:val="000000" w:themeColor="text1"/>
          <w:szCs w:val="20"/>
        </w:rPr>
        <w:instrText xml:space="preserve"> REF _Ref148967921 \h </w:instrText>
      </w:r>
      <w:r w:rsidR="00B7061B">
        <w:rPr>
          <w:color w:val="000000" w:themeColor="text1"/>
          <w:szCs w:val="20"/>
        </w:rPr>
      </w:r>
      <w:r w:rsidR="00B7061B">
        <w:rPr>
          <w:color w:val="000000" w:themeColor="text1"/>
          <w:szCs w:val="20"/>
        </w:rPr>
        <w:fldChar w:fldCharType="separate"/>
      </w:r>
      <w:r w:rsidR="00B7061B">
        <w:t xml:space="preserve">Figure </w:t>
      </w:r>
      <w:r w:rsidR="00B7061B">
        <w:rPr>
          <w:noProof/>
        </w:rPr>
        <w:t>10</w:t>
      </w:r>
      <w:r w:rsidR="00B7061B">
        <w:rPr>
          <w:color w:val="000000" w:themeColor="text1"/>
          <w:szCs w:val="20"/>
        </w:rPr>
        <w:fldChar w:fldCharType="end"/>
      </w:r>
      <w:r w:rsidR="00B7061B">
        <w:rPr>
          <w:color w:val="000000" w:themeColor="text1"/>
          <w:szCs w:val="20"/>
        </w:rPr>
        <w:t>)</w:t>
      </w:r>
      <w:r w:rsidR="004032CC">
        <w:rPr>
          <w:color w:val="000000" w:themeColor="text1"/>
          <w:szCs w:val="20"/>
        </w:rPr>
        <w:t>.</w:t>
      </w:r>
      <w:r w:rsidR="00B7061B">
        <w:rPr>
          <w:color w:val="000000" w:themeColor="text1"/>
          <w:szCs w:val="20"/>
        </w:rPr>
        <w:t xml:space="preserve"> </w:t>
      </w:r>
    </w:p>
    <w:p w14:paraId="3BE97D7D" w14:textId="298E6901" w:rsidR="007F220B" w:rsidRPr="00D36D0C" w:rsidRDefault="00D36D0C" w:rsidP="00D36D0C">
      <w:pPr>
        <w:rPr>
          <w:color w:val="C00000"/>
          <w:szCs w:val="20"/>
        </w:rPr>
      </w:pPr>
      <w:r>
        <w:rPr>
          <w:noProof/>
        </w:rPr>
        <w:drawing>
          <wp:inline distT="0" distB="0" distL="0" distR="0" wp14:anchorId="01B565EA" wp14:editId="0BA04640">
            <wp:extent cx="2640965" cy="1391588"/>
            <wp:effectExtent l="0" t="0" r="6985" b="0"/>
            <wp:docPr id="893352572" name="Picture 4" descr="Gippsland farms average expenditure ($/ha) on purchased supplementary feed (2019-20 to 20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52572" name="Picture 4" descr="Gippsland farms average expenditure ($/ha) on purchased supplementary feed (2019-20 to 2024-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40965" cy="1391588"/>
                    </a:xfrm>
                    <a:prstGeom prst="rect">
                      <a:avLst/>
                    </a:prstGeom>
                    <a:noFill/>
                  </pic:spPr>
                </pic:pic>
              </a:graphicData>
            </a:graphic>
          </wp:inline>
        </w:drawing>
      </w:r>
      <w:bookmarkStart w:id="26" w:name="_Ref148967921"/>
      <w:r w:rsidR="00ED067E">
        <w:t xml:space="preserve">Figure </w:t>
      </w:r>
      <w:r w:rsidR="00ED067E">
        <w:fldChar w:fldCharType="begin"/>
      </w:r>
      <w:r w:rsidR="00ED067E">
        <w:instrText>SEQ Figure \* ARABIC</w:instrText>
      </w:r>
      <w:r w:rsidR="00ED067E">
        <w:fldChar w:fldCharType="separate"/>
      </w:r>
      <w:r w:rsidR="00EF38F6">
        <w:rPr>
          <w:noProof/>
        </w:rPr>
        <w:t>10</w:t>
      </w:r>
      <w:r w:rsidR="00ED067E">
        <w:fldChar w:fldCharType="end"/>
      </w:r>
      <w:bookmarkEnd w:id="26"/>
      <w:r w:rsidR="00ED067E" w:rsidRPr="000A6AD7">
        <w:t>.</w:t>
      </w:r>
      <w:r w:rsidR="00ED067E">
        <w:t xml:space="preserve"> </w:t>
      </w:r>
      <w:r w:rsidR="00F73AE1">
        <w:t>Gippsland farms a</w:t>
      </w:r>
      <w:r w:rsidR="000614B5" w:rsidRPr="000614B5">
        <w:t xml:space="preserve">verage </w:t>
      </w:r>
      <w:r w:rsidR="00F73AE1">
        <w:t>expenditure</w:t>
      </w:r>
      <w:r w:rsidR="0023213E">
        <w:t xml:space="preserve"> ($/ha)</w:t>
      </w:r>
      <w:r w:rsidR="000614B5" w:rsidRPr="000614B5">
        <w:t xml:space="preserve"> </w:t>
      </w:r>
      <w:r w:rsidR="00F73AE1">
        <w:t>on</w:t>
      </w:r>
      <w:r w:rsidR="000614B5" w:rsidRPr="000614B5">
        <w:t xml:space="preserve"> </w:t>
      </w:r>
      <w:r w:rsidR="000614B5">
        <w:t>purchased supplementary</w:t>
      </w:r>
      <w:r w:rsidR="00586EA7">
        <w:t xml:space="preserve"> feed</w:t>
      </w:r>
      <w:r w:rsidR="00966E8E">
        <w:t xml:space="preserve"> (2019-20 to 202</w:t>
      </w:r>
      <w:r w:rsidR="00B42B18">
        <w:t>4</w:t>
      </w:r>
      <w:r w:rsidR="00966E8E">
        <w:t>-24)</w:t>
      </w:r>
    </w:p>
    <w:p w14:paraId="6B0E73D1" w14:textId="77777777" w:rsidR="00A87448" w:rsidRPr="002968F6" w:rsidRDefault="00A87448" w:rsidP="00A87448">
      <w:pPr>
        <w:pStyle w:val="Heading3"/>
        <w:rPr>
          <w:b/>
          <w:bCs/>
        </w:rPr>
      </w:pPr>
      <w:bookmarkStart w:id="27" w:name="_Toc214610573"/>
      <w:r w:rsidRPr="002968F6">
        <w:rPr>
          <w:b/>
          <w:bCs/>
        </w:rPr>
        <w:t xml:space="preserve">Price </w:t>
      </w:r>
      <w:r>
        <w:rPr>
          <w:b/>
          <w:bCs/>
        </w:rPr>
        <w:t>r</w:t>
      </w:r>
      <w:r w:rsidRPr="002968F6">
        <w:rPr>
          <w:b/>
          <w:bCs/>
        </w:rPr>
        <w:t>eceived</w:t>
      </w:r>
      <w:bookmarkEnd w:id="27"/>
    </w:p>
    <w:p w14:paraId="738022E0" w14:textId="77777777" w:rsidR="00586C2F" w:rsidRPr="00586C2F" w:rsidRDefault="00586C2F" w:rsidP="00AA15AC"/>
    <w:p w14:paraId="40B6767D" w14:textId="77777777" w:rsidR="00363A73" w:rsidRPr="00363A73" w:rsidRDefault="00363A73" w:rsidP="00AA15AC"/>
    <w:p w14:paraId="542E927C" w14:textId="09EF982A" w:rsidR="00B01593" w:rsidRDefault="00BE7982" w:rsidP="00A50700">
      <w:pPr>
        <w:keepNext/>
      </w:pPr>
      <w:r>
        <w:rPr>
          <w:noProof/>
        </w:rPr>
        <w:lastRenderedPageBreak/>
        <w:drawing>
          <wp:inline distT="0" distB="0" distL="0" distR="0" wp14:anchorId="5EE39056" wp14:editId="237D43F2">
            <wp:extent cx="2677930" cy="1609725"/>
            <wp:effectExtent l="0" t="0" r="8255" b="0"/>
            <wp:docPr id="682138996" name="Picture 6" descr="Gippsland average gross farm income ($/ha) and 10-year average gross farm income (line) (2015-16 to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38996" name="Picture 6" descr="Gippsland average gross farm income ($/ha) and 10-year average gross farm income (line) (2015-16 to 2024-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80889" cy="1611504"/>
                    </a:xfrm>
                    <a:prstGeom prst="rect">
                      <a:avLst/>
                    </a:prstGeom>
                    <a:noFill/>
                  </pic:spPr>
                </pic:pic>
              </a:graphicData>
            </a:graphic>
          </wp:inline>
        </w:drawing>
      </w:r>
    </w:p>
    <w:p w14:paraId="44C77937" w14:textId="06125649" w:rsidR="00AD0698" w:rsidRPr="00D7041A" w:rsidRDefault="00B01593" w:rsidP="00474887">
      <w:pPr>
        <w:pStyle w:val="Caption"/>
        <w:rPr>
          <w:color w:val="FF0000"/>
        </w:rPr>
      </w:pPr>
      <w:bookmarkStart w:id="28" w:name="_Ref179808180"/>
      <w:bookmarkStart w:id="29" w:name="_Ref179808168"/>
      <w:r>
        <w:t xml:space="preserve">Figure </w:t>
      </w:r>
      <w:r>
        <w:fldChar w:fldCharType="begin"/>
      </w:r>
      <w:r>
        <w:instrText>SEQ Figure \* ARABIC</w:instrText>
      </w:r>
      <w:r>
        <w:fldChar w:fldCharType="separate"/>
      </w:r>
      <w:r w:rsidR="00EF38F6">
        <w:rPr>
          <w:noProof/>
        </w:rPr>
        <w:t>11</w:t>
      </w:r>
      <w:r>
        <w:fldChar w:fldCharType="end"/>
      </w:r>
      <w:bookmarkEnd w:id="28"/>
      <w:r w:rsidRPr="000A6AD7">
        <w:t xml:space="preserve">. </w:t>
      </w:r>
      <w:r w:rsidR="00926061">
        <w:t xml:space="preserve">Gippsland </w:t>
      </w:r>
      <w:r w:rsidR="0077722B">
        <w:t>average g</w:t>
      </w:r>
      <w:r w:rsidR="00BE7982">
        <w:t xml:space="preserve">ross </w:t>
      </w:r>
      <w:r w:rsidR="0077722B">
        <w:t>f</w:t>
      </w:r>
      <w:r w:rsidR="00BE7982">
        <w:t>arm income ($/ha)</w:t>
      </w:r>
      <w:r w:rsidR="0077133A">
        <w:t xml:space="preserve"> and 10-year average gross farm income (line)</w:t>
      </w:r>
      <w:r w:rsidR="00ED04B1">
        <w:t xml:space="preserve"> </w:t>
      </w:r>
      <w:r w:rsidR="00A22368">
        <w:t>(20</w:t>
      </w:r>
      <w:r w:rsidR="00886891">
        <w:t>1</w:t>
      </w:r>
      <w:r w:rsidR="002A6A94">
        <w:t>5</w:t>
      </w:r>
      <w:r w:rsidR="00886891">
        <w:t>-1</w:t>
      </w:r>
      <w:r w:rsidR="002A6A94">
        <w:t>6</w:t>
      </w:r>
      <w:r w:rsidR="00886891">
        <w:t xml:space="preserve"> to</w:t>
      </w:r>
      <w:r w:rsidR="005A3D83">
        <w:t xml:space="preserve"> 202</w:t>
      </w:r>
      <w:r w:rsidR="002A6A94">
        <w:t>4</w:t>
      </w:r>
      <w:r w:rsidR="005A3D83">
        <w:t>-2</w:t>
      </w:r>
      <w:r w:rsidR="002A6A94">
        <w:t>5</w:t>
      </w:r>
      <w:r w:rsidR="00886891">
        <w:t>)</w:t>
      </w:r>
      <w:r w:rsidR="005A3D83">
        <w:t>.</w:t>
      </w:r>
      <w:bookmarkEnd w:id="29"/>
    </w:p>
    <w:p w14:paraId="7D7D36BA" w14:textId="7E3976E9" w:rsidR="0072419C" w:rsidRPr="00DF0DEF" w:rsidRDefault="0007294A" w:rsidP="0072419C">
      <w:pPr>
        <w:rPr>
          <w:color w:val="000000" w:themeColor="text1"/>
          <w:szCs w:val="20"/>
        </w:rPr>
      </w:pPr>
      <w:r>
        <w:rPr>
          <w:color w:val="000000" w:themeColor="text1"/>
          <w:szCs w:val="20"/>
        </w:rPr>
        <w:t>Cattle sales</w:t>
      </w:r>
      <w:r w:rsidR="00C943A6">
        <w:rPr>
          <w:color w:val="000000" w:themeColor="text1"/>
          <w:szCs w:val="20"/>
        </w:rPr>
        <w:t xml:space="preserve"> made up </w:t>
      </w:r>
      <w:r w:rsidR="009D1534">
        <w:rPr>
          <w:color w:val="000000" w:themeColor="text1"/>
          <w:szCs w:val="20"/>
        </w:rPr>
        <w:t>73% of average farm income</w:t>
      </w:r>
      <w:r w:rsidR="00A74830">
        <w:rPr>
          <w:color w:val="000000" w:themeColor="text1"/>
          <w:szCs w:val="20"/>
        </w:rPr>
        <w:t xml:space="preserve"> </w:t>
      </w:r>
      <w:r w:rsidR="00A74830" w:rsidRPr="00DF0DEF">
        <w:rPr>
          <w:color w:val="000000" w:themeColor="text1"/>
          <w:szCs w:val="20"/>
        </w:rPr>
        <w:t>(Appendix D3)</w:t>
      </w:r>
      <w:r w:rsidR="006E3AE2">
        <w:rPr>
          <w:color w:val="000000" w:themeColor="text1"/>
          <w:szCs w:val="20"/>
        </w:rPr>
        <w:t xml:space="preserve">, making beef enterprises the dominant </w:t>
      </w:r>
      <w:r w:rsidR="003F581F">
        <w:rPr>
          <w:color w:val="000000" w:themeColor="text1"/>
          <w:szCs w:val="20"/>
        </w:rPr>
        <w:t>enterprise</w:t>
      </w:r>
      <w:r w:rsidR="002E029F">
        <w:rPr>
          <w:color w:val="000000" w:themeColor="text1"/>
          <w:szCs w:val="20"/>
        </w:rPr>
        <w:t xml:space="preserve"> on Gippsland </w:t>
      </w:r>
      <w:r w:rsidR="005136FB" w:rsidRPr="00DF0DEF">
        <w:rPr>
          <w:color w:val="000000" w:themeColor="text1"/>
          <w:szCs w:val="20"/>
        </w:rPr>
        <w:t>farms</w:t>
      </w:r>
      <w:r w:rsidR="00C72F6A">
        <w:rPr>
          <w:color w:val="000000" w:themeColor="text1"/>
          <w:szCs w:val="20"/>
        </w:rPr>
        <w:t xml:space="preserve"> in 202</w:t>
      </w:r>
      <w:r w:rsidR="002A6A94">
        <w:rPr>
          <w:color w:val="000000" w:themeColor="text1"/>
          <w:szCs w:val="20"/>
        </w:rPr>
        <w:t>4</w:t>
      </w:r>
      <w:r w:rsidR="00C72F6A">
        <w:rPr>
          <w:color w:val="000000" w:themeColor="text1"/>
          <w:szCs w:val="20"/>
        </w:rPr>
        <w:t>-2</w:t>
      </w:r>
      <w:r w:rsidR="002A6A94">
        <w:rPr>
          <w:color w:val="000000" w:themeColor="text1"/>
          <w:szCs w:val="20"/>
        </w:rPr>
        <w:t>5</w:t>
      </w:r>
      <w:r w:rsidR="00C72F6A">
        <w:rPr>
          <w:color w:val="000000" w:themeColor="text1"/>
          <w:szCs w:val="20"/>
        </w:rPr>
        <w:t xml:space="preserve">. </w:t>
      </w:r>
      <w:r w:rsidR="006D45AC">
        <w:rPr>
          <w:color w:val="000000" w:themeColor="text1"/>
          <w:szCs w:val="20"/>
        </w:rPr>
        <w:t>B</w:t>
      </w:r>
      <w:r w:rsidR="005D3167">
        <w:rPr>
          <w:color w:val="000000" w:themeColor="text1"/>
          <w:szCs w:val="20"/>
        </w:rPr>
        <w:t xml:space="preserve">eef prices </w:t>
      </w:r>
      <w:r w:rsidR="00FB2347">
        <w:rPr>
          <w:color w:val="000000" w:themeColor="text1"/>
          <w:szCs w:val="20"/>
        </w:rPr>
        <w:t>increase</w:t>
      </w:r>
      <w:r w:rsidR="006D45AC">
        <w:rPr>
          <w:color w:val="000000" w:themeColor="text1"/>
          <w:szCs w:val="20"/>
        </w:rPr>
        <w:t>d</w:t>
      </w:r>
      <w:r w:rsidR="009E33A0">
        <w:rPr>
          <w:color w:val="000000" w:themeColor="text1"/>
          <w:szCs w:val="20"/>
        </w:rPr>
        <w:t xml:space="preserve"> </w:t>
      </w:r>
      <w:r w:rsidR="005F547C">
        <w:rPr>
          <w:color w:val="000000" w:themeColor="text1"/>
          <w:szCs w:val="20"/>
        </w:rPr>
        <w:t xml:space="preserve">(+14%) </w:t>
      </w:r>
      <w:r w:rsidR="009E33A0">
        <w:rPr>
          <w:color w:val="000000" w:themeColor="text1"/>
          <w:szCs w:val="20"/>
        </w:rPr>
        <w:t>from 2023-24</w:t>
      </w:r>
      <w:r w:rsidR="00BC2DBB" w:rsidRPr="00DF0DEF">
        <w:rPr>
          <w:color w:val="000000" w:themeColor="text1"/>
          <w:szCs w:val="20"/>
        </w:rPr>
        <w:t xml:space="preserve"> </w:t>
      </w:r>
      <w:r w:rsidR="006D45AC">
        <w:rPr>
          <w:color w:val="000000" w:themeColor="text1"/>
          <w:szCs w:val="20"/>
        </w:rPr>
        <w:t>but</w:t>
      </w:r>
      <w:r w:rsidR="0091048A">
        <w:rPr>
          <w:color w:val="000000" w:themeColor="text1"/>
          <w:szCs w:val="20"/>
        </w:rPr>
        <w:t xml:space="preserve"> remained below 5-</w:t>
      </w:r>
      <w:r w:rsidR="0096634E">
        <w:rPr>
          <w:color w:val="000000" w:themeColor="text1"/>
          <w:szCs w:val="20"/>
        </w:rPr>
        <w:t xml:space="preserve">and 10-year average price received. </w:t>
      </w:r>
      <w:r w:rsidR="00CF63A2">
        <w:rPr>
          <w:color w:val="000000" w:themeColor="text1"/>
          <w:szCs w:val="20"/>
        </w:rPr>
        <w:t xml:space="preserve">Average </w:t>
      </w:r>
      <w:r w:rsidR="00F51B0C">
        <w:rPr>
          <w:color w:val="000000" w:themeColor="text1"/>
          <w:szCs w:val="20"/>
        </w:rPr>
        <w:t xml:space="preserve">wool </w:t>
      </w:r>
      <w:r w:rsidR="00CF63A2">
        <w:rPr>
          <w:color w:val="000000" w:themeColor="text1"/>
          <w:szCs w:val="20"/>
        </w:rPr>
        <w:t>p</w:t>
      </w:r>
      <w:r w:rsidR="00F55CA4">
        <w:rPr>
          <w:color w:val="000000" w:themeColor="text1"/>
          <w:szCs w:val="20"/>
        </w:rPr>
        <w:t xml:space="preserve">rice received </w:t>
      </w:r>
      <w:r w:rsidR="00B47842">
        <w:rPr>
          <w:color w:val="000000" w:themeColor="text1"/>
          <w:szCs w:val="20"/>
        </w:rPr>
        <w:t xml:space="preserve">dropped </w:t>
      </w:r>
      <w:r w:rsidR="00690D6D">
        <w:rPr>
          <w:color w:val="000000" w:themeColor="text1"/>
          <w:szCs w:val="20"/>
        </w:rPr>
        <w:t xml:space="preserve">by 14% from 2023-24 </w:t>
      </w:r>
      <w:r w:rsidR="00B47842">
        <w:rPr>
          <w:color w:val="000000" w:themeColor="text1"/>
          <w:szCs w:val="20"/>
        </w:rPr>
        <w:t xml:space="preserve">to the lowest </w:t>
      </w:r>
      <w:r w:rsidR="00A571D6">
        <w:rPr>
          <w:color w:val="000000" w:themeColor="text1"/>
          <w:szCs w:val="20"/>
        </w:rPr>
        <w:t xml:space="preserve">price received </w:t>
      </w:r>
      <w:r w:rsidR="00AF6FE6">
        <w:rPr>
          <w:color w:val="000000" w:themeColor="text1"/>
          <w:szCs w:val="20"/>
        </w:rPr>
        <w:t>in a decade</w:t>
      </w:r>
      <w:r w:rsidR="00115FCE">
        <w:rPr>
          <w:color w:val="000000" w:themeColor="text1"/>
          <w:szCs w:val="20"/>
        </w:rPr>
        <w:t>.</w:t>
      </w:r>
      <w:r w:rsidR="006607E9">
        <w:rPr>
          <w:color w:val="000000" w:themeColor="text1"/>
          <w:szCs w:val="20"/>
        </w:rPr>
        <w:t xml:space="preserve"> </w:t>
      </w:r>
      <w:r w:rsidR="00FB4490">
        <w:rPr>
          <w:color w:val="000000" w:themeColor="text1"/>
          <w:szCs w:val="20"/>
        </w:rPr>
        <w:t xml:space="preserve">Beef and wool </w:t>
      </w:r>
      <w:r w:rsidR="00934D45">
        <w:rPr>
          <w:color w:val="000000" w:themeColor="text1"/>
          <w:szCs w:val="20"/>
        </w:rPr>
        <w:t xml:space="preserve">livestock trading </w:t>
      </w:r>
      <w:r w:rsidR="00DA30F4">
        <w:rPr>
          <w:color w:val="000000" w:themeColor="text1"/>
          <w:szCs w:val="20"/>
        </w:rPr>
        <w:t xml:space="preserve">profits were affected by </w:t>
      </w:r>
      <w:r w:rsidR="00FB4490">
        <w:rPr>
          <w:color w:val="000000" w:themeColor="text1"/>
          <w:szCs w:val="20"/>
        </w:rPr>
        <w:t>reduced</w:t>
      </w:r>
      <w:r w:rsidR="00DA30F4">
        <w:rPr>
          <w:color w:val="000000" w:themeColor="text1"/>
          <w:szCs w:val="20"/>
        </w:rPr>
        <w:t xml:space="preserve"> stock inventories</w:t>
      </w:r>
      <w:r w:rsidR="00FB4490">
        <w:rPr>
          <w:color w:val="000000" w:themeColor="text1"/>
          <w:szCs w:val="20"/>
        </w:rPr>
        <w:t xml:space="preserve"> </w:t>
      </w:r>
      <w:r w:rsidR="00C65A33">
        <w:rPr>
          <w:color w:val="000000" w:themeColor="text1"/>
          <w:szCs w:val="20"/>
        </w:rPr>
        <w:t>as dry conditions led to additional</w:t>
      </w:r>
      <w:r w:rsidR="00FB4490">
        <w:rPr>
          <w:color w:val="000000" w:themeColor="text1"/>
          <w:szCs w:val="20"/>
        </w:rPr>
        <w:t xml:space="preserve"> sales and destocking</w:t>
      </w:r>
      <w:r w:rsidR="00FB4490" w:rsidRPr="00DF0DEF">
        <w:rPr>
          <w:color w:val="000000" w:themeColor="text1"/>
          <w:szCs w:val="20"/>
        </w:rPr>
        <w:t xml:space="preserve">. </w:t>
      </w:r>
      <w:r w:rsidR="006607E9">
        <w:rPr>
          <w:color w:val="000000" w:themeColor="text1"/>
          <w:szCs w:val="20"/>
        </w:rPr>
        <w:t>The low</w:t>
      </w:r>
      <w:r w:rsidR="006D08F5">
        <w:rPr>
          <w:color w:val="000000" w:themeColor="text1"/>
          <w:szCs w:val="20"/>
        </w:rPr>
        <w:t xml:space="preserve"> </w:t>
      </w:r>
      <w:r w:rsidR="006607E9">
        <w:rPr>
          <w:color w:val="000000" w:themeColor="text1"/>
          <w:szCs w:val="20"/>
        </w:rPr>
        <w:t>price received for wool</w:t>
      </w:r>
      <w:r w:rsidR="00875D10">
        <w:rPr>
          <w:color w:val="000000" w:themeColor="text1"/>
          <w:szCs w:val="20"/>
        </w:rPr>
        <w:t xml:space="preserve"> and beef </w:t>
      </w:r>
      <w:r w:rsidR="00934D45">
        <w:rPr>
          <w:color w:val="000000" w:themeColor="text1"/>
          <w:szCs w:val="20"/>
        </w:rPr>
        <w:t xml:space="preserve">coupled with reduced inventories </w:t>
      </w:r>
      <w:r w:rsidR="00875D10">
        <w:rPr>
          <w:color w:val="000000" w:themeColor="text1"/>
          <w:szCs w:val="20"/>
        </w:rPr>
        <w:t>mean</w:t>
      </w:r>
      <w:r w:rsidR="004A5A9E">
        <w:rPr>
          <w:color w:val="000000" w:themeColor="text1"/>
          <w:szCs w:val="20"/>
        </w:rPr>
        <w:t>t</w:t>
      </w:r>
      <w:r w:rsidR="00875D10">
        <w:rPr>
          <w:color w:val="000000" w:themeColor="text1"/>
          <w:szCs w:val="20"/>
        </w:rPr>
        <w:t xml:space="preserve"> gross farm income</w:t>
      </w:r>
      <w:r w:rsidR="004A5A9E">
        <w:rPr>
          <w:color w:val="000000" w:themeColor="text1"/>
          <w:szCs w:val="20"/>
        </w:rPr>
        <w:t xml:space="preserve"> dropped </w:t>
      </w:r>
      <w:r w:rsidR="002D53E6">
        <w:rPr>
          <w:color w:val="000000" w:themeColor="text1"/>
          <w:szCs w:val="20"/>
        </w:rPr>
        <w:t>in 2024-25 to below the regional 10-year average</w:t>
      </w:r>
      <w:r w:rsidR="00875D10">
        <w:rPr>
          <w:color w:val="000000" w:themeColor="text1"/>
          <w:szCs w:val="20"/>
        </w:rPr>
        <w:t xml:space="preserve"> (</w:t>
      </w:r>
      <w:r w:rsidR="00875D10">
        <w:rPr>
          <w:color w:val="000000" w:themeColor="text1"/>
          <w:szCs w:val="20"/>
        </w:rPr>
        <w:fldChar w:fldCharType="begin"/>
      </w:r>
      <w:r w:rsidR="00875D10">
        <w:rPr>
          <w:color w:val="000000" w:themeColor="text1"/>
          <w:szCs w:val="20"/>
        </w:rPr>
        <w:instrText xml:space="preserve"> REF _Ref179808180 \h </w:instrText>
      </w:r>
      <w:r w:rsidR="00875D10">
        <w:rPr>
          <w:color w:val="000000" w:themeColor="text1"/>
          <w:szCs w:val="20"/>
        </w:rPr>
      </w:r>
      <w:r w:rsidR="00875D10">
        <w:rPr>
          <w:color w:val="000000" w:themeColor="text1"/>
          <w:szCs w:val="20"/>
        </w:rPr>
        <w:fldChar w:fldCharType="separate"/>
      </w:r>
      <w:r w:rsidR="00875D10">
        <w:t xml:space="preserve">Figure </w:t>
      </w:r>
      <w:r w:rsidR="00875D10">
        <w:rPr>
          <w:noProof/>
        </w:rPr>
        <w:t>11</w:t>
      </w:r>
      <w:r w:rsidR="00875D10">
        <w:rPr>
          <w:color w:val="000000" w:themeColor="text1"/>
          <w:szCs w:val="20"/>
        </w:rPr>
        <w:fldChar w:fldCharType="end"/>
      </w:r>
      <w:r w:rsidR="00875D10">
        <w:rPr>
          <w:color w:val="000000" w:themeColor="text1"/>
          <w:szCs w:val="20"/>
        </w:rPr>
        <w:t>)</w:t>
      </w:r>
      <w:r w:rsidR="002D53E6">
        <w:rPr>
          <w:color w:val="000000" w:themeColor="text1"/>
          <w:szCs w:val="20"/>
        </w:rPr>
        <w:t>.</w:t>
      </w:r>
      <w:r w:rsidR="005A78E2">
        <w:rPr>
          <w:color w:val="000000" w:themeColor="text1"/>
          <w:szCs w:val="20"/>
        </w:rPr>
        <w:t xml:space="preserve"> </w:t>
      </w:r>
    </w:p>
    <w:p w14:paraId="49F1A40D" w14:textId="308AE9F7" w:rsidR="003D5258" w:rsidRPr="009D2705" w:rsidRDefault="00F40C56" w:rsidP="009D2705">
      <w:pPr>
        <w:pStyle w:val="Heading3"/>
        <w:rPr>
          <w:b/>
          <w:bCs/>
        </w:rPr>
      </w:pPr>
      <w:bookmarkStart w:id="30" w:name="_Toc214610574"/>
      <w:r>
        <w:rPr>
          <w:b/>
          <w:bCs/>
        </w:rPr>
        <w:t>Capital structure</w:t>
      </w:r>
      <w:bookmarkEnd w:id="30"/>
    </w:p>
    <w:p w14:paraId="76046A6E" w14:textId="6B803DAE" w:rsidR="00AD0698" w:rsidRPr="00BD3016" w:rsidRDefault="00775302" w:rsidP="00BD3016">
      <w:pPr>
        <w:rPr>
          <w:szCs w:val="20"/>
        </w:rPr>
      </w:pPr>
      <w:r w:rsidRPr="00DD2233">
        <w:rPr>
          <w:szCs w:val="20"/>
        </w:rPr>
        <w:t xml:space="preserve">Farm </w:t>
      </w:r>
      <w:r w:rsidR="00E944C9" w:rsidRPr="00DD2233">
        <w:rPr>
          <w:szCs w:val="20"/>
        </w:rPr>
        <w:t xml:space="preserve">debt levels </w:t>
      </w:r>
      <w:r w:rsidR="00BB5DBC">
        <w:rPr>
          <w:szCs w:val="20"/>
        </w:rPr>
        <w:t>d</w:t>
      </w:r>
      <w:r w:rsidR="0070412A">
        <w:rPr>
          <w:szCs w:val="20"/>
        </w:rPr>
        <w:t>ecreased</w:t>
      </w:r>
      <w:r w:rsidR="007B6595" w:rsidRPr="00DD2233">
        <w:rPr>
          <w:szCs w:val="20"/>
        </w:rPr>
        <w:t xml:space="preserve"> in 202</w:t>
      </w:r>
      <w:r w:rsidR="00D55A53">
        <w:rPr>
          <w:szCs w:val="20"/>
        </w:rPr>
        <w:t>4</w:t>
      </w:r>
      <w:r w:rsidR="007B6595" w:rsidRPr="00DD2233">
        <w:rPr>
          <w:szCs w:val="20"/>
        </w:rPr>
        <w:t>-2</w:t>
      </w:r>
      <w:r w:rsidR="00D55A53">
        <w:rPr>
          <w:szCs w:val="20"/>
        </w:rPr>
        <w:t>5</w:t>
      </w:r>
      <w:r w:rsidR="00B50CBC">
        <w:rPr>
          <w:szCs w:val="20"/>
        </w:rPr>
        <w:t xml:space="preserve"> as </w:t>
      </w:r>
      <w:r w:rsidR="0082706B">
        <w:rPr>
          <w:szCs w:val="20"/>
        </w:rPr>
        <w:t>41</w:t>
      </w:r>
      <w:r w:rsidR="00B50CBC">
        <w:rPr>
          <w:szCs w:val="20"/>
        </w:rPr>
        <w:t xml:space="preserve">% of </w:t>
      </w:r>
      <w:r w:rsidR="002C038B">
        <w:rPr>
          <w:szCs w:val="20"/>
        </w:rPr>
        <w:t>farms reduced the amount of debt owing during the year</w:t>
      </w:r>
      <w:r w:rsidR="00DE4ACF">
        <w:rPr>
          <w:szCs w:val="20"/>
        </w:rPr>
        <w:t xml:space="preserve"> (</w:t>
      </w:r>
      <w:r w:rsidR="00DE4ACF">
        <w:rPr>
          <w:szCs w:val="20"/>
        </w:rPr>
        <w:fldChar w:fldCharType="begin"/>
      </w:r>
      <w:r w:rsidR="00DE4ACF">
        <w:rPr>
          <w:szCs w:val="20"/>
        </w:rPr>
        <w:instrText xml:space="preserve"> REF _Ref148966874 \h </w:instrText>
      </w:r>
      <w:r w:rsidR="00DE4ACF">
        <w:rPr>
          <w:szCs w:val="20"/>
        </w:rPr>
      </w:r>
      <w:r w:rsidR="00DE4ACF">
        <w:rPr>
          <w:szCs w:val="20"/>
        </w:rPr>
        <w:fldChar w:fldCharType="separate"/>
      </w:r>
      <w:r w:rsidR="00DE4ACF">
        <w:t xml:space="preserve">Figure </w:t>
      </w:r>
      <w:r w:rsidR="00DE4ACF">
        <w:rPr>
          <w:noProof/>
        </w:rPr>
        <w:t>5</w:t>
      </w:r>
      <w:r w:rsidR="00DE4ACF">
        <w:rPr>
          <w:szCs w:val="20"/>
        </w:rPr>
        <w:fldChar w:fldCharType="end"/>
      </w:r>
      <w:r w:rsidR="00DE4ACF">
        <w:rPr>
          <w:szCs w:val="20"/>
        </w:rPr>
        <w:t>)</w:t>
      </w:r>
      <w:r w:rsidR="002C038B">
        <w:rPr>
          <w:szCs w:val="20"/>
        </w:rPr>
        <w:t xml:space="preserve">. </w:t>
      </w:r>
      <w:r w:rsidR="00677A1F">
        <w:rPr>
          <w:szCs w:val="20"/>
        </w:rPr>
        <w:t>However,</w:t>
      </w:r>
      <w:r w:rsidR="002C038B">
        <w:rPr>
          <w:szCs w:val="20"/>
        </w:rPr>
        <w:t xml:space="preserve"> debt levels remained </w:t>
      </w:r>
      <w:r w:rsidR="00B548ED">
        <w:rPr>
          <w:szCs w:val="20"/>
        </w:rPr>
        <w:t xml:space="preserve">above the </w:t>
      </w:r>
      <w:r w:rsidR="00174779">
        <w:rPr>
          <w:szCs w:val="20"/>
        </w:rPr>
        <w:t>5-year</w:t>
      </w:r>
      <w:r w:rsidR="009A609D">
        <w:rPr>
          <w:szCs w:val="20"/>
        </w:rPr>
        <w:t xml:space="preserve"> average</w:t>
      </w:r>
      <w:r w:rsidR="002C665F">
        <w:rPr>
          <w:szCs w:val="20"/>
        </w:rPr>
        <w:t xml:space="preserve">, </w:t>
      </w:r>
      <w:r w:rsidR="007B7B86" w:rsidRPr="00A32334">
        <w:rPr>
          <w:szCs w:val="20"/>
        </w:rPr>
        <w:t>Gippsland farms manag</w:t>
      </w:r>
      <w:r w:rsidR="00084FBE">
        <w:rPr>
          <w:szCs w:val="20"/>
        </w:rPr>
        <w:t>ed</w:t>
      </w:r>
      <w:r w:rsidR="007B7B86" w:rsidRPr="00A32334">
        <w:rPr>
          <w:szCs w:val="20"/>
        </w:rPr>
        <w:t xml:space="preserve"> the </w:t>
      </w:r>
      <w:r w:rsidR="000F06FF" w:rsidRPr="00A32334">
        <w:rPr>
          <w:szCs w:val="20"/>
        </w:rPr>
        <w:t>highest value</w:t>
      </w:r>
      <w:r w:rsidR="0037762B" w:rsidRPr="00A32334">
        <w:rPr>
          <w:szCs w:val="20"/>
        </w:rPr>
        <w:t xml:space="preserve"> of</w:t>
      </w:r>
      <w:r w:rsidR="000F06FF" w:rsidRPr="00A32334">
        <w:rPr>
          <w:szCs w:val="20"/>
        </w:rPr>
        <w:t xml:space="preserve"> total assets per hectare</w:t>
      </w:r>
      <w:r w:rsidR="0037762B" w:rsidRPr="00A32334">
        <w:rPr>
          <w:szCs w:val="20"/>
        </w:rPr>
        <w:t xml:space="preserve"> of the LFMP regions</w:t>
      </w:r>
      <w:r w:rsidR="0032083B" w:rsidRPr="00A32334">
        <w:rPr>
          <w:szCs w:val="20"/>
        </w:rPr>
        <w:t xml:space="preserve"> (</w:t>
      </w:r>
      <w:r w:rsidR="00B37759" w:rsidRPr="00A32334">
        <w:rPr>
          <w:szCs w:val="20"/>
        </w:rPr>
        <w:t>$2</w:t>
      </w:r>
      <w:r w:rsidR="00710918">
        <w:rPr>
          <w:szCs w:val="20"/>
        </w:rPr>
        <w:t>2</w:t>
      </w:r>
      <w:r w:rsidR="00B37759" w:rsidRPr="00A32334">
        <w:rPr>
          <w:szCs w:val="20"/>
        </w:rPr>
        <w:t>,</w:t>
      </w:r>
      <w:r w:rsidR="00710918">
        <w:rPr>
          <w:szCs w:val="20"/>
        </w:rPr>
        <w:t>157</w:t>
      </w:r>
      <w:r w:rsidR="00B37759" w:rsidRPr="00A32334">
        <w:rPr>
          <w:szCs w:val="20"/>
        </w:rPr>
        <w:t>/ha)</w:t>
      </w:r>
      <w:r w:rsidR="00E403B0">
        <w:rPr>
          <w:szCs w:val="20"/>
        </w:rPr>
        <w:t>.</w:t>
      </w:r>
      <w:r w:rsidR="000F06FF" w:rsidRPr="00A32334">
        <w:t xml:space="preserve"> </w:t>
      </w:r>
      <w:r w:rsidR="00501FEF">
        <w:rPr>
          <w:szCs w:val="20"/>
        </w:rPr>
        <w:t xml:space="preserve">Average regional equity percentage improved </w:t>
      </w:r>
      <w:r w:rsidR="00501FEF" w:rsidRPr="0055564A">
        <w:rPr>
          <w:szCs w:val="20"/>
        </w:rPr>
        <w:t>to 8</w:t>
      </w:r>
      <w:r w:rsidR="00501FEF">
        <w:rPr>
          <w:szCs w:val="20"/>
        </w:rPr>
        <w:t>6</w:t>
      </w:r>
      <w:r w:rsidR="00501FEF" w:rsidRPr="0055564A">
        <w:rPr>
          <w:szCs w:val="20"/>
        </w:rPr>
        <w:t>%</w:t>
      </w:r>
      <w:r w:rsidR="008C7276">
        <w:rPr>
          <w:szCs w:val="20"/>
        </w:rPr>
        <w:t xml:space="preserve">, the highest in the state </w:t>
      </w:r>
      <w:r w:rsidR="00501FEF">
        <w:rPr>
          <w:szCs w:val="20"/>
        </w:rPr>
        <w:t>(Appendix A6)</w:t>
      </w:r>
      <w:r w:rsidR="008C7276">
        <w:rPr>
          <w:szCs w:val="20"/>
        </w:rPr>
        <w:t xml:space="preserve"> aided by i</w:t>
      </w:r>
      <w:r w:rsidR="000F06FF" w:rsidRPr="0055564A">
        <w:rPr>
          <w:szCs w:val="20"/>
        </w:rPr>
        <w:t xml:space="preserve">ncreases in </w:t>
      </w:r>
      <w:r w:rsidR="00712573">
        <w:rPr>
          <w:szCs w:val="20"/>
        </w:rPr>
        <w:t>farm</w:t>
      </w:r>
      <w:r w:rsidR="000F06FF" w:rsidRPr="0055564A">
        <w:rPr>
          <w:szCs w:val="20"/>
        </w:rPr>
        <w:t xml:space="preserve">land </w:t>
      </w:r>
      <w:r w:rsidR="00A23147" w:rsidRPr="0055564A">
        <w:rPr>
          <w:szCs w:val="20"/>
        </w:rPr>
        <w:t>values</w:t>
      </w:r>
      <w:r w:rsidR="00501FEF">
        <w:rPr>
          <w:szCs w:val="20"/>
        </w:rPr>
        <w:t xml:space="preserve"> and </w:t>
      </w:r>
      <w:r w:rsidR="00E403B0">
        <w:rPr>
          <w:szCs w:val="20"/>
        </w:rPr>
        <w:t>dec</w:t>
      </w:r>
      <w:r w:rsidR="00210040" w:rsidRPr="0055564A">
        <w:rPr>
          <w:szCs w:val="20"/>
        </w:rPr>
        <w:t>rease</w:t>
      </w:r>
      <w:r w:rsidR="00E403B0">
        <w:rPr>
          <w:szCs w:val="20"/>
        </w:rPr>
        <w:t>s</w:t>
      </w:r>
      <w:r w:rsidR="00210040" w:rsidRPr="0055564A">
        <w:rPr>
          <w:szCs w:val="20"/>
        </w:rPr>
        <w:t xml:space="preserve"> in </w:t>
      </w:r>
      <w:r w:rsidR="000F06FF" w:rsidRPr="0055564A">
        <w:rPr>
          <w:szCs w:val="20"/>
        </w:rPr>
        <w:t>debt levels</w:t>
      </w:r>
      <w:r w:rsidR="008C7276">
        <w:rPr>
          <w:szCs w:val="20"/>
        </w:rPr>
        <w:t>.</w:t>
      </w:r>
      <w:r w:rsidR="00160935">
        <w:rPr>
          <w:szCs w:val="20"/>
        </w:rPr>
        <w:t xml:space="preserve"> </w:t>
      </w:r>
    </w:p>
    <w:p w14:paraId="40C63415" w14:textId="6F62097C" w:rsidR="000F06FF" w:rsidRPr="00FA7E68" w:rsidRDefault="000F06FF" w:rsidP="00FA7E68">
      <w:pPr>
        <w:pStyle w:val="Heading3"/>
        <w:rPr>
          <w:b/>
          <w:bCs/>
          <w:color w:val="FF0000"/>
          <w:szCs w:val="20"/>
        </w:rPr>
      </w:pPr>
      <w:bookmarkStart w:id="31" w:name="_Toc214610575"/>
      <w:r w:rsidRPr="00FA7E68">
        <w:rPr>
          <w:b/>
          <w:bCs/>
          <w:noProof/>
        </w:rPr>
        <w:t xml:space="preserve">Return on </w:t>
      </w:r>
      <w:r w:rsidR="00074500">
        <w:rPr>
          <w:b/>
          <w:bCs/>
          <w:noProof/>
        </w:rPr>
        <w:t>a</w:t>
      </w:r>
      <w:r w:rsidRPr="00FA7E68">
        <w:rPr>
          <w:b/>
          <w:bCs/>
          <w:noProof/>
        </w:rPr>
        <w:t>ssets</w:t>
      </w:r>
      <w:r w:rsidR="00C702F5">
        <w:rPr>
          <w:b/>
          <w:bCs/>
          <w:noProof/>
        </w:rPr>
        <w:t xml:space="preserve"> and equity</w:t>
      </w:r>
      <w:bookmarkEnd w:id="31"/>
    </w:p>
    <w:p w14:paraId="21A9EFA2" w14:textId="7ACD7F35" w:rsidR="00B01593" w:rsidRDefault="00926061" w:rsidP="00B01593">
      <w:pPr>
        <w:keepNext/>
      </w:pPr>
      <w:r>
        <w:rPr>
          <w:noProof/>
        </w:rPr>
        <w:drawing>
          <wp:inline distT="0" distB="0" distL="0" distR="0" wp14:anchorId="6E1F32D7" wp14:editId="10F64D5F">
            <wp:extent cx="3121610" cy="1876425"/>
            <wp:effectExtent l="0" t="0" r="3175" b="0"/>
            <wp:docPr id="339803701" name="Picture 7" descr="Gippsland return on assets and equity (2015-16 to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03701" name="Picture 7" descr="Gippsland return on assets and equity (2015-16 to 2024-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25813" cy="1878951"/>
                    </a:xfrm>
                    <a:prstGeom prst="rect">
                      <a:avLst/>
                    </a:prstGeom>
                    <a:noFill/>
                  </pic:spPr>
                </pic:pic>
              </a:graphicData>
            </a:graphic>
          </wp:inline>
        </w:drawing>
      </w:r>
    </w:p>
    <w:p w14:paraId="08A4FC2B" w14:textId="200E37D5" w:rsidR="00B01593" w:rsidRDefault="00B01593" w:rsidP="00B01593">
      <w:pPr>
        <w:keepNext/>
      </w:pPr>
      <w:bookmarkStart w:id="32" w:name="_Ref148955136"/>
      <w:r>
        <w:t xml:space="preserve">Figure </w:t>
      </w:r>
      <w:r>
        <w:fldChar w:fldCharType="begin"/>
      </w:r>
      <w:r>
        <w:instrText>SEQ Figure \* ARABIC</w:instrText>
      </w:r>
      <w:r>
        <w:fldChar w:fldCharType="separate"/>
      </w:r>
      <w:r w:rsidR="00EF38F6">
        <w:rPr>
          <w:noProof/>
        </w:rPr>
        <w:t>12</w:t>
      </w:r>
      <w:r>
        <w:fldChar w:fldCharType="end"/>
      </w:r>
      <w:bookmarkEnd w:id="32"/>
      <w:r w:rsidRPr="000A6AD7">
        <w:t xml:space="preserve">. </w:t>
      </w:r>
      <w:r>
        <w:t xml:space="preserve">Gippsland </w:t>
      </w:r>
      <w:r w:rsidRPr="000A6AD7">
        <w:t xml:space="preserve">return on assets </w:t>
      </w:r>
      <w:r w:rsidR="00586EA7">
        <w:t>and equity</w:t>
      </w:r>
      <w:r w:rsidR="009F410E">
        <w:t xml:space="preserve"> (2015-16 to 2024-25)</w:t>
      </w:r>
      <w:r w:rsidR="00586EA7">
        <w:t>.</w:t>
      </w:r>
    </w:p>
    <w:p w14:paraId="07770D35" w14:textId="6FEB337F" w:rsidR="006519AE" w:rsidRPr="0021355B" w:rsidRDefault="0047637D" w:rsidP="006275FD">
      <w:pPr>
        <w:rPr>
          <w:szCs w:val="20"/>
        </w:rPr>
      </w:pPr>
      <w:r w:rsidRPr="0047637D">
        <w:rPr>
          <w:szCs w:val="20"/>
        </w:rPr>
        <w:t xml:space="preserve">Negative profits </w:t>
      </w:r>
      <w:r w:rsidR="00A3754A">
        <w:rPr>
          <w:szCs w:val="20"/>
        </w:rPr>
        <w:t xml:space="preserve">(EBIT) </w:t>
      </w:r>
      <w:r w:rsidRPr="0047637D">
        <w:rPr>
          <w:szCs w:val="20"/>
        </w:rPr>
        <w:t xml:space="preserve">were recorded by </w:t>
      </w:r>
      <w:r w:rsidR="0061104A">
        <w:rPr>
          <w:szCs w:val="20"/>
        </w:rPr>
        <w:t>59</w:t>
      </w:r>
      <w:r w:rsidRPr="0047637D">
        <w:rPr>
          <w:szCs w:val="20"/>
        </w:rPr>
        <w:t>% of LFMP farms in Gippsland</w:t>
      </w:r>
      <w:r>
        <w:rPr>
          <w:szCs w:val="20"/>
        </w:rPr>
        <w:t xml:space="preserve">. </w:t>
      </w:r>
      <w:r w:rsidR="00D40451">
        <w:rPr>
          <w:szCs w:val="20"/>
        </w:rPr>
        <w:t>This</w:t>
      </w:r>
      <w:r w:rsidR="00361F4C">
        <w:rPr>
          <w:szCs w:val="20"/>
        </w:rPr>
        <w:t xml:space="preserve"> </w:t>
      </w:r>
      <w:r w:rsidR="00A544DA">
        <w:rPr>
          <w:szCs w:val="20"/>
        </w:rPr>
        <w:t xml:space="preserve">meant the </w:t>
      </w:r>
      <w:r w:rsidR="007F1762" w:rsidRPr="0021355B">
        <w:rPr>
          <w:szCs w:val="20"/>
        </w:rPr>
        <w:t>average return on assets</w:t>
      </w:r>
      <w:r w:rsidR="00622B7A" w:rsidRPr="0021355B">
        <w:rPr>
          <w:szCs w:val="20"/>
        </w:rPr>
        <w:t xml:space="preserve"> </w:t>
      </w:r>
      <w:r w:rsidR="000B2FFE" w:rsidRPr="0021355B">
        <w:rPr>
          <w:szCs w:val="20"/>
        </w:rPr>
        <w:t>w</w:t>
      </w:r>
      <w:r w:rsidR="00B90524">
        <w:rPr>
          <w:szCs w:val="20"/>
        </w:rPr>
        <w:t>as</w:t>
      </w:r>
      <w:r w:rsidR="0042047C" w:rsidRPr="0021355B">
        <w:rPr>
          <w:szCs w:val="20"/>
        </w:rPr>
        <w:t xml:space="preserve"> </w:t>
      </w:r>
      <w:r w:rsidR="00FC0E8C" w:rsidRPr="0021355B">
        <w:rPr>
          <w:szCs w:val="20"/>
        </w:rPr>
        <w:t>negative</w:t>
      </w:r>
      <w:r w:rsidR="00DE1708" w:rsidRPr="0021355B">
        <w:rPr>
          <w:szCs w:val="20"/>
        </w:rPr>
        <w:t xml:space="preserve"> (-0.1%)</w:t>
      </w:r>
      <w:r w:rsidR="0042047C" w:rsidRPr="0021355B">
        <w:rPr>
          <w:szCs w:val="20"/>
        </w:rPr>
        <w:t xml:space="preserve"> </w:t>
      </w:r>
      <w:r w:rsidR="00FC0E8C" w:rsidRPr="0021355B">
        <w:rPr>
          <w:szCs w:val="20"/>
        </w:rPr>
        <w:t xml:space="preserve">for the </w:t>
      </w:r>
      <w:r w:rsidR="00102D37">
        <w:rPr>
          <w:szCs w:val="20"/>
        </w:rPr>
        <w:t>second consecutive year</w:t>
      </w:r>
      <w:r w:rsidR="009A2DFD" w:rsidRPr="0021355B">
        <w:rPr>
          <w:szCs w:val="20"/>
        </w:rPr>
        <w:t xml:space="preserve"> </w:t>
      </w:r>
      <w:r w:rsidR="00622B7A" w:rsidRPr="0021355B">
        <w:rPr>
          <w:szCs w:val="20"/>
        </w:rPr>
        <w:t>(</w:t>
      </w:r>
      <w:r w:rsidR="00B01593" w:rsidRPr="0021355B">
        <w:rPr>
          <w:szCs w:val="20"/>
        </w:rPr>
        <w:fldChar w:fldCharType="begin"/>
      </w:r>
      <w:r w:rsidR="00B01593" w:rsidRPr="0021355B">
        <w:rPr>
          <w:szCs w:val="20"/>
        </w:rPr>
        <w:instrText xml:space="preserve"> REF _Ref148955136 \h </w:instrText>
      </w:r>
      <w:r w:rsidR="00B01593" w:rsidRPr="0021355B">
        <w:rPr>
          <w:szCs w:val="20"/>
        </w:rPr>
      </w:r>
      <w:r w:rsidR="00B01593" w:rsidRPr="0021355B">
        <w:rPr>
          <w:szCs w:val="20"/>
        </w:rPr>
        <w:fldChar w:fldCharType="separate"/>
      </w:r>
      <w:r w:rsidR="00EF38F6">
        <w:t xml:space="preserve">Figure </w:t>
      </w:r>
      <w:r w:rsidR="00EF38F6">
        <w:rPr>
          <w:noProof/>
        </w:rPr>
        <w:t>12</w:t>
      </w:r>
      <w:r w:rsidR="00B01593" w:rsidRPr="0021355B">
        <w:rPr>
          <w:szCs w:val="20"/>
        </w:rPr>
        <w:fldChar w:fldCharType="end"/>
      </w:r>
      <w:r w:rsidR="00622B7A" w:rsidRPr="0021355B">
        <w:rPr>
          <w:szCs w:val="20"/>
        </w:rPr>
        <w:t>).</w:t>
      </w:r>
      <w:r w:rsidR="009A2DFD" w:rsidRPr="0021355B">
        <w:rPr>
          <w:szCs w:val="20"/>
        </w:rPr>
        <w:t xml:space="preserve"> </w:t>
      </w:r>
      <w:r w:rsidR="004D1BEF">
        <w:rPr>
          <w:szCs w:val="20"/>
        </w:rPr>
        <w:t>I</w:t>
      </w:r>
      <w:r w:rsidR="003F6A98">
        <w:rPr>
          <w:szCs w:val="20"/>
        </w:rPr>
        <w:t>nterest</w:t>
      </w:r>
      <w:r w:rsidR="00A824B9" w:rsidRPr="0021355B">
        <w:rPr>
          <w:szCs w:val="20"/>
        </w:rPr>
        <w:t xml:space="preserve"> </w:t>
      </w:r>
      <w:r w:rsidR="00023DED">
        <w:rPr>
          <w:szCs w:val="20"/>
        </w:rPr>
        <w:t xml:space="preserve">costs </w:t>
      </w:r>
      <w:r w:rsidR="00486034">
        <w:rPr>
          <w:szCs w:val="20"/>
        </w:rPr>
        <w:t xml:space="preserve">remained high and </w:t>
      </w:r>
      <w:r w:rsidR="00936687">
        <w:rPr>
          <w:szCs w:val="20"/>
        </w:rPr>
        <w:t>worsen</w:t>
      </w:r>
      <w:r w:rsidR="00B7740F">
        <w:rPr>
          <w:szCs w:val="20"/>
        </w:rPr>
        <w:t xml:space="preserve">ed </w:t>
      </w:r>
      <w:r w:rsidR="003D3888">
        <w:rPr>
          <w:szCs w:val="20"/>
        </w:rPr>
        <w:t xml:space="preserve">farm businesses </w:t>
      </w:r>
      <w:r w:rsidR="00EC369C" w:rsidRPr="0021355B">
        <w:rPr>
          <w:szCs w:val="20"/>
        </w:rPr>
        <w:t>losses</w:t>
      </w:r>
      <w:r w:rsidR="001F04B0">
        <w:rPr>
          <w:szCs w:val="20"/>
        </w:rPr>
        <w:t xml:space="preserve"> leading to </w:t>
      </w:r>
      <w:r w:rsidR="003D3888">
        <w:rPr>
          <w:szCs w:val="20"/>
        </w:rPr>
        <w:t xml:space="preserve">Gippsland </w:t>
      </w:r>
      <w:r w:rsidR="00B7740F">
        <w:rPr>
          <w:szCs w:val="20"/>
        </w:rPr>
        <w:t>farms record</w:t>
      </w:r>
      <w:r w:rsidR="001F04B0">
        <w:rPr>
          <w:szCs w:val="20"/>
        </w:rPr>
        <w:t>ing</w:t>
      </w:r>
      <w:r w:rsidR="00B7740F">
        <w:rPr>
          <w:szCs w:val="20"/>
        </w:rPr>
        <w:t xml:space="preserve"> a</w:t>
      </w:r>
      <w:r w:rsidR="00D03590">
        <w:rPr>
          <w:szCs w:val="20"/>
        </w:rPr>
        <w:t xml:space="preserve"> negative </w:t>
      </w:r>
      <w:r w:rsidR="003D3888">
        <w:rPr>
          <w:szCs w:val="20"/>
        </w:rPr>
        <w:t xml:space="preserve">average </w:t>
      </w:r>
      <w:r w:rsidR="00DE1708" w:rsidRPr="0021355B">
        <w:rPr>
          <w:szCs w:val="20"/>
        </w:rPr>
        <w:t>return on equity</w:t>
      </w:r>
      <w:r w:rsidR="003D3888">
        <w:rPr>
          <w:szCs w:val="20"/>
        </w:rPr>
        <w:t xml:space="preserve"> </w:t>
      </w:r>
      <w:r w:rsidR="00D03590">
        <w:rPr>
          <w:szCs w:val="20"/>
        </w:rPr>
        <w:t>for the third consecutive year.</w:t>
      </w:r>
    </w:p>
    <w:p w14:paraId="40DBC70F" w14:textId="77777777" w:rsidR="00DA24F9" w:rsidRDefault="00DA24F9">
      <w:pPr>
        <w:rPr>
          <w:color w:val="C00000"/>
          <w:szCs w:val="20"/>
        </w:rPr>
      </w:pPr>
      <w:r>
        <w:rPr>
          <w:color w:val="C00000"/>
          <w:szCs w:val="20"/>
        </w:rPr>
        <w:br w:type="page"/>
      </w:r>
    </w:p>
    <w:p w14:paraId="376240CF" w14:textId="18DB4297" w:rsidR="00C03064" w:rsidRPr="00C702F5" w:rsidRDefault="00C57976" w:rsidP="00752FA4">
      <w:pPr>
        <w:rPr>
          <w:color w:val="C00000"/>
          <w:szCs w:val="20"/>
        </w:rPr>
      </w:pPr>
      <w:r w:rsidRPr="00842DD0">
        <w:rPr>
          <w:noProof/>
          <w:color w:val="FF0000"/>
        </w:rPr>
        <w:lastRenderedPageBreak/>
        <mc:AlternateContent>
          <mc:Choice Requires="wps">
            <w:drawing>
              <wp:anchor distT="45720" distB="45720" distL="114300" distR="114300" simplePos="0" relativeHeight="251658240" behindDoc="0" locked="0" layoutInCell="1" allowOverlap="1" wp14:anchorId="3983EBE1" wp14:editId="54DC2D99">
                <wp:simplePos x="0" y="0"/>
                <wp:positionH relativeFrom="margin">
                  <wp:align>left</wp:align>
                </wp:positionH>
                <wp:positionV relativeFrom="paragraph">
                  <wp:posOffset>0</wp:posOffset>
                </wp:positionV>
                <wp:extent cx="6055995" cy="3763010"/>
                <wp:effectExtent l="0" t="0" r="20955" b="27940"/>
                <wp:wrapSquare wrapText="bothSides"/>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3763108"/>
                        </a:xfrm>
                        <a:prstGeom prst="rect">
                          <a:avLst/>
                        </a:prstGeom>
                        <a:solidFill>
                          <a:schemeClr val="accent1">
                            <a:lumMod val="20000"/>
                            <a:lumOff val="80000"/>
                          </a:schemeClr>
                        </a:solidFill>
                        <a:ln w="9525">
                          <a:solidFill>
                            <a:srgbClr val="000000"/>
                          </a:solidFill>
                          <a:miter lim="800000"/>
                          <a:headEnd/>
                          <a:tailEnd/>
                        </a:ln>
                      </wps:spPr>
                      <wps:txbx>
                        <w:txbxContent>
                          <w:p w14:paraId="4286F5EE" w14:textId="4830117B" w:rsidR="00842DD0" w:rsidRPr="00CB4E11" w:rsidRDefault="00FA5538" w:rsidP="00842DD0">
                            <w:pPr>
                              <w:pStyle w:val="Caption"/>
                            </w:pPr>
                            <w:r>
                              <w:t>Gippsland r</w:t>
                            </w:r>
                            <w:r w:rsidR="00842DD0" w:rsidRPr="00CB4E11">
                              <w:t xml:space="preserve">egional </w:t>
                            </w:r>
                            <w:r>
                              <w:t>s</w:t>
                            </w:r>
                            <w:r w:rsidR="00842DD0" w:rsidRPr="00CB4E11">
                              <w:t>ummary</w:t>
                            </w:r>
                          </w:p>
                          <w:p w14:paraId="1C31F343" w14:textId="77777777" w:rsidR="00334292" w:rsidRPr="00936D59" w:rsidRDefault="00334292" w:rsidP="00334292">
                            <w:pPr>
                              <w:pStyle w:val="ListParagraph"/>
                              <w:numPr>
                                <w:ilvl w:val="0"/>
                                <w:numId w:val="8"/>
                              </w:numPr>
                              <w:rPr>
                                <w:szCs w:val="20"/>
                              </w:rPr>
                            </w:pPr>
                            <w:r w:rsidRPr="00936D59">
                              <w:rPr>
                                <w:szCs w:val="20"/>
                              </w:rPr>
                              <w:t>Gippsland farms received 85% of their long-term average annual rainfall.</w:t>
                            </w:r>
                          </w:p>
                          <w:p w14:paraId="50AC71A2" w14:textId="38017A27" w:rsidR="00707BC0" w:rsidRPr="00936D59" w:rsidRDefault="0058394E" w:rsidP="00707BC0">
                            <w:pPr>
                              <w:pStyle w:val="ListParagraph"/>
                              <w:numPr>
                                <w:ilvl w:val="0"/>
                                <w:numId w:val="8"/>
                              </w:numPr>
                              <w:rPr>
                                <w:szCs w:val="20"/>
                              </w:rPr>
                            </w:pPr>
                            <w:r w:rsidRPr="00936D59">
                              <w:rPr>
                                <w:szCs w:val="20"/>
                              </w:rPr>
                              <w:t>Beef was</w:t>
                            </w:r>
                            <w:r w:rsidR="00707BC0" w:rsidRPr="00936D59">
                              <w:rPr>
                                <w:szCs w:val="20"/>
                              </w:rPr>
                              <w:t xml:space="preserve"> the dominant enterprise</w:t>
                            </w:r>
                            <w:r w:rsidR="002D572C" w:rsidRPr="00936D59">
                              <w:rPr>
                                <w:szCs w:val="20"/>
                              </w:rPr>
                              <w:t xml:space="preserve"> </w:t>
                            </w:r>
                            <w:r w:rsidRPr="00936D59">
                              <w:rPr>
                                <w:szCs w:val="20"/>
                              </w:rPr>
                              <w:t>on Gippsland farms,</w:t>
                            </w:r>
                            <w:r w:rsidR="000D1B2F" w:rsidRPr="00936D59">
                              <w:rPr>
                                <w:szCs w:val="20"/>
                              </w:rPr>
                              <w:t xml:space="preserve"> with cattle sales</w:t>
                            </w:r>
                            <w:r w:rsidR="00707BC0" w:rsidRPr="00936D59">
                              <w:rPr>
                                <w:szCs w:val="20"/>
                              </w:rPr>
                              <w:t xml:space="preserve"> </w:t>
                            </w:r>
                            <w:r w:rsidR="000D1B2F" w:rsidRPr="00936D59">
                              <w:rPr>
                                <w:szCs w:val="20"/>
                              </w:rPr>
                              <w:t>making up</w:t>
                            </w:r>
                            <w:r w:rsidR="00707BC0" w:rsidRPr="00936D59">
                              <w:rPr>
                                <w:szCs w:val="20"/>
                              </w:rPr>
                              <w:t xml:space="preserve"> 73% of average farm income.</w:t>
                            </w:r>
                          </w:p>
                          <w:p w14:paraId="6E0BED8E" w14:textId="77777777" w:rsidR="00760E08" w:rsidRPr="00936D59" w:rsidRDefault="00760E08" w:rsidP="00760E08">
                            <w:pPr>
                              <w:pStyle w:val="ListParagraph"/>
                              <w:numPr>
                                <w:ilvl w:val="0"/>
                                <w:numId w:val="8"/>
                              </w:numPr>
                              <w:rPr>
                                <w:szCs w:val="20"/>
                              </w:rPr>
                            </w:pPr>
                            <w:r w:rsidRPr="00936D59">
                              <w:rPr>
                                <w:szCs w:val="20"/>
                              </w:rPr>
                              <w:t>Pasture fertiliser was the largest operating cost, accounting for 15% of total farm cash costs.</w:t>
                            </w:r>
                          </w:p>
                          <w:p w14:paraId="5B71759F" w14:textId="61255D34" w:rsidR="00F24B7D" w:rsidRPr="00E34D3E" w:rsidRDefault="00707BC0" w:rsidP="00E34D3E">
                            <w:pPr>
                              <w:pStyle w:val="ListParagraph"/>
                              <w:numPr>
                                <w:ilvl w:val="0"/>
                                <w:numId w:val="8"/>
                              </w:numPr>
                              <w:rPr>
                                <w:szCs w:val="20"/>
                              </w:rPr>
                            </w:pPr>
                            <w:r w:rsidRPr="00E34D3E">
                              <w:rPr>
                                <w:szCs w:val="20"/>
                              </w:rPr>
                              <w:t>Beef prices rose but stayed below five- and ten-year averages</w:t>
                            </w:r>
                            <w:r w:rsidR="00E34D3E" w:rsidRPr="00E34D3E">
                              <w:rPr>
                                <w:szCs w:val="20"/>
                              </w:rPr>
                              <w:t xml:space="preserve">. </w:t>
                            </w:r>
                            <w:r w:rsidR="00F24B7D" w:rsidRPr="00E34D3E">
                              <w:rPr>
                                <w:szCs w:val="20"/>
                              </w:rPr>
                              <w:t xml:space="preserve">Despite </w:t>
                            </w:r>
                            <w:r w:rsidR="00E34D3E">
                              <w:rPr>
                                <w:szCs w:val="20"/>
                              </w:rPr>
                              <w:t>the</w:t>
                            </w:r>
                            <w:r w:rsidR="00F24B7D" w:rsidRPr="00E34D3E">
                              <w:rPr>
                                <w:szCs w:val="20"/>
                              </w:rPr>
                              <w:t xml:space="preserve"> increase in </w:t>
                            </w:r>
                            <w:r w:rsidR="00166407" w:rsidRPr="00E34D3E">
                              <w:rPr>
                                <w:szCs w:val="20"/>
                              </w:rPr>
                              <w:t>prices, b</w:t>
                            </w:r>
                            <w:r w:rsidR="00F24B7D" w:rsidRPr="00E34D3E">
                              <w:rPr>
                                <w:szCs w:val="20"/>
                              </w:rPr>
                              <w:t>eef gross margins fell</w:t>
                            </w:r>
                            <w:r w:rsidR="00166407" w:rsidRPr="00E34D3E">
                              <w:rPr>
                                <w:szCs w:val="20"/>
                              </w:rPr>
                              <w:t xml:space="preserve"> </w:t>
                            </w:r>
                            <w:r w:rsidR="00D42139" w:rsidRPr="00E34D3E">
                              <w:rPr>
                                <w:szCs w:val="20"/>
                              </w:rPr>
                              <w:t xml:space="preserve">below </w:t>
                            </w:r>
                            <w:r w:rsidR="00F24B7D" w:rsidRPr="00E34D3E">
                              <w:rPr>
                                <w:szCs w:val="20"/>
                              </w:rPr>
                              <w:t>the five-year average</w:t>
                            </w:r>
                            <w:r w:rsidR="00D42139" w:rsidRPr="00E34D3E">
                              <w:rPr>
                                <w:szCs w:val="20"/>
                              </w:rPr>
                              <w:t xml:space="preserve"> and </w:t>
                            </w:r>
                            <w:r w:rsidR="00991327" w:rsidRPr="00E34D3E">
                              <w:rPr>
                                <w:szCs w:val="20"/>
                              </w:rPr>
                              <w:t xml:space="preserve">were </w:t>
                            </w:r>
                            <w:r w:rsidR="00F24B7D" w:rsidRPr="00E34D3E">
                              <w:rPr>
                                <w:szCs w:val="20"/>
                              </w:rPr>
                              <w:t>the second lowest in the past decade.</w:t>
                            </w:r>
                          </w:p>
                          <w:p w14:paraId="71F5A39D" w14:textId="70770BD2" w:rsidR="00704889" w:rsidRPr="00936D59" w:rsidRDefault="00AE67B6" w:rsidP="00707BC0">
                            <w:pPr>
                              <w:pStyle w:val="ListParagraph"/>
                              <w:numPr>
                                <w:ilvl w:val="0"/>
                                <w:numId w:val="8"/>
                              </w:numPr>
                              <w:rPr>
                                <w:szCs w:val="20"/>
                              </w:rPr>
                            </w:pPr>
                            <w:r>
                              <w:rPr>
                                <w:szCs w:val="20"/>
                              </w:rPr>
                              <w:t>A d</w:t>
                            </w:r>
                            <w:r w:rsidR="00643491" w:rsidRPr="00936D59">
                              <w:rPr>
                                <w:szCs w:val="20"/>
                              </w:rPr>
                              <w:t>ecreas</w:t>
                            </w:r>
                            <w:r w:rsidR="00B27747" w:rsidRPr="00936D59">
                              <w:rPr>
                                <w:szCs w:val="20"/>
                              </w:rPr>
                              <w:t>e</w:t>
                            </w:r>
                            <w:r>
                              <w:rPr>
                                <w:szCs w:val="20"/>
                              </w:rPr>
                              <w:t xml:space="preserve"> in</w:t>
                            </w:r>
                            <w:r w:rsidR="00B27747" w:rsidRPr="00936D59">
                              <w:rPr>
                                <w:szCs w:val="20"/>
                              </w:rPr>
                              <w:t xml:space="preserve"> price received and increased costs led to w</w:t>
                            </w:r>
                            <w:r w:rsidR="005E1005" w:rsidRPr="00936D59">
                              <w:rPr>
                                <w:szCs w:val="20"/>
                              </w:rPr>
                              <w:t>ool</w:t>
                            </w:r>
                            <w:r w:rsidR="00B27747" w:rsidRPr="00936D59">
                              <w:rPr>
                                <w:szCs w:val="20"/>
                              </w:rPr>
                              <w:t xml:space="preserve"> sheep</w:t>
                            </w:r>
                            <w:r w:rsidR="005E1005" w:rsidRPr="00936D59">
                              <w:rPr>
                                <w:szCs w:val="20"/>
                              </w:rPr>
                              <w:t xml:space="preserve"> gross margins </w:t>
                            </w:r>
                            <w:r w:rsidR="00B27747" w:rsidRPr="00936D59">
                              <w:rPr>
                                <w:szCs w:val="20"/>
                              </w:rPr>
                              <w:t>falling</w:t>
                            </w:r>
                            <w:r w:rsidR="005E1005" w:rsidRPr="00936D59">
                              <w:rPr>
                                <w:szCs w:val="20"/>
                              </w:rPr>
                              <w:t xml:space="preserve"> to</w:t>
                            </w:r>
                            <w:r w:rsidR="00704889" w:rsidRPr="00936D59">
                              <w:rPr>
                                <w:szCs w:val="20"/>
                              </w:rPr>
                              <w:t xml:space="preserve"> the lowest value in over a decade</w:t>
                            </w:r>
                          </w:p>
                          <w:p w14:paraId="305A0106" w14:textId="2A105E8B" w:rsidR="00936D59" w:rsidRPr="00936D59" w:rsidRDefault="00936D59" w:rsidP="00936D59">
                            <w:pPr>
                              <w:pStyle w:val="ListParagraph"/>
                              <w:numPr>
                                <w:ilvl w:val="0"/>
                                <w:numId w:val="8"/>
                              </w:numPr>
                              <w:rPr>
                                <w:szCs w:val="20"/>
                              </w:rPr>
                            </w:pPr>
                            <w:r w:rsidRPr="00936D59">
                              <w:rPr>
                                <w:szCs w:val="20"/>
                              </w:rPr>
                              <w:t>Negative farm profits were recorded on 59% of LFMP farms in Gippsland.</w:t>
                            </w:r>
                          </w:p>
                          <w:p w14:paraId="36A8B478" w14:textId="5056AF5A" w:rsidR="00C31680" w:rsidRPr="00936D59" w:rsidRDefault="00C31680" w:rsidP="00C31680">
                            <w:pPr>
                              <w:pStyle w:val="ListParagraph"/>
                              <w:numPr>
                                <w:ilvl w:val="0"/>
                                <w:numId w:val="8"/>
                              </w:numPr>
                              <w:rPr>
                                <w:szCs w:val="20"/>
                              </w:rPr>
                            </w:pPr>
                            <w:r w:rsidRPr="00936D59">
                              <w:rPr>
                                <w:szCs w:val="20"/>
                              </w:rPr>
                              <w:t xml:space="preserve">Average farm </w:t>
                            </w:r>
                            <w:r w:rsidR="00D52AD9" w:rsidRPr="00936D59">
                              <w:rPr>
                                <w:szCs w:val="20"/>
                              </w:rPr>
                              <w:t xml:space="preserve">business </w:t>
                            </w:r>
                            <w:r w:rsidRPr="00936D59">
                              <w:rPr>
                                <w:szCs w:val="20"/>
                              </w:rPr>
                              <w:t xml:space="preserve">equity </w:t>
                            </w:r>
                            <w:r w:rsidR="00936D59" w:rsidRPr="00936D59">
                              <w:rPr>
                                <w:szCs w:val="20"/>
                              </w:rPr>
                              <w:t>percentage increased</w:t>
                            </w:r>
                            <w:r w:rsidR="00D52AD9" w:rsidRPr="00936D59">
                              <w:rPr>
                                <w:szCs w:val="20"/>
                              </w:rPr>
                              <w:t xml:space="preserve"> </w:t>
                            </w:r>
                            <w:r w:rsidRPr="00936D59">
                              <w:rPr>
                                <w:szCs w:val="20"/>
                              </w:rPr>
                              <w:t xml:space="preserve">to 86%, the highest of all LFMP regions, supported by </w:t>
                            </w:r>
                            <w:r w:rsidR="00D52AD9" w:rsidRPr="00936D59">
                              <w:rPr>
                                <w:szCs w:val="20"/>
                              </w:rPr>
                              <w:t xml:space="preserve">lower debt </w:t>
                            </w:r>
                            <w:r w:rsidR="00C2319E" w:rsidRPr="00936D59">
                              <w:rPr>
                                <w:szCs w:val="20"/>
                              </w:rPr>
                              <w:t xml:space="preserve">levels and </w:t>
                            </w:r>
                            <w:r w:rsidRPr="00936D59">
                              <w:rPr>
                                <w:szCs w:val="20"/>
                              </w:rPr>
                              <w:t>higher land values.</w:t>
                            </w:r>
                          </w:p>
                          <w:p w14:paraId="48C31A59" w14:textId="0309E913" w:rsidR="00782800" w:rsidRPr="00936D59" w:rsidRDefault="00C57976" w:rsidP="00216998">
                            <w:pPr>
                              <w:pStyle w:val="ListParagraph"/>
                              <w:numPr>
                                <w:ilvl w:val="0"/>
                                <w:numId w:val="8"/>
                              </w:numPr>
                              <w:rPr>
                                <w:szCs w:val="20"/>
                              </w:rPr>
                            </w:pPr>
                            <w:r w:rsidRPr="00936D59">
                              <w:rPr>
                                <w:szCs w:val="20"/>
                              </w:rPr>
                              <w:t>D</w:t>
                            </w:r>
                            <w:r w:rsidR="006C0465">
                              <w:rPr>
                                <w:szCs w:val="20"/>
                              </w:rPr>
                              <w:t>ebt levels and</w:t>
                            </w:r>
                            <w:r w:rsidRPr="00936D59">
                              <w:rPr>
                                <w:szCs w:val="20"/>
                              </w:rPr>
                              <w:t xml:space="preserve"> interest costs remained high, </w:t>
                            </w:r>
                            <w:r w:rsidR="00C31680" w:rsidRPr="00936D59">
                              <w:rPr>
                                <w:szCs w:val="20"/>
                              </w:rPr>
                              <w:t>amplifying</w:t>
                            </w:r>
                            <w:r w:rsidRPr="00936D59">
                              <w:rPr>
                                <w:szCs w:val="20"/>
                              </w:rPr>
                              <w:t xml:space="preserve"> losses</w:t>
                            </w:r>
                            <w:r w:rsidR="000B2EF4" w:rsidRPr="00936D59">
                              <w:rPr>
                                <w:szCs w:val="20"/>
                              </w:rPr>
                              <w:t xml:space="preserve"> and </w:t>
                            </w:r>
                            <w:r w:rsidR="001355D8">
                              <w:rPr>
                                <w:szCs w:val="20"/>
                              </w:rPr>
                              <w:t xml:space="preserve">a </w:t>
                            </w:r>
                            <w:r w:rsidR="000B2EF4" w:rsidRPr="00936D59">
                              <w:rPr>
                                <w:szCs w:val="20"/>
                              </w:rPr>
                              <w:t>n</w:t>
                            </w:r>
                            <w:r w:rsidRPr="00936D59">
                              <w:rPr>
                                <w:szCs w:val="20"/>
                              </w:rPr>
                              <w:t>egative</w:t>
                            </w:r>
                            <w:r w:rsidR="001355D8">
                              <w:rPr>
                                <w:szCs w:val="20"/>
                              </w:rPr>
                              <w:t xml:space="preserve"> average</w:t>
                            </w:r>
                            <w:r w:rsidRPr="00936D59">
                              <w:rPr>
                                <w:szCs w:val="20"/>
                              </w:rPr>
                              <w:t xml:space="preserve"> return on equity w</w:t>
                            </w:r>
                            <w:r w:rsidR="001355D8">
                              <w:rPr>
                                <w:szCs w:val="20"/>
                              </w:rPr>
                              <w:t>as</w:t>
                            </w:r>
                            <w:r w:rsidRPr="00936D59">
                              <w:rPr>
                                <w:szCs w:val="20"/>
                              </w:rPr>
                              <w:t xml:space="preserve"> recorded for the third consecutive year.</w:t>
                            </w:r>
                          </w:p>
                          <w:p w14:paraId="7B4F92BE" w14:textId="0062D84A" w:rsidR="00842DD0" w:rsidRDefault="00842D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3EBE1" id="Text Box 197" o:spid="_x0000_s1027" type="#_x0000_t202" style="position:absolute;margin-left:0;margin-top:0;width:476.85pt;height:296.3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1wNwIAAGUEAAAOAAAAZHJzL2Uyb0RvYy54bWysVF1v2yAUfZ+0/4B4X+ykSZpYcaouXadJ&#10;3YfU7QdgjGM04DIgsbtf3wt20nR7m/aC4ILPvfecc7256bUiR+G8BFPS6SSnRBgOtTT7kv74fv9u&#10;RYkPzNRMgRElfRKe3mzfvtl0thAzaEHVwhEEMb7obEnbEGyRZZ63QjM/ASsMXjbgNAt4dPusdqxD&#10;dK2yWZ4vsw5cbR1w4T1G74ZLuk34TSN4+No0XgSiSoq1hbS6tFZxzbYbVuwds63kYxnsH6rQTBpM&#10;eoa6Y4GRg5N/QWnJHXhowoSDzqBpJBepB+xmmv/RzWPLrEi9IDnenmny/w+Wfzk+2m+OhP499Chg&#10;asLbB+A/PTGwa5nZi1vnoGsFqzHxNFKWddYX46eRal/4CFJ1n6FGkdkhQALqG6cjK9gnQXQU4OlM&#10;uugD4Rhc5ovFer2ghOPd1fXyapqvUg5WnD63zoePAjSJm5I6VDXBs+ODD7EcVpyexGwelKzvpVLp&#10;EJ0kdsqRI0MPMM6FCUOb6qCx3iGOXspHN2AYPTOEV6cwpkiejEgp4askypCupOvFbDHw96oAt6/O&#10;6SPckCcCXj7TMuAgKKlLmpKOxUTWP5g62TQwqYY9fqzMKENkftAg9FVPZD1qFFWpoH5CXRwMvsc5&#10;xU0L7jclHXq+pP7XgTlBifpkUNv1dD6PQ5IO88X1DA/u8qa6vGGGI1RJAyXDdhfSYEXWDdyiBxqZ&#10;1HmpZCwZvZw4HOcuDsvlOb16+TtsnwEAAP//AwBQSwMEFAAGAAgAAAAhADFEilndAAAABQEAAA8A&#10;AABkcnMvZG93bnJldi54bWxMj8FOwzAQRO+V+g/WInFrHVq1pSGbqkJKxQUBCRdubrxNIux1FLtt&#10;+HsMF7isNJrRzNtsN1ojLjT4zjHC3TwBQVw73XGD8F4Vs3sQPijWyjgmhC/ysMunk0yl2l35jS5l&#10;aEQsYZ8qhDaEPpXS1y1Z5eeuJ47eyQ1WhSiHRupBXWO5NXKRJGtpVcdxoVU9PbZUf5Zni3B4LZ7d&#10;8qPcGH/g0BR99XJ6qhBvb8b9A4hAY/gLww9+RIc8Mh3dmbUXBiE+En5v9Lar5QbEEWG1XaxB5pn8&#10;T59/AwAA//8DAFBLAQItABQABgAIAAAAIQC2gziS/gAAAOEBAAATAAAAAAAAAAAAAAAAAAAAAABb&#10;Q29udGVudF9UeXBlc10ueG1sUEsBAi0AFAAGAAgAAAAhADj9If/WAAAAlAEAAAsAAAAAAAAAAAAA&#10;AAAALwEAAF9yZWxzLy5yZWxzUEsBAi0AFAAGAAgAAAAhAES4/XA3AgAAZQQAAA4AAAAAAAAAAAAA&#10;AAAALgIAAGRycy9lMm9Eb2MueG1sUEsBAi0AFAAGAAgAAAAhADFEilndAAAABQEAAA8AAAAAAAAA&#10;AAAAAAAAkQQAAGRycy9kb3ducmV2LnhtbFBLBQYAAAAABAAEAPMAAACbBQAAAAA=&#10;" fillcolor="#d9e2f3 [660]">
                <v:textbox>
                  <w:txbxContent>
                    <w:p w14:paraId="4286F5EE" w14:textId="4830117B" w:rsidR="00842DD0" w:rsidRPr="00CB4E11" w:rsidRDefault="00FA5538" w:rsidP="00842DD0">
                      <w:pPr>
                        <w:pStyle w:val="Caption"/>
                      </w:pPr>
                      <w:r>
                        <w:t>Gippsland r</w:t>
                      </w:r>
                      <w:r w:rsidR="00842DD0" w:rsidRPr="00CB4E11">
                        <w:t xml:space="preserve">egional </w:t>
                      </w:r>
                      <w:r>
                        <w:t>s</w:t>
                      </w:r>
                      <w:r w:rsidR="00842DD0" w:rsidRPr="00CB4E11">
                        <w:t>ummary</w:t>
                      </w:r>
                    </w:p>
                    <w:p w14:paraId="1C31F343" w14:textId="77777777" w:rsidR="00334292" w:rsidRPr="00936D59" w:rsidRDefault="00334292" w:rsidP="00334292">
                      <w:pPr>
                        <w:pStyle w:val="ListParagraph"/>
                        <w:numPr>
                          <w:ilvl w:val="0"/>
                          <w:numId w:val="8"/>
                        </w:numPr>
                        <w:rPr>
                          <w:szCs w:val="20"/>
                        </w:rPr>
                      </w:pPr>
                      <w:r w:rsidRPr="00936D59">
                        <w:rPr>
                          <w:szCs w:val="20"/>
                        </w:rPr>
                        <w:t>Gippsland farms received 85% of their long-term average annual rainfall.</w:t>
                      </w:r>
                    </w:p>
                    <w:p w14:paraId="50AC71A2" w14:textId="38017A27" w:rsidR="00707BC0" w:rsidRPr="00936D59" w:rsidRDefault="0058394E" w:rsidP="00707BC0">
                      <w:pPr>
                        <w:pStyle w:val="ListParagraph"/>
                        <w:numPr>
                          <w:ilvl w:val="0"/>
                          <w:numId w:val="8"/>
                        </w:numPr>
                        <w:rPr>
                          <w:szCs w:val="20"/>
                        </w:rPr>
                      </w:pPr>
                      <w:r w:rsidRPr="00936D59">
                        <w:rPr>
                          <w:szCs w:val="20"/>
                        </w:rPr>
                        <w:t>Beef was</w:t>
                      </w:r>
                      <w:r w:rsidR="00707BC0" w:rsidRPr="00936D59">
                        <w:rPr>
                          <w:szCs w:val="20"/>
                        </w:rPr>
                        <w:t xml:space="preserve"> the dominant enterprise</w:t>
                      </w:r>
                      <w:r w:rsidR="002D572C" w:rsidRPr="00936D59">
                        <w:rPr>
                          <w:szCs w:val="20"/>
                        </w:rPr>
                        <w:t xml:space="preserve"> </w:t>
                      </w:r>
                      <w:r w:rsidRPr="00936D59">
                        <w:rPr>
                          <w:szCs w:val="20"/>
                        </w:rPr>
                        <w:t>on Gippsland farms,</w:t>
                      </w:r>
                      <w:r w:rsidR="000D1B2F" w:rsidRPr="00936D59">
                        <w:rPr>
                          <w:szCs w:val="20"/>
                        </w:rPr>
                        <w:t xml:space="preserve"> with cattle sales</w:t>
                      </w:r>
                      <w:r w:rsidR="00707BC0" w:rsidRPr="00936D59">
                        <w:rPr>
                          <w:szCs w:val="20"/>
                        </w:rPr>
                        <w:t xml:space="preserve"> </w:t>
                      </w:r>
                      <w:r w:rsidR="000D1B2F" w:rsidRPr="00936D59">
                        <w:rPr>
                          <w:szCs w:val="20"/>
                        </w:rPr>
                        <w:t>making up</w:t>
                      </w:r>
                      <w:r w:rsidR="00707BC0" w:rsidRPr="00936D59">
                        <w:rPr>
                          <w:szCs w:val="20"/>
                        </w:rPr>
                        <w:t xml:space="preserve"> 73% of average farm income.</w:t>
                      </w:r>
                    </w:p>
                    <w:p w14:paraId="6E0BED8E" w14:textId="77777777" w:rsidR="00760E08" w:rsidRPr="00936D59" w:rsidRDefault="00760E08" w:rsidP="00760E08">
                      <w:pPr>
                        <w:pStyle w:val="ListParagraph"/>
                        <w:numPr>
                          <w:ilvl w:val="0"/>
                          <w:numId w:val="8"/>
                        </w:numPr>
                        <w:rPr>
                          <w:szCs w:val="20"/>
                        </w:rPr>
                      </w:pPr>
                      <w:r w:rsidRPr="00936D59">
                        <w:rPr>
                          <w:szCs w:val="20"/>
                        </w:rPr>
                        <w:t>Pasture fertiliser was the largest operating cost, accounting for 15% of total farm cash costs.</w:t>
                      </w:r>
                    </w:p>
                    <w:p w14:paraId="5B71759F" w14:textId="61255D34" w:rsidR="00F24B7D" w:rsidRPr="00E34D3E" w:rsidRDefault="00707BC0" w:rsidP="00E34D3E">
                      <w:pPr>
                        <w:pStyle w:val="ListParagraph"/>
                        <w:numPr>
                          <w:ilvl w:val="0"/>
                          <w:numId w:val="8"/>
                        </w:numPr>
                        <w:rPr>
                          <w:szCs w:val="20"/>
                        </w:rPr>
                      </w:pPr>
                      <w:r w:rsidRPr="00E34D3E">
                        <w:rPr>
                          <w:szCs w:val="20"/>
                        </w:rPr>
                        <w:t>Beef prices rose but stayed below five- and ten-year averages</w:t>
                      </w:r>
                      <w:r w:rsidR="00E34D3E" w:rsidRPr="00E34D3E">
                        <w:rPr>
                          <w:szCs w:val="20"/>
                        </w:rPr>
                        <w:t xml:space="preserve">. </w:t>
                      </w:r>
                      <w:r w:rsidR="00F24B7D" w:rsidRPr="00E34D3E">
                        <w:rPr>
                          <w:szCs w:val="20"/>
                        </w:rPr>
                        <w:t xml:space="preserve">Despite </w:t>
                      </w:r>
                      <w:r w:rsidR="00E34D3E">
                        <w:rPr>
                          <w:szCs w:val="20"/>
                        </w:rPr>
                        <w:t>the</w:t>
                      </w:r>
                      <w:r w:rsidR="00F24B7D" w:rsidRPr="00E34D3E">
                        <w:rPr>
                          <w:szCs w:val="20"/>
                        </w:rPr>
                        <w:t xml:space="preserve"> increase in </w:t>
                      </w:r>
                      <w:r w:rsidR="00166407" w:rsidRPr="00E34D3E">
                        <w:rPr>
                          <w:szCs w:val="20"/>
                        </w:rPr>
                        <w:t>prices, b</w:t>
                      </w:r>
                      <w:r w:rsidR="00F24B7D" w:rsidRPr="00E34D3E">
                        <w:rPr>
                          <w:szCs w:val="20"/>
                        </w:rPr>
                        <w:t>eef gross margins fell</w:t>
                      </w:r>
                      <w:r w:rsidR="00166407" w:rsidRPr="00E34D3E">
                        <w:rPr>
                          <w:szCs w:val="20"/>
                        </w:rPr>
                        <w:t xml:space="preserve"> </w:t>
                      </w:r>
                      <w:r w:rsidR="00D42139" w:rsidRPr="00E34D3E">
                        <w:rPr>
                          <w:szCs w:val="20"/>
                        </w:rPr>
                        <w:t xml:space="preserve">below </w:t>
                      </w:r>
                      <w:r w:rsidR="00F24B7D" w:rsidRPr="00E34D3E">
                        <w:rPr>
                          <w:szCs w:val="20"/>
                        </w:rPr>
                        <w:t>the five-year average</w:t>
                      </w:r>
                      <w:r w:rsidR="00D42139" w:rsidRPr="00E34D3E">
                        <w:rPr>
                          <w:szCs w:val="20"/>
                        </w:rPr>
                        <w:t xml:space="preserve"> and </w:t>
                      </w:r>
                      <w:r w:rsidR="00991327" w:rsidRPr="00E34D3E">
                        <w:rPr>
                          <w:szCs w:val="20"/>
                        </w:rPr>
                        <w:t xml:space="preserve">were </w:t>
                      </w:r>
                      <w:r w:rsidR="00F24B7D" w:rsidRPr="00E34D3E">
                        <w:rPr>
                          <w:szCs w:val="20"/>
                        </w:rPr>
                        <w:t>the second lowest in the past decade.</w:t>
                      </w:r>
                    </w:p>
                    <w:p w14:paraId="71F5A39D" w14:textId="70770BD2" w:rsidR="00704889" w:rsidRPr="00936D59" w:rsidRDefault="00AE67B6" w:rsidP="00707BC0">
                      <w:pPr>
                        <w:pStyle w:val="ListParagraph"/>
                        <w:numPr>
                          <w:ilvl w:val="0"/>
                          <w:numId w:val="8"/>
                        </w:numPr>
                        <w:rPr>
                          <w:szCs w:val="20"/>
                        </w:rPr>
                      </w:pPr>
                      <w:r>
                        <w:rPr>
                          <w:szCs w:val="20"/>
                        </w:rPr>
                        <w:t>A d</w:t>
                      </w:r>
                      <w:r w:rsidR="00643491" w:rsidRPr="00936D59">
                        <w:rPr>
                          <w:szCs w:val="20"/>
                        </w:rPr>
                        <w:t>ecreas</w:t>
                      </w:r>
                      <w:r w:rsidR="00B27747" w:rsidRPr="00936D59">
                        <w:rPr>
                          <w:szCs w:val="20"/>
                        </w:rPr>
                        <w:t>e</w:t>
                      </w:r>
                      <w:r>
                        <w:rPr>
                          <w:szCs w:val="20"/>
                        </w:rPr>
                        <w:t xml:space="preserve"> in</w:t>
                      </w:r>
                      <w:r w:rsidR="00B27747" w:rsidRPr="00936D59">
                        <w:rPr>
                          <w:szCs w:val="20"/>
                        </w:rPr>
                        <w:t xml:space="preserve"> price received and increased costs led to w</w:t>
                      </w:r>
                      <w:r w:rsidR="005E1005" w:rsidRPr="00936D59">
                        <w:rPr>
                          <w:szCs w:val="20"/>
                        </w:rPr>
                        <w:t>ool</w:t>
                      </w:r>
                      <w:r w:rsidR="00B27747" w:rsidRPr="00936D59">
                        <w:rPr>
                          <w:szCs w:val="20"/>
                        </w:rPr>
                        <w:t xml:space="preserve"> sheep</w:t>
                      </w:r>
                      <w:r w:rsidR="005E1005" w:rsidRPr="00936D59">
                        <w:rPr>
                          <w:szCs w:val="20"/>
                        </w:rPr>
                        <w:t xml:space="preserve"> gross margins </w:t>
                      </w:r>
                      <w:r w:rsidR="00B27747" w:rsidRPr="00936D59">
                        <w:rPr>
                          <w:szCs w:val="20"/>
                        </w:rPr>
                        <w:t>falling</w:t>
                      </w:r>
                      <w:r w:rsidR="005E1005" w:rsidRPr="00936D59">
                        <w:rPr>
                          <w:szCs w:val="20"/>
                        </w:rPr>
                        <w:t xml:space="preserve"> to</w:t>
                      </w:r>
                      <w:r w:rsidR="00704889" w:rsidRPr="00936D59">
                        <w:rPr>
                          <w:szCs w:val="20"/>
                        </w:rPr>
                        <w:t xml:space="preserve"> the lowest value in over a decade</w:t>
                      </w:r>
                    </w:p>
                    <w:p w14:paraId="305A0106" w14:textId="2A105E8B" w:rsidR="00936D59" w:rsidRPr="00936D59" w:rsidRDefault="00936D59" w:rsidP="00936D59">
                      <w:pPr>
                        <w:pStyle w:val="ListParagraph"/>
                        <w:numPr>
                          <w:ilvl w:val="0"/>
                          <w:numId w:val="8"/>
                        </w:numPr>
                        <w:rPr>
                          <w:szCs w:val="20"/>
                        </w:rPr>
                      </w:pPr>
                      <w:r w:rsidRPr="00936D59">
                        <w:rPr>
                          <w:szCs w:val="20"/>
                        </w:rPr>
                        <w:t>Negative farm profits were recorded on 59% of LFMP farms in Gippsland.</w:t>
                      </w:r>
                    </w:p>
                    <w:p w14:paraId="36A8B478" w14:textId="5056AF5A" w:rsidR="00C31680" w:rsidRPr="00936D59" w:rsidRDefault="00C31680" w:rsidP="00C31680">
                      <w:pPr>
                        <w:pStyle w:val="ListParagraph"/>
                        <w:numPr>
                          <w:ilvl w:val="0"/>
                          <w:numId w:val="8"/>
                        </w:numPr>
                        <w:rPr>
                          <w:szCs w:val="20"/>
                        </w:rPr>
                      </w:pPr>
                      <w:r w:rsidRPr="00936D59">
                        <w:rPr>
                          <w:szCs w:val="20"/>
                        </w:rPr>
                        <w:t xml:space="preserve">Average farm </w:t>
                      </w:r>
                      <w:r w:rsidR="00D52AD9" w:rsidRPr="00936D59">
                        <w:rPr>
                          <w:szCs w:val="20"/>
                        </w:rPr>
                        <w:t xml:space="preserve">business </w:t>
                      </w:r>
                      <w:r w:rsidRPr="00936D59">
                        <w:rPr>
                          <w:szCs w:val="20"/>
                        </w:rPr>
                        <w:t xml:space="preserve">equity </w:t>
                      </w:r>
                      <w:r w:rsidR="00936D59" w:rsidRPr="00936D59">
                        <w:rPr>
                          <w:szCs w:val="20"/>
                        </w:rPr>
                        <w:t>percentage increased</w:t>
                      </w:r>
                      <w:r w:rsidR="00D52AD9" w:rsidRPr="00936D59">
                        <w:rPr>
                          <w:szCs w:val="20"/>
                        </w:rPr>
                        <w:t xml:space="preserve"> </w:t>
                      </w:r>
                      <w:r w:rsidRPr="00936D59">
                        <w:rPr>
                          <w:szCs w:val="20"/>
                        </w:rPr>
                        <w:t xml:space="preserve">to 86%, the highest of all LFMP regions, supported by </w:t>
                      </w:r>
                      <w:r w:rsidR="00D52AD9" w:rsidRPr="00936D59">
                        <w:rPr>
                          <w:szCs w:val="20"/>
                        </w:rPr>
                        <w:t xml:space="preserve">lower debt </w:t>
                      </w:r>
                      <w:r w:rsidR="00C2319E" w:rsidRPr="00936D59">
                        <w:rPr>
                          <w:szCs w:val="20"/>
                        </w:rPr>
                        <w:t xml:space="preserve">levels and </w:t>
                      </w:r>
                      <w:r w:rsidRPr="00936D59">
                        <w:rPr>
                          <w:szCs w:val="20"/>
                        </w:rPr>
                        <w:t>higher land values.</w:t>
                      </w:r>
                    </w:p>
                    <w:p w14:paraId="48C31A59" w14:textId="0309E913" w:rsidR="00782800" w:rsidRPr="00936D59" w:rsidRDefault="00C57976" w:rsidP="00216998">
                      <w:pPr>
                        <w:pStyle w:val="ListParagraph"/>
                        <w:numPr>
                          <w:ilvl w:val="0"/>
                          <w:numId w:val="8"/>
                        </w:numPr>
                        <w:rPr>
                          <w:szCs w:val="20"/>
                        </w:rPr>
                      </w:pPr>
                      <w:r w:rsidRPr="00936D59">
                        <w:rPr>
                          <w:szCs w:val="20"/>
                        </w:rPr>
                        <w:t>D</w:t>
                      </w:r>
                      <w:r w:rsidR="006C0465">
                        <w:rPr>
                          <w:szCs w:val="20"/>
                        </w:rPr>
                        <w:t>ebt levels and</w:t>
                      </w:r>
                      <w:r w:rsidRPr="00936D59">
                        <w:rPr>
                          <w:szCs w:val="20"/>
                        </w:rPr>
                        <w:t xml:space="preserve"> interest costs remained high, </w:t>
                      </w:r>
                      <w:r w:rsidR="00C31680" w:rsidRPr="00936D59">
                        <w:rPr>
                          <w:szCs w:val="20"/>
                        </w:rPr>
                        <w:t>amplifying</w:t>
                      </w:r>
                      <w:r w:rsidRPr="00936D59">
                        <w:rPr>
                          <w:szCs w:val="20"/>
                        </w:rPr>
                        <w:t xml:space="preserve"> losses</w:t>
                      </w:r>
                      <w:r w:rsidR="000B2EF4" w:rsidRPr="00936D59">
                        <w:rPr>
                          <w:szCs w:val="20"/>
                        </w:rPr>
                        <w:t xml:space="preserve"> and </w:t>
                      </w:r>
                      <w:r w:rsidR="001355D8">
                        <w:rPr>
                          <w:szCs w:val="20"/>
                        </w:rPr>
                        <w:t xml:space="preserve">a </w:t>
                      </w:r>
                      <w:r w:rsidR="000B2EF4" w:rsidRPr="00936D59">
                        <w:rPr>
                          <w:szCs w:val="20"/>
                        </w:rPr>
                        <w:t>n</w:t>
                      </w:r>
                      <w:r w:rsidRPr="00936D59">
                        <w:rPr>
                          <w:szCs w:val="20"/>
                        </w:rPr>
                        <w:t>egative</w:t>
                      </w:r>
                      <w:r w:rsidR="001355D8">
                        <w:rPr>
                          <w:szCs w:val="20"/>
                        </w:rPr>
                        <w:t xml:space="preserve"> average</w:t>
                      </w:r>
                      <w:r w:rsidRPr="00936D59">
                        <w:rPr>
                          <w:szCs w:val="20"/>
                        </w:rPr>
                        <w:t xml:space="preserve"> return on equity w</w:t>
                      </w:r>
                      <w:r w:rsidR="001355D8">
                        <w:rPr>
                          <w:szCs w:val="20"/>
                        </w:rPr>
                        <w:t>as</w:t>
                      </w:r>
                      <w:r w:rsidRPr="00936D59">
                        <w:rPr>
                          <w:szCs w:val="20"/>
                        </w:rPr>
                        <w:t xml:space="preserve"> recorded for the third consecutive year.</w:t>
                      </w:r>
                    </w:p>
                    <w:p w14:paraId="7B4F92BE" w14:textId="0062D84A" w:rsidR="00842DD0" w:rsidRDefault="00842DD0"/>
                  </w:txbxContent>
                </v:textbox>
                <w10:wrap type="square" anchorx="margin"/>
              </v:shape>
            </w:pict>
          </mc:Fallback>
        </mc:AlternateContent>
      </w:r>
    </w:p>
    <w:p w14:paraId="183C838B" w14:textId="3C1D8A07" w:rsidR="001F749A" w:rsidRDefault="001F749A" w:rsidP="000E65DA">
      <w:pPr>
        <w:pStyle w:val="Caption"/>
        <w:rPr>
          <w:color w:val="FF0000"/>
        </w:rPr>
        <w:sectPr w:rsidR="001F749A" w:rsidSect="00652A32">
          <w:type w:val="continuous"/>
          <w:pgSz w:w="11906" w:h="16838"/>
          <w:pgMar w:top="1440" w:right="1440" w:bottom="1440" w:left="1440" w:header="708" w:footer="708" w:gutter="0"/>
          <w:cols w:num="2" w:space="708"/>
          <w:docGrid w:linePitch="360"/>
        </w:sectPr>
      </w:pPr>
    </w:p>
    <w:tbl>
      <w:tblPr>
        <w:tblW w:w="7240" w:type="dxa"/>
        <w:tblLook w:val="04A0" w:firstRow="1" w:lastRow="0" w:firstColumn="1" w:lastColumn="0" w:noHBand="0" w:noVBand="1"/>
      </w:tblPr>
      <w:tblGrid>
        <w:gridCol w:w="4400"/>
        <w:gridCol w:w="1480"/>
        <w:gridCol w:w="1360"/>
      </w:tblGrid>
      <w:tr w:rsidR="00370E97" w:rsidRPr="00370E97" w14:paraId="19109D46" w14:textId="77777777" w:rsidTr="00370E97">
        <w:trPr>
          <w:trHeight w:val="300"/>
        </w:trPr>
        <w:tc>
          <w:tcPr>
            <w:tcW w:w="4400" w:type="dxa"/>
            <w:tcBorders>
              <w:top w:val="nil"/>
              <w:left w:val="nil"/>
              <w:bottom w:val="nil"/>
              <w:right w:val="nil"/>
            </w:tcBorders>
            <w:shd w:val="clear" w:color="000000" w:fill="FFFFFF"/>
            <w:noWrap/>
            <w:vAlign w:val="bottom"/>
            <w:hideMark/>
          </w:tcPr>
          <w:p w14:paraId="6294F977" w14:textId="77777777" w:rsidR="00370E97" w:rsidRPr="00370E97" w:rsidRDefault="00370E97" w:rsidP="00370E97">
            <w:pPr>
              <w:spacing w:after="0" w:line="240" w:lineRule="auto"/>
              <w:rPr>
                <w:rFonts w:ascii="Calibri" w:eastAsia="Times New Roman" w:hAnsi="Calibri" w:cs="Calibri"/>
                <w:b/>
                <w:bCs/>
                <w:color w:val="000000"/>
                <w:szCs w:val="20"/>
                <w:lang w:eastAsia="en-AU"/>
              </w:rPr>
            </w:pPr>
            <w:r w:rsidRPr="00370E97">
              <w:rPr>
                <w:rFonts w:ascii="Calibri" w:eastAsia="Times New Roman" w:hAnsi="Calibri" w:cs="Calibri"/>
                <w:b/>
                <w:bCs/>
                <w:color w:val="000000"/>
                <w:szCs w:val="20"/>
                <w:lang w:eastAsia="en-AU"/>
              </w:rPr>
              <w:t> </w:t>
            </w:r>
          </w:p>
        </w:tc>
        <w:tc>
          <w:tcPr>
            <w:tcW w:w="1480" w:type="dxa"/>
            <w:tcBorders>
              <w:top w:val="nil"/>
              <w:left w:val="nil"/>
              <w:bottom w:val="nil"/>
              <w:right w:val="nil"/>
            </w:tcBorders>
            <w:shd w:val="clear" w:color="000000" w:fill="FFFFFF"/>
            <w:noWrap/>
            <w:vAlign w:val="bottom"/>
            <w:hideMark/>
          </w:tcPr>
          <w:p w14:paraId="0833420B" w14:textId="77777777" w:rsidR="00370E97" w:rsidRPr="00370E97" w:rsidRDefault="00370E97" w:rsidP="00370E97">
            <w:pPr>
              <w:spacing w:after="0" w:line="240" w:lineRule="auto"/>
              <w:jc w:val="center"/>
              <w:rPr>
                <w:rFonts w:ascii="Calibri" w:eastAsia="Times New Roman" w:hAnsi="Calibri" w:cs="Calibri"/>
                <w:b/>
                <w:bCs/>
                <w:color w:val="000000"/>
                <w:szCs w:val="20"/>
                <w:lang w:eastAsia="en-AU"/>
              </w:rPr>
            </w:pPr>
            <w:r w:rsidRPr="00370E97">
              <w:rPr>
                <w:rFonts w:ascii="Calibri" w:eastAsia="Times New Roman" w:hAnsi="Calibri" w:cs="Calibri"/>
                <w:b/>
                <w:bCs/>
                <w:color w:val="000000"/>
                <w:szCs w:val="20"/>
                <w:lang w:eastAsia="en-AU"/>
              </w:rPr>
              <w:t>5-yr average</w:t>
            </w:r>
          </w:p>
        </w:tc>
        <w:tc>
          <w:tcPr>
            <w:tcW w:w="1360" w:type="dxa"/>
            <w:tcBorders>
              <w:top w:val="nil"/>
              <w:left w:val="nil"/>
              <w:bottom w:val="nil"/>
              <w:right w:val="nil"/>
            </w:tcBorders>
            <w:shd w:val="clear" w:color="000000" w:fill="FFFFFF"/>
            <w:noWrap/>
            <w:vAlign w:val="bottom"/>
            <w:hideMark/>
          </w:tcPr>
          <w:p w14:paraId="3179647B" w14:textId="77777777" w:rsidR="00370E97" w:rsidRPr="00370E97" w:rsidRDefault="00370E97" w:rsidP="00370E97">
            <w:pPr>
              <w:spacing w:after="0" w:line="240" w:lineRule="auto"/>
              <w:jc w:val="center"/>
              <w:rPr>
                <w:rFonts w:ascii="Calibri" w:eastAsia="Times New Roman" w:hAnsi="Calibri" w:cs="Calibri"/>
                <w:b/>
                <w:bCs/>
                <w:color w:val="000000"/>
                <w:szCs w:val="20"/>
                <w:lang w:eastAsia="en-AU"/>
              </w:rPr>
            </w:pPr>
            <w:r w:rsidRPr="00370E97">
              <w:rPr>
                <w:rFonts w:ascii="Calibri" w:eastAsia="Times New Roman" w:hAnsi="Calibri" w:cs="Calibri"/>
                <w:b/>
                <w:bCs/>
                <w:color w:val="000000"/>
                <w:szCs w:val="20"/>
                <w:lang w:eastAsia="en-AU"/>
              </w:rPr>
              <w:t>2024-25</w:t>
            </w:r>
          </w:p>
        </w:tc>
      </w:tr>
      <w:tr w:rsidR="00370E97" w:rsidRPr="00370E97" w14:paraId="6BE66BEF" w14:textId="77777777" w:rsidTr="00370E97">
        <w:trPr>
          <w:trHeight w:val="300"/>
        </w:trPr>
        <w:tc>
          <w:tcPr>
            <w:tcW w:w="4400" w:type="dxa"/>
            <w:tcBorders>
              <w:top w:val="nil"/>
              <w:left w:val="nil"/>
              <w:bottom w:val="nil"/>
              <w:right w:val="nil"/>
            </w:tcBorders>
            <w:shd w:val="clear" w:color="000000" w:fill="FFFFFF"/>
            <w:noWrap/>
            <w:vAlign w:val="bottom"/>
            <w:hideMark/>
          </w:tcPr>
          <w:p w14:paraId="2D6E510F" w14:textId="77777777" w:rsidR="00370E97" w:rsidRPr="00370E97" w:rsidRDefault="00370E97" w:rsidP="00370E97">
            <w:pPr>
              <w:spacing w:after="0" w:line="240" w:lineRule="auto"/>
              <w:rPr>
                <w:rFonts w:ascii="Calibri" w:eastAsia="Times New Roman" w:hAnsi="Calibri" w:cs="Calibri"/>
                <w:b/>
                <w:bCs/>
                <w:color w:val="000000"/>
                <w:szCs w:val="20"/>
                <w:lang w:eastAsia="en-AU"/>
              </w:rPr>
            </w:pPr>
            <w:r w:rsidRPr="00370E97">
              <w:rPr>
                <w:rFonts w:ascii="Calibri" w:eastAsia="Times New Roman" w:hAnsi="Calibri" w:cs="Calibri"/>
                <w:b/>
                <w:bCs/>
                <w:color w:val="000000"/>
                <w:szCs w:val="20"/>
                <w:lang w:eastAsia="en-AU"/>
              </w:rPr>
              <w:t> </w:t>
            </w:r>
          </w:p>
        </w:tc>
        <w:tc>
          <w:tcPr>
            <w:tcW w:w="1480" w:type="dxa"/>
            <w:tcBorders>
              <w:top w:val="nil"/>
              <w:left w:val="nil"/>
              <w:bottom w:val="nil"/>
              <w:right w:val="nil"/>
            </w:tcBorders>
            <w:shd w:val="clear" w:color="000000" w:fill="FFFFFF"/>
            <w:noWrap/>
            <w:vAlign w:val="bottom"/>
            <w:hideMark/>
          </w:tcPr>
          <w:p w14:paraId="7C2882FD" w14:textId="77777777" w:rsidR="00370E97" w:rsidRPr="00370E97" w:rsidRDefault="00370E97" w:rsidP="00370E97">
            <w:pPr>
              <w:spacing w:after="0" w:line="240" w:lineRule="auto"/>
              <w:jc w:val="center"/>
              <w:rPr>
                <w:rFonts w:ascii="Calibri" w:eastAsia="Times New Roman" w:hAnsi="Calibri" w:cs="Calibri"/>
                <w:b/>
                <w:bCs/>
                <w:color w:val="000000"/>
                <w:szCs w:val="20"/>
                <w:lang w:eastAsia="en-AU"/>
              </w:rPr>
            </w:pPr>
            <w:r w:rsidRPr="00370E97">
              <w:rPr>
                <w:rFonts w:ascii="Calibri" w:eastAsia="Times New Roman" w:hAnsi="Calibri" w:cs="Calibri"/>
                <w:b/>
                <w:bCs/>
                <w:color w:val="000000"/>
                <w:szCs w:val="20"/>
                <w:lang w:eastAsia="en-AU"/>
              </w:rPr>
              <w:t> </w:t>
            </w:r>
          </w:p>
        </w:tc>
        <w:tc>
          <w:tcPr>
            <w:tcW w:w="1360" w:type="dxa"/>
            <w:tcBorders>
              <w:top w:val="nil"/>
              <w:left w:val="nil"/>
              <w:bottom w:val="nil"/>
              <w:right w:val="nil"/>
            </w:tcBorders>
            <w:shd w:val="clear" w:color="000000" w:fill="FFFFFF"/>
            <w:noWrap/>
            <w:vAlign w:val="bottom"/>
            <w:hideMark/>
          </w:tcPr>
          <w:p w14:paraId="39361C3F" w14:textId="77777777" w:rsidR="00370E97" w:rsidRPr="00370E97" w:rsidRDefault="00370E97" w:rsidP="00370E97">
            <w:pPr>
              <w:spacing w:after="0" w:line="240" w:lineRule="auto"/>
              <w:jc w:val="center"/>
              <w:rPr>
                <w:rFonts w:ascii="Calibri" w:eastAsia="Times New Roman" w:hAnsi="Calibri" w:cs="Calibri"/>
                <w:b/>
                <w:bCs/>
                <w:color w:val="000000"/>
                <w:szCs w:val="20"/>
                <w:lang w:eastAsia="en-AU"/>
              </w:rPr>
            </w:pPr>
            <w:r w:rsidRPr="00370E97">
              <w:rPr>
                <w:rFonts w:ascii="Calibri" w:eastAsia="Times New Roman" w:hAnsi="Calibri" w:cs="Calibri"/>
                <w:b/>
                <w:bCs/>
                <w:color w:val="000000"/>
                <w:szCs w:val="20"/>
                <w:lang w:eastAsia="en-AU"/>
              </w:rPr>
              <w:t> </w:t>
            </w:r>
          </w:p>
        </w:tc>
      </w:tr>
      <w:tr w:rsidR="00370E97" w:rsidRPr="00370E97" w14:paraId="3793D833" w14:textId="77777777" w:rsidTr="00370E97">
        <w:trPr>
          <w:trHeight w:val="300"/>
        </w:trPr>
        <w:tc>
          <w:tcPr>
            <w:tcW w:w="4400" w:type="dxa"/>
            <w:tcBorders>
              <w:top w:val="nil"/>
              <w:left w:val="nil"/>
              <w:bottom w:val="nil"/>
              <w:right w:val="nil"/>
            </w:tcBorders>
            <w:shd w:val="clear" w:color="000000" w:fill="FFFFFF"/>
            <w:noWrap/>
            <w:vAlign w:val="bottom"/>
            <w:hideMark/>
          </w:tcPr>
          <w:p w14:paraId="01C7A1DF" w14:textId="77777777" w:rsidR="00370E97" w:rsidRPr="00370E97" w:rsidRDefault="00370E97" w:rsidP="00370E97">
            <w:pPr>
              <w:spacing w:after="0" w:line="240" w:lineRule="auto"/>
              <w:rPr>
                <w:rFonts w:ascii="Calibri" w:eastAsia="Times New Roman" w:hAnsi="Calibri" w:cs="Calibri"/>
                <w:b/>
                <w:bCs/>
                <w:color w:val="000000"/>
                <w:szCs w:val="20"/>
                <w:lang w:eastAsia="en-AU"/>
              </w:rPr>
            </w:pPr>
            <w:r w:rsidRPr="00370E97">
              <w:rPr>
                <w:rFonts w:ascii="Calibri" w:eastAsia="Times New Roman" w:hAnsi="Calibri" w:cs="Calibri"/>
                <w:b/>
                <w:bCs/>
                <w:color w:val="000000"/>
                <w:szCs w:val="20"/>
                <w:lang w:eastAsia="en-AU"/>
              </w:rPr>
              <w:t>Enterprise income</w:t>
            </w:r>
          </w:p>
        </w:tc>
        <w:tc>
          <w:tcPr>
            <w:tcW w:w="1480" w:type="dxa"/>
            <w:tcBorders>
              <w:top w:val="nil"/>
              <w:left w:val="nil"/>
              <w:bottom w:val="nil"/>
              <w:right w:val="nil"/>
            </w:tcBorders>
            <w:shd w:val="clear" w:color="000000" w:fill="FFFFFF"/>
            <w:noWrap/>
            <w:vAlign w:val="bottom"/>
            <w:hideMark/>
          </w:tcPr>
          <w:p w14:paraId="629986CE" w14:textId="77777777" w:rsidR="00370E97" w:rsidRPr="00370E97" w:rsidRDefault="00370E97" w:rsidP="00370E97">
            <w:pPr>
              <w:spacing w:after="0" w:line="240" w:lineRule="auto"/>
              <w:jc w:val="center"/>
              <w:rPr>
                <w:rFonts w:ascii="Calibri" w:eastAsia="Times New Roman" w:hAnsi="Calibri" w:cs="Calibri"/>
                <w:b/>
                <w:bCs/>
                <w:color w:val="000000"/>
                <w:szCs w:val="20"/>
                <w:lang w:eastAsia="en-AU"/>
              </w:rPr>
            </w:pPr>
            <w:r w:rsidRPr="00370E97">
              <w:rPr>
                <w:rFonts w:ascii="Calibri" w:eastAsia="Times New Roman" w:hAnsi="Calibri" w:cs="Calibri"/>
                <w:b/>
                <w:bCs/>
                <w:color w:val="000000"/>
                <w:szCs w:val="20"/>
                <w:lang w:eastAsia="en-AU"/>
              </w:rPr>
              <w:t> </w:t>
            </w:r>
          </w:p>
        </w:tc>
        <w:tc>
          <w:tcPr>
            <w:tcW w:w="1360" w:type="dxa"/>
            <w:tcBorders>
              <w:top w:val="nil"/>
              <w:left w:val="nil"/>
              <w:bottom w:val="nil"/>
              <w:right w:val="nil"/>
            </w:tcBorders>
            <w:shd w:val="clear" w:color="000000" w:fill="FFFFFF"/>
            <w:noWrap/>
            <w:vAlign w:val="bottom"/>
            <w:hideMark/>
          </w:tcPr>
          <w:p w14:paraId="36D57FC7" w14:textId="77777777" w:rsidR="00370E97" w:rsidRPr="00370E97" w:rsidRDefault="00370E97" w:rsidP="00370E97">
            <w:pPr>
              <w:spacing w:after="0" w:line="240" w:lineRule="auto"/>
              <w:jc w:val="center"/>
              <w:rPr>
                <w:rFonts w:ascii="Calibri" w:eastAsia="Times New Roman" w:hAnsi="Calibri" w:cs="Calibri"/>
                <w:b/>
                <w:bCs/>
                <w:color w:val="000000"/>
                <w:szCs w:val="20"/>
                <w:lang w:eastAsia="en-AU"/>
              </w:rPr>
            </w:pPr>
            <w:r w:rsidRPr="00370E97">
              <w:rPr>
                <w:rFonts w:ascii="Calibri" w:eastAsia="Times New Roman" w:hAnsi="Calibri" w:cs="Calibri"/>
                <w:b/>
                <w:bCs/>
                <w:color w:val="000000"/>
                <w:szCs w:val="20"/>
                <w:lang w:eastAsia="en-AU"/>
              </w:rPr>
              <w:t> </w:t>
            </w:r>
          </w:p>
        </w:tc>
      </w:tr>
      <w:tr w:rsidR="00370E97" w:rsidRPr="00370E97" w14:paraId="3F9CE32E" w14:textId="77777777" w:rsidTr="00370E97">
        <w:trPr>
          <w:trHeight w:val="300"/>
        </w:trPr>
        <w:tc>
          <w:tcPr>
            <w:tcW w:w="4400" w:type="dxa"/>
            <w:tcBorders>
              <w:top w:val="nil"/>
              <w:left w:val="nil"/>
              <w:bottom w:val="nil"/>
              <w:right w:val="nil"/>
            </w:tcBorders>
            <w:shd w:val="clear" w:color="000000" w:fill="FFFFFF"/>
            <w:noWrap/>
            <w:vAlign w:val="bottom"/>
            <w:hideMark/>
          </w:tcPr>
          <w:p w14:paraId="3DD9ED60"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Beef income ($/ha)</w:t>
            </w:r>
          </w:p>
        </w:tc>
        <w:tc>
          <w:tcPr>
            <w:tcW w:w="1480" w:type="dxa"/>
            <w:tcBorders>
              <w:top w:val="nil"/>
              <w:left w:val="nil"/>
              <w:bottom w:val="nil"/>
              <w:right w:val="nil"/>
            </w:tcBorders>
            <w:shd w:val="clear" w:color="000000" w:fill="FFFFFF"/>
            <w:noWrap/>
            <w:vAlign w:val="bottom"/>
            <w:hideMark/>
          </w:tcPr>
          <w:p w14:paraId="6C745556" w14:textId="51F7EC94"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1</w:t>
            </w:r>
            <w:r w:rsidR="008C0E47">
              <w:rPr>
                <w:rFonts w:ascii="Calibri" w:eastAsia="Times New Roman" w:hAnsi="Calibri" w:cs="Calibri"/>
                <w:color w:val="000000"/>
                <w:szCs w:val="20"/>
                <w:lang w:eastAsia="en-AU"/>
              </w:rPr>
              <w:t>,</w:t>
            </w:r>
            <w:r w:rsidRPr="00370E97">
              <w:rPr>
                <w:rFonts w:ascii="Calibri" w:eastAsia="Times New Roman" w:hAnsi="Calibri" w:cs="Calibri"/>
                <w:color w:val="000000"/>
                <w:szCs w:val="20"/>
                <w:lang w:eastAsia="en-AU"/>
              </w:rPr>
              <w:t>264</w:t>
            </w:r>
          </w:p>
        </w:tc>
        <w:tc>
          <w:tcPr>
            <w:tcW w:w="1360" w:type="dxa"/>
            <w:tcBorders>
              <w:top w:val="nil"/>
              <w:left w:val="nil"/>
              <w:bottom w:val="nil"/>
              <w:right w:val="nil"/>
            </w:tcBorders>
            <w:shd w:val="clear" w:color="000000" w:fill="FFFFFF"/>
            <w:noWrap/>
            <w:vAlign w:val="bottom"/>
            <w:hideMark/>
          </w:tcPr>
          <w:p w14:paraId="45FABFCD" w14:textId="77777777" w:rsidR="00370E97" w:rsidRPr="00370E97" w:rsidRDefault="00370E97" w:rsidP="00370E97">
            <w:pPr>
              <w:spacing w:after="0" w:line="240" w:lineRule="auto"/>
              <w:jc w:val="center"/>
              <w:rPr>
                <w:rFonts w:ascii="Calibri" w:eastAsia="Times New Roman" w:hAnsi="Calibri" w:cs="Calibri"/>
                <w:szCs w:val="20"/>
                <w:lang w:eastAsia="en-AU"/>
              </w:rPr>
            </w:pPr>
            <w:r w:rsidRPr="00370E97">
              <w:rPr>
                <w:rFonts w:ascii="Calibri" w:eastAsia="Times New Roman" w:hAnsi="Calibri" w:cs="Calibri"/>
                <w:szCs w:val="20"/>
                <w:lang w:eastAsia="en-AU"/>
              </w:rPr>
              <w:t>992</w:t>
            </w:r>
          </w:p>
        </w:tc>
      </w:tr>
      <w:tr w:rsidR="00370E97" w:rsidRPr="00370E97" w14:paraId="44203936" w14:textId="77777777" w:rsidTr="00370E97">
        <w:trPr>
          <w:trHeight w:val="300"/>
        </w:trPr>
        <w:tc>
          <w:tcPr>
            <w:tcW w:w="4400" w:type="dxa"/>
            <w:tcBorders>
              <w:top w:val="nil"/>
              <w:left w:val="nil"/>
              <w:bottom w:val="nil"/>
              <w:right w:val="nil"/>
            </w:tcBorders>
            <w:shd w:val="clear" w:color="000000" w:fill="FFFFFF"/>
            <w:noWrap/>
            <w:vAlign w:val="bottom"/>
            <w:hideMark/>
          </w:tcPr>
          <w:p w14:paraId="00C42F09" w14:textId="544489BB"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xml:space="preserve">Prime </w:t>
            </w:r>
            <w:r w:rsidR="00DE35B6">
              <w:rPr>
                <w:rFonts w:ascii="Calibri" w:eastAsia="Times New Roman" w:hAnsi="Calibri" w:cs="Calibri"/>
                <w:color w:val="000000"/>
                <w:szCs w:val="20"/>
                <w:lang w:eastAsia="en-AU"/>
              </w:rPr>
              <w:t>l</w:t>
            </w:r>
            <w:r w:rsidRPr="00370E97">
              <w:rPr>
                <w:rFonts w:ascii="Calibri" w:eastAsia="Times New Roman" w:hAnsi="Calibri" w:cs="Calibri"/>
                <w:color w:val="000000"/>
                <w:szCs w:val="20"/>
                <w:lang w:eastAsia="en-AU"/>
              </w:rPr>
              <w:t>amb income ($/ha)</w:t>
            </w:r>
          </w:p>
        </w:tc>
        <w:tc>
          <w:tcPr>
            <w:tcW w:w="1480" w:type="dxa"/>
            <w:tcBorders>
              <w:top w:val="nil"/>
              <w:left w:val="nil"/>
              <w:bottom w:val="nil"/>
              <w:right w:val="nil"/>
            </w:tcBorders>
            <w:shd w:val="clear" w:color="000000" w:fill="FFFFFF"/>
            <w:noWrap/>
            <w:vAlign w:val="bottom"/>
            <w:hideMark/>
          </w:tcPr>
          <w:p w14:paraId="014D1F26" w14:textId="77777777" w:rsidR="00370E97" w:rsidRPr="00370E97" w:rsidRDefault="00370E97" w:rsidP="00370E97">
            <w:pPr>
              <w:spacing w:after="0" w:line="240" w:lineRule="auto"/>
              <w:jc w:val="center"/>
              <w:rPr>
                <w:rFonts w:ascii="Calibri" w:eastAsia="Times New Roman" w:hAnsi="Calibri" w:cs="Calibri"/>
                <w:szCs w:val="20"/>
                <w:lang w:eastAsia="en-AU"/>
              </w:rPr>
            </w:pPr>
            <w:r w:rsidRPr="00370E97">
              <w:rPr>
                <w:rFonts w:ascii="Calibri" w:eastAsia="Times New Roman" w:hAnsi="Calibri" w:cs="Calibri"/>
                <w:szCs w:val="20"/>
                <w:lang w:eastAsia="en-AU"/>
              </w:rPr>
              <w:t>1,098</w:t>
            </w:r>
          </w:p>
        </w:tc>
        <w:tc>
          <w:tcPr>
            <w:tcW w:w="1360" w:type="dxa"/>
            <w:tcBorders>
              <w:top w:val="nil"/>
              <w:left w:val="nil"/>
              <w:bottom w:val="nil"/>
              <w:right w:val="nil"/>
            </w:tcBorders>
            <w:shd w:val="clear" w:color="000000" w:fill="FFFFFF"/>
            <w:noWrap/>
            <w:vAlign w:val="bottom"/>
            <w:hideMark/>
          </w:tcPr>
          <w:p w14:paraId="06B0B519" w14:textId="16A15F07" w:rsidR="00370E97" w:rsidRPr="00370E97" w:rsidRDefault="00370E97" w:rsidP="00370E97">
            <w:pPr>
              <w:spacing w:after="0" w:line="240" w:lineRule="auto"/>
              <w:jc w:val="center"/>
              <w:rPr>
                <w:rFonts w:ascii="Calibri" w:eastAsia="Times New Roman" w:hAnsi="Calibri" w:cs="Calibri"/>
                <w:szCs w:val="20"/>
                <w:lang w:eastAsia="en-AU"/>
              </w:rPr>
            </w:pPr>
            <w:r w:rsidRPr="00370E97">
              <w:rPr>
                <w:rFonts w:ascii="Calibri" w:eastAsia="Times New Roman" w:hAnsi="Calibri" w:cs="Calibri"/>
                <w:szCs w:val="20"/>
                <w:lang w:eastAsia="en-AU"/>
              </w:rPr>
              <w:t>1</w:t>
            </w:r>
            <w:r w:rsidR="008C0E47">
              <w:rPr>
                <w:rFonts w:ascii="Calibri" w:eastAsia="Times New Roman" w:hAnsi="Calibri" w:cs="Calibri"/>
                <w:szCs w:val="20"/>
                <w:lang w:eastAsia="en-AU"/>
              </w:rPr>
              <w:t>,</w:t>
            </w:r>
            <w:r w:rsidRPr="00370E97">
              <w:rPr>
                <w:rFonts w:ascii="Calibri" w:eastAsia="Times New Roman" w:hAnsi="Calibri" w:cs="Calibri"/>
                <w:szCs w:val="20"/>
                <w:lang w:eastAsia="en-AU"/>
              </w:rPr>
              <w:t>459</w:t>
            </w:r>
          </w:p>
        </w:tc>
      </w:tr>
      <w:tr w:rsidR="00370E97" w:rsidRPr="00370E97" w14:paraId="17490258" w14:textId="77777777" w:rsidTr="00370E97">
        <w:trPr>
          <w:trHeight w:val="300"/>
        </w:trPr>
        <w:tc>
          <w:tcPr>
            <w:tcW w:w="4400" w:type="dxa"/>
            <w:tcBorders>
              <w:top w:val="nil"/>
              <w:left w:val="nil"/>
              <w:bottom w:val="nil"/>
              <w:right w:val="nil"/>
            </w:tcBorders>
            <w:shd w:val="clear" w:color="000000" w:fill="FFFFFF"/>
            <w:noWrap/>
            <w:vAlign w:val="bottom"/>
            <w:hideMark/>
          </w:tcPr>
          <w:p w14:paraId="233FB5DE" w14:textId="6464BFBF"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xml:space="preserve">Wool </w:t>
            </w:r>
            <w:r w:rsidR="00DE35B6">
              <w:rPr>
                <w:rFonts w:ascii="Calibri" w:eastAsia="Times New Roman" w:hAnsi="Calibri" w:cs="Calibri"/>
                <w:color w:val="000000"/>
                <w:szCs w:val="20"/>
                <w:lang w:eastAsia="en-AU"/>
              </w:rPr>
              <w:t>s</w:t>
            </w:r>
            <w:r w:rsidRPr="00370E97">
              <w:rPr>
                <w:rFonts w:ascii="Calibri" w:eastAsia="Times New Roman" w:hAnsi="Calibri" w:cs="Calibri"/>
                <w:color w:val="000000"/>
                <w:szCs w:val="20"/>
                <w:lang w:eastAsia="en-AU"/>
              </w:rPr>
              <w:t>heep income ($/ha)</w:t>
            </w:r>
          </w:p>
        </w:tc>
        <w:tc>
          <w:tcPr>
            <w:tcW w:w="1480" w:type="dxa"/>
            <w:tcBorders>
              <w:top w:val="nil"/>
              <w:left w:val="nil"/>
              <w:bottom w:val="nil"/>
              <w:right w:val="nil"/>
            </w:tcBorders>
            <w:shd w:val="clear" w:color="000000" w:fill="FFFFFF"/>
            <w:noWrap/>
            <w:vAlign w:val="bottom"/>
            <w:hideMark/>
          </w:tcPr>
          <w:p w14:paraId="5E30B992"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727</w:t>
            </w:r>
          </w:p>
        </w:tc>
        <w:tc>
          <w:tcPr>
            <w:tcW w:w="1360" w:type="dxa"/>
            <w:tcBorders>
              <w:top w:val="nil"/>
              <w:left w:val="nil"/>
              <w:bottom w:val="nil"/>
              <w:right w:val="nil"/>
            </w:tcBorders>
            <w:shd w:val="clear" w:color="000000" w:fill="FFFFFF"/>
            <w:noWrap/>
            <w:vAlign w:val="bottom"/>
            <w:hideMark/>
          </w:tcPr>
          <w:p w14:paraId="0E4C1186"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522</w:t>
            </w:r>
          </w:p>
        </w:tc>
      </w:tr>
      <w:tr w:rsidR="00370E97" w:rsidRPr="00370E97" w14:paraId="051B9D4D" w14:textId="77777777" w:rsidTr="00370E97">
        <w:trPr>
          <w:trHeight w:val="300"/>
        </w:trPr>
        <w:tc>
          <w:tcPr>
            <w:tcW w:w="4400" w:type="dxa"/>
            <w:tcBorders>
              <w:top w:val="nil"/>
              <w:left w:val="nil"/>
              <w:bottom w:val="nil"/>
              <w:right w:val="nil"/>
            </w:tcBorders>
            <w:shd w:val="clear" w:color="000000" w:fill="FFFFFF"/>
            <w:noWrap/>
            <w:vAlign w:val="bottom"/>
            <w:hideMark/>
          </w:tcPr>
          <w:p w14:paraId="66EBBA71"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c>
          <w:tcPr>
            <w:tcW w:w="1480" w:type="dxa"/>
            <w:tcBorders>
              <w:top w:val="nil"/>
              <w:left w:val="nil"/>
              <w:bottom w:val="nil"/>
              <w:right w:val="nil"/>
            </w:tcBorders>
            <w:shd w:val="clear" w:color="000000" w:fill="FFFFFF"/>
            <w:noWrap/>
            <w:vAlign w:val="bottom"/>
            <w:hideMark/>
          </w:tcPr>
          <w:p w14:paraId="7C5C5E09"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c>
          <w:tcPr>
            <w:tcW w:w="1360" w:type="dxa"/>
            <w:tcBorders>
              <w:top w:val="nil"/>
              <w:left w:val="nil"/>
              <w:bottom w:val="nil"/>
              <w:right w:val="nil"/>
            </w:tcBorders>
            <w:shd w:val="clear" w:color="000000" w:fill="FFFFFF"/>
            <w:noWrap/>
            <w:vAlign w:val="bottom"/>
            <w:hideMark/>
          </w:tcPr>
          <w:p w14:paraId="7E906911"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r>
      <w:tr w:rsidR="00370E97" w:rsidRPr="00370E97" w14:paraId="77D8FF33" w14:textId="77777777" w:rsidTr="00370E97">
        <w:trPr>
          <w:trHeight w:val="300"/>
        </w:trPr>
        <w:tc>
          <w:tcPr>
            <w:tcW w:w="4400" w:type="dxa"/>
            <w:tcBorders>
              <w:top w:val="nil"/>
              <w:left w:val="nil"/>
              <w:bottom w:val="nil"/>
              <w:right w:val="nil"/>
            </w:tcBorders>
            <w:shd w:val="clear" w:color="000000" w:fill="FFFFFF"/>
            <w:noWrap/>
            <w:vAlign w:val="bottom"/>
            <w:hideMark/>
          </w:tcPr>
          <w:p w14:paraId="0F6E4AA6" w14:textId="77777777" w:rsidR="00370E97" w:rsidRPr="00370E97" w:rsidRDefault="00370E97" w:rsidP="00370E97">
            <w:pPr>
              <w:spacing w:after="0" w:line="240" w:lineRule="auto"/>
              <w:rPr>
                <w:rFonts w:ascii="Calibri" w:eastAsia="Times New Roman" w:hAnsi="Calibri" w:cs="Calibri"/>
                <w:b/>
                <w:bCs/>
                <w:color w:val="000000"/>
                <w:szCs w:val="20"/>
                <w:lang w:eastAsia="en-AU"/>
              </w:rPr>
            </w:pPr>
            <w:r w:rsidRPr="00370E97">
              <w:rPr>
                <w:rFonts w:ascii="Calibri" w:eastAsia="Times New Roman" w:hAnsi="Calibri" w:cs="Calibri"/>
                <w:b/>
                <w:bCs/>
                <w:color w:val="000000"/>
                <w:szCs w:val="20"/>
                <w:lang w:eastAsia="en-AU"/>
              </w:rPr>
              <w:t>Variable costs</w:t>
            </w:r>
          </w:p>
        </w:tc>
        <w:tc>
          <w:tcPr>
            <w:tcW w:w="1480" w:type="dxa"/>
            <w:tcBorders>
              <w:top w:val="nil"/>
              <w:left w:val="nil"/>
              <w:bottom w:val="nil"/>
              <w:right w:val="nil"/>
            </w:tcBorders>
            <w:shd w:val="clear" w:color="000000" w:fill="FFFFFF"/>
            <w:noWrap/>
            <w:vAlign w:val="bottom"/>
            <w:hideMark/>
          </w:tcPr>
          <w:p w14:paraId="15327436"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c>
          <w:tcPr>
            <w:tcW w:w="1360" w:type="dxa"/>
            <w:tcBorders>
              <w:top w:val="nil"/>
              <w:left w:val="nil"/>
              <w:bottom w:val="nil"/>
              <w:right w:val="nil"/>
            </w:tcBorders>
            <w:shd w:val="clear" w:color="000000" w:fill="FFFFFF"/>
            <w:noWrap/>
            <w:vAlign w:val="bottom"/>
            <w:hideMark/>
          </w:tcPr>
          <w:p w14:paraId="4BA0EE0B"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r>
      <w:tr w:rsidR="00370E97" w:rsidRPr="00370E97" w14:paraId="23EDAF6D" w14:textId="77777777" w:rsidTr="00370E97">
        <w:trPr>
          <w:trHeight w:val="300"/>
        </w:trPr>
        <w:tc>
          <w:tcPr>
            <w:tcW w:w="4400" w:type="dxa"/>
            <w:tcBorders>
              <w:top w:val="nil"/>
              <w:left w:val="nil"/>
              <w:bottom w:val="nil"/>
              <w:right w:val="nil"/>
            </w:tcBorders>
            <w:shd w:val="clear" w:color="000000" w:fill="FFFFFF"/>
            <w:noWrap/>
            <w:vAlign w:val="bottom"/>
            <w:hideMark/>
          </w:tcPr>
          <w:p w14:paraId="5AC3343F"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Beef variable costs ($/ha)</w:t>
            </w:r>
          </w:p>
        </w:tc>
        <w:tc>
          <w:tcPr>
            <w:tcW w:w="1480" w:type="dxa"/>
            <w:tcBorders>
              <w:top w:val="nil"/>
              <w:left w:val="nil"/>
              <w:bottom w:val="nil"/>
              <w:right w:val="nil"/>
            </w:tcBorders>
            <w:shd w:val="clear" w:color="000000" w:fill="FFFFFF"/>
            <w:noWrap/>
            <w:vAlign w:val="bottom"/>
            <w:hideMark/>
          </w:tcPr>
          <w:p w14:paraId="0DB8444F" w14:textId="77777777" w:rsidR="00370E97" w:rsidRPr="00370E97" w:rsidRDefault="00370E97" w:rsidP="00370E97">
            <w:pPr>
              <w:spacing w:after="0" w:line="240" w:lineRule="auto"/>
              <w:jc w:val="center"/>
              <w:rPr>
                <w:rFonts w:ascii="Calibri" w:eastAsia="Times New Roman" w:hAnsi="Calibri" w:cs="Calibri"/>
                <w:szCs w:val="20"/>
                <w:lang w:eastAsia="en-AU"/>
              </w:rPr>
            </w:pPr>
            <w:r w:rsidRPr="00370E97">
              <w:rPr>
                <w:rFonts w:ascii="Calibri" w:eastAsia="Times New Roman" w:hAnsi="Calibri" w:cs="Calibri"/>
                <w:szCs w:val="20"/>
                <w:lang w:eastAsia="en-AU"/>
              </w:rPr>
              <w:t>566</w:t>
            </w:r>
          </w:p>
        </w:tc>
        <w:tc>
          <w:tcPr>
            <w:tcW w:w="1360" w:type="dxa"/>
            <w:tcBorders>
              <w:top w:val="nil"/>
              <w:left w:val="nil"/>
              <w:bottom w:val="nil"/>
              <w:right w:val="nil"/>
            </w:tcBorders>
            <w:shd w:val="clear" w:color="000000" w:fill="FFFFFF"/>
            <w:noWrap/>
            <w:vAlign w:val="bottom"/>
            <w:hideMark/>
          </w:tcPr>
          <w:p w14:paraId="712141FE"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557</w:t>
            </w:r>
          </w:p>
        </w:tc>
      </w:tr>
      <w:tr w:rsidR="00370E97" w:rsidRPr="00370E97" w14:paraId="220D3519" w14:textId="77777777" w:rsidTr="00370E97">
        <w:trPr>
          <w:trHeight w:val="300"/>
        </w:trPr>
        <w:tc>
          <w:tcPr>
            <w:tcW w:w="4400" w:type="dxa"/>
            <w:tcBorders>
              <w:top w:val="nil"/>
              <w:left w:val="nil"/>
              <w:bottom w:val="nil"/>
              <w:right w:val="nil"/>
            </w:tcBorders>
            <w:shd w:val="clear" w:color="000000" w:fill="FFFFFF"/>
            <w:noWrap/>
            <w:vAlign w:val="bottom"/>
            <w:hideMark/>
          </w:tcPr>
          <w:p w14:paraId="706FAFB4" w14:textId="081CE30C"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xml:space="preserve">Prime </w:t>
            </w:r>
            <w:r w:rsidR="00DE35B6">
              <w:rPr>
                <w:rFonts w:ascii="Calibri" w:eastAsia="Times New Roman" w:hAnsi="Calibri" w:cs="Calibri"/>
                <w:color w:val="000000"/>
                <w:szCs w:val="20"/>
                <w:lang w:eastAsia="en-AU"/>
              </w:rPr>
              <w:t>l</w:t>
            </w:r>
            <w:r w:rsidRPr="00370E97">
              <w:rPr>
                <w:rFonts w:ascii="Calibri" w:eastAsia="Times New Roman" w:hAnsi="Calibri" w:cs="Calibri"/>
                <w:color w:val="000000"/>
                <w:szCs w:val="20"/>
                <w:lang w:eastAsia="en-AU"/>
              </w:rPr>
              <w:t>amb variable costs ($/ha)</w:t>
            </w:r>
          </w:p>
        </w:tc>
        <w:tc>
          <w:tcPr>
            <w:tcW w:w="1480" w:type="dxa"/>
            <w:tcBorders>
              <w:top w:val="nil"/>
              <w:left w:val="nil"/>
              <w:bottom w:val="nil"/>
              <w:right w:val="nil"/>
            </w:tcBorders>
            <w:shd w:val="clear" w:color="000000" w:fill="FFFFFF"/>
            <w:noWrap/>
            <w:vAlign w:val="bottom"/>
            <w:hideMark/>
          </w:tcPr>
          <w:p w14:paraId="07B474B2"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501</w:t>
            </w:r>
          </w:p>
        </w:tc>
        <w:tc>
          <w:tcPr>
            <w:tcW w:w="1360" w:type="dxa"/>
            <w:tcBorders>
              <w:top w:val="nil"/>
              <w:left w:val="nil"/>
              <w:bottom w:val="nil"/>
              <w:right w:val="nil"/>
            </w:tcBorders>
            <w:shd w:val="clear" w:color="000000" w:fill="FFFFFF"/>
            <w:noWrap/>
            <w:vAlign w:val="bottom"/>
            <w:hideMark/>
          </w:tcPr>
          <w:p w14:paraId="30ED7E26"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718</w:t>
            </w:r>
          </w:p>
        </w:tc>
      </w:tr>
      <w:tr w:rsidR="00370E97" w:rsidRPr="00370E97" w14:paraId="6ACCD1E4" w14:textId="77777777" w:rsidTr="00370E97">
        <w:trPr>
          <w:trHeight w:val="300"/>
        </w:trPr>
        <w:tc>
          <w:tcPr>
            <w:tcW w:w="4400" w:type="dxa"/>
            <w:tcBorders>
              <w:top w:val="nil"/>
              <w:left w:val="nil"/>
              <w:bottom w:val="nil"/>
              <w:right w:val="nil"/>
            </w:tcBorders>
            <w:shd w:val="clear" w:color="000000" w:fill="FFFFFF"/>
            <w:noWrap/>
            <w:vAlign w:val="bottom"/>
            <w:hideMark/>
          </w:tcPr>
          <w:p w14:paraId="6FBAC9E2" w14:textId="573F02F9"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xml:space="preserve">Wool </w:t>
            </w:r>
            <w:r w:rsidR="00DE35B6">
              <w:rPr>
                <w:rFonts w:ascii="Calibri" w:eastAsia="Times New Roman" w:hAnsi="Calibri" w:cs="Calibri"/>
                <w:color w:val="000000"/>
                <w:szCs w:val="20"/>
                <w:lang w:eastAsia="en-AU"/>
              </w:rPr>
              <w:t>s</w:t>
            </w:r>
            <w:r w:rsidRPr="00370E97">
              <w:rPr>
                <w:rFonts w:ascii="Calibri" w:eastAsia="Times New Roman" w:hAnsi="Calibri" w:cs="Calibri"/>
                <w:color w:val="000000"/>
                <w:szCs w:val="20"/>
                <w:lang w:eastAsia="en-AU"/>
              </w:rPr>
              <w:t>heep variable costs ($/ha)</w:t>
            </w:r>
          </w:p>
        </w:tc>
        <w:tc>
          <w:tcPr>
            <w:tcW w:w="1480" w:type="dxa"/>
            <w:tcBorders>
              <w:top w:val="nil"/>
              <w:left w:val="nil"/>
              <w:bottom w:val="nil"/>
              <w:right w:val="nil"/>
            </w:tcBorders>
            <w:shd w:val="clear" w:color="000000" w:fill="FFFFFF"/>
            <w:noWrap/>
            <w:vAlign w:val="bottom"/>
            <w:hideMark/>
          </w:tcPr>
          <w:p w14:paraId="6BDFE014"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337</w:t>
            </w:r>
          </w:p>
        </w:tc>
        <w:tc>
          <w:tcPr>
            <w:tcW w:w="1360" w:type="dxa"/>
            <w:tcBorders>
              <w:top w:val="nil"/>
              <w:left w:val="nil"/>
              <w:bottom w:val="nil"/>
              <w:right w:val="nil"/>
            </w:tcBorders>
            <w:shd w:val="clear" w:color="000000" w:fill="FFFFFF"/>
            <w:noWrap/>
            <w:vAlign w:val="bottom"/>
            <w:hideMark/>
          </w:tcPr>
          <w:p w14:paraId="06A45E93" w14:textId="77777777" w:rsidR="00370E97" w:rsidRPr="00370E97" w:rsidRDefault="00370E97" w:rsidP="00370E97">
            <w:pPr>
              <w:spacing w:after="0" w:line="240" w:lineRule="auto"/>
              <w:jc w:val="center"/>
              <w:rPr>
                <w:rFonts w:ascii="Calibri" w:eastAsia="Times New Roman" w:hAnsi="Calibri" w:cs="Calibri"/>
                <w:szCs w:val="20"/>
                <w:lang w:eastAsia="en-AU"/>
              </w:rPr>
            </w:pPr>
            <w:r w:rsidRPr="00370E97">
              <w:rPr>
                <w:rFonts w:ascii="Calibri" w:eastAsia="Times New Roman" w:hAnsi="Calibri" w:cs="Calibri"/>
                <w:szCs w:val="20"/>
                <w:lang w:eastAsia="en-AU"/>
              </w:rPr>
              <w:t>386</w:t>
            </w:r>
          </w:p>
        </w:tc>
      </w:tr>
      <w:tr w:rsidR="00370E97" w:rsidRPr="00370E97" w14:paraId="1396FF86" w14:textId="77777777" w:rsidTr="00370E97">
        <w:trPr>
          <w:trHeight w:val="300"/>
        </w:trPr>
        <w:tc>
          <w:tcPr>
            <w:tcW w:w="4400" w:type="dxa"/>
            <w:tcBorders>
              <w:top w:val="nil"/>
              <w:left w:val="nil"/>
              <w:bottom w:val="nil"/>
              <w:right w:val="nil"/>
            </w:tcBorders>
            <w:shd w:val="clear" w:color="000000" w:fill="FFFFFF"/>
            <w:noWrap/>
            <w:vAlign w:val="bottom"/>
            <w:hideMark/>
          </w:tcPr>
          <w:p w14:paraId="4E9D0346"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c>
          <w:tcPr>
            <w:tcW w:w="1480" w:type="dxa"/>
            <w:tcBorders>
              <w:top w:val="nil"/>
              <w:left w:val="nil"/>
              <w:bottom w:val="nil"/>
              <w:right w:val="nil"/>
            </w:tcBorders>
            <w:shd w:val="clear" w:color="000000" w:fill="FFFFFF"/>
            <w:noWrap/>
            <w:vAlign w:val="bottom"/>
            <w:hideMark/>
          </w:tcPr>
          <w:p w14:paraId="7893808C"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c>
          <w:tcPr>
            <w:tcW w:w="1360" w:type="dxa"/>
            <w:tcBorders>
              <w:top w:val="nil"/>
              <w:left w:val="nil"/>
              <w:bottom w:val="nil"/>
              <w:right w:val="nil"/>
            </w:tcBorders>
            <w:shd w:val="clear" w:color="000000" w:fill="FFFFFF"/>
            <w:noWrap/>
            <w:vAlign w:val="bottom"/>
            <w:hideMark/>
          </w:tcPr>
          <w:p w14:paraId="4DB77F2F"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r>
      <w:tr w:rsidR="00370E97" w:rsidRPr="00370E97" w14:paraId="5EB2B168" w14:textId="77777777" w:rsidTr="00370E97">
        <w:trPr>
          <w:trHeight w:val="300"/>
        </w:trPr>
        <w:tc>
          <w:tcPr>
            <w:tcW w:w="4400" w:type="dxa"/>
            <w:tcBorders>
              <w:top w:val="nil"/>
              <w:left w:val="nil"/>
              <w:bottom w:val="nil"/>
              <w:right w:val="nil"/>
            </w:tcBorders>
            <w:shd w:val="clear" w:color="000000" w:fill="FFFFFF"/>
            <w:noWrap/>
            <w:vAlign w:val="bottom"/>
            <w:hideMark/>
          </w:tcPr>
          <w:p w14:paraId="22D57C2B" w14:textId="77777777" w:rsidR="00370E97" w:rsidRPr="00370E97" w:rsidRDefault="00370E97" w:rsidP="00370E97">
            <w:pPr>
              <w:spacing w:after="0" w:line="240" w:lineRule="auto"/>
              <w:rPr>
                <w:rFonts w:ascii="Calibri" w:eastAsia="Times New Roman" w:hAnsi="Calibri" w:cs="Calibri"/>
                <w:b/>
                <w:bCs/>
                <w:color w:val="000000"/>
                <w:szCs w:val="20"/>
                <w:lang w:eastAsia="en-AU"/>
              </w:rPr>
            </w:pPr>
            <w:r w:rsidRPr="00370E97">
              <w:rPr>
                <w:rFonts w:ascii="Calibri" w:eastAsia="Times New Roman" w:hAnsi="Calibri" w:cs="Calibri"/>
                <w:b/>
                <w:bCs/>
                <w:color w:val="000000"/>
                <w:szCs w:val="20"/>
                <w:lang w:eastAsia="en-AU"/>
              </w:rPr>
              <w:t>Production</w:t>
            </w:r>
          </w:p>
        </w:tc>
        <w:tc>
          <w:tcPr>
            <w:tcW w:w="1480" w:type="dxa"/>
            <w:tcBorders>
              <w:top w:val="nil"/>
              <w:left w:val="nil"/>
              <w:bottom w:val="nil"/>
              <w:right w:val="nil"/>
            </w:tcBorders>
            <w:shd w:val="clear" w:color="000000" w:fill="FFFFFF"/>
            <w:noWrap/>
            <w:vAlign w:val="bottom"/>
            <w:hideMark/>
          </w:tcPr>
          <w:p w14:paraId="730931D8" w14:textId="77777777" w:rsidR="00370E97" w:rsidRPr="00370E97" w:rsidRDefault="00370E97" w:rsidP="00370E97">
            <w:pPr>
              <w:spacing w:after="0" w:line="240" w:lineRule="auto"/>
              <w:jc w:val="center"/>
              <w:rPr>
                <w:rFonts w:ascii="Calibri" w:eastAsia="Times New Roman" w:hAnsi="Calibri" w:cs="Calibri"/>
                <w:b/>
                <w:bCs/>
                <w:color w:val="000000"/>
                <w:szCs w:val="20"/>
                <w:lang w:eastAsia="en-AU"/>
              </w:rPr>
            </w:pPr>
            <w:r w:rsidRPr="00370E97">
              <w:rPr>
                <w:rFonts w:ascii="Calibri" w:eastAsia="Times New Roman" w:hAnsi="Calibri" w:cs="Calibri"/>
                <w:b/>
                <w:bCs/>
                <w:color w:val="000000"/>
                <w:szCs w:val="20"/>
                <w:lang w:eastAsia="en-AU"/>
              </w:rPr>
              <w:t> </w:t>
            </w:r>
          </w:p>
        </w:tc>
        <w:tc>
          <w:tcPr>
            <w:tcW w:w="1360" w:type="dxa"/>
            <w:tcBorders>
              <w:top w:val="nil"/>
              <w:left w:val="nil"/>
              <w:bottom w:val="nil"/>
              <w:right w:val="nil"/>
            </w:tcBorders>
            <w:shd w:val="clear" w:color="000000" w:fill="FFFFFF"/>
            <w:noWrap/>
            <w:vAlign w:val="bottom"/>
            <w:hideMark/>
          </w:tcPr>
          <w:p w14:paraId="42CA1C76" w14:textId="77777777" w:rsidR="00370E97" w:rsidRPr="00370E97" w:rsidRDefault="00370E97" w:rsidP="00370E97">
            <w:pPr>
              <w:spacing w:after="0" w:line="240" w:lineRule="auto"/>
              <w:jc w:val="center"/>
              <w:rPr>
                <w:rFonts w:ascii="Calibri" w:eastAsia="Times New Roman" w:hAnsi="Calibri" w:cs="Calibri"/>
                <w:b/>
                <w:bCs/>
                <w:szCs w:val="20"/>
                <w:lang w:eastAsia="en-AU"/>
              </w:rPr>
            </w:pPr>
            <w:r w:rsidRPr="00370E97">
              <w:rPr>
                <w:rFonts w:ascii="Calibri" w:eastAsia="Times New Roman" w:hAnsi="Calibri" w:cs="Calibri"/>
                <w:b/>
                <w:bCs/>
                <w:szCs w:val="20"/>
                <w:lang w:eastAsia="en-AU"/>
              </w:rPr>
              <w:t> </w:t>
            </w:r>
          </w:p>
        </w:tc>
      </w:tr>
      <w:tr w:rsidR="00370E97" w:rsidRPr="00370E97" w14:paraId="1C69A53C" w14:textId="77777777" w:rsidTr="00370E97">
        <w:trPr>
          <w:trHeight w:val="300"/>
        </w:trPr>
        <w:tc>
          <w:tcPr>
            <w:tcW w:w="4400" w:type="dxa"/>
            <w:tcBorders>
              <w:top w:val="nil"/>
              <w:left w:val="nil"/>
              <w:bottom w:val="nil"/>
              <w:right w:val="nil"/>
            </w:tcBorders>
            <w:shd w:val="clear" w:color="000000" w:fill="FFFFFF"/>
            <w:noWrap/>
            <w:vAlign w:val="bottom"/>
            <w:hideMark/>
          </w:tcPr>
          <w:p w14:paraId="084CDB1F"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xml:space="preserve">Beef sold (kg </w:t>
            </w:r>
            <w:proofErr w:type="spellStart"/>
            <w:r w:rsidRPr="00370E97">
              <w:rPr>
                <w:rFonts w:ascii="Calibri" w:eastAsia="Times New Roman" w:hAnsi="Calibri" w:cs="Calibri"/>
                <w:color w:val="000000"/>
                <w:szCs w:val="20"/>
                <w:lang w:eastAsia="en-AU"/>
              </w:rPr>
              <w:t>lwt</w:t>
            </w:r>
            <w:proofErr w:type="spellEnd"/>
            <w:r w:rsidRPr="00370E97">
              <w:rPr>
                <w:rFonts w:ascii="Calibri" w:eastAsia="Times New Roman" w:hAnsi="Calibri" w:cs="Calibri"/>
                <w:color w:val="000000"/>
                <w:szCs w:val="20"/>
                <w:lang w:eastAsia="en-AU"/>
              </w:rPr>
              <w:t>/ha)</w:t>
            </w:r>
          </w:p>
        </w:tc>
        <w:tc>
          <w:tcPr>
            <w:tcW w:w="1480" w:type="dxa"/>
            <w:tcBorders>
              <w:top w:val="nil"/>
              <w:left w:val="nil"/>
              <w:bottom w:val="nil"/>
              <w:right w:val="nil"/>
            </w:tcBorders>
            <w:shd w:val="clear" w:color="000000" w:fill="FFFFFF"/>
            <w:noWrap/>
            <w:vAlign w:val="bottom"/>
            <w:hideMark/>
          </w:tcPr>
          <w:p w14:paraId="077EDCCD"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363</w:t>
            </w:r>
          </w:p>
        </w:tc>
        <w:tc>
          <w:tcPr>
            <w:tcW w:w="1360" w:type="dxa"/>
            <w:tcBorders>
              <w:top w:val="nil"/>
              <w:left w:val="nil"/>
              <w:bottom w:val="nil"/>
              <w:right w:val="nil"/>
            </w:tcBorders>
            <w:shd w:val="clear" w:color="000000" w:fill="FFFFFF"/>
            <w:noWrap/>
            <w:vAlign w:val="bottom"/>
            <w:hideMark/>
          </w:tcPr>
          <w:p w14:paraId="28E96237"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312</w:t>
            </w:r>
          </w:p>
        </w:tc>
      </w:tr>
      <w:tr w:rsidR="00370E97" w:rsidRPr="00370E97" w14:paraId="52DCA327" w14:textId="77777777" w:rsidTr="00370E97">
        <w:trPr>
          <w:trHeight w:val="300"/>
        </w:trPr>
        <w:tc>
          <w:tcPr>
            <w:tcW w:w="4400" w:type="dxa"/>
            <w:tcBorders>
              <w:top w:val="nil"/>
              <w:left w:val="nil"/>
              <w:bottom w:val="nil"/>
              <w:right w:val="nil"/>
            </w:tcBorders>
            <w:shd w:val="clear" w:color="000000" w:fill="FFFFFF"/>
            <w:noWrap/>
            <w:vAlign w:val="bottom"/>
            <w:hideMark/>
          </w:tcPr>
          <w:p w14:paraId="1BF4ACB1"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Lamb sold (kg cwt/ha)</w:t>
            </w:r>
          </w:p>
        </w:tc>
        <w:tc>
          <w:tcPr>
            <w:tcW w:w="1480" w:type="dxa"/>
            <w:tcBorders>
              <w:top w:val="nil"/>
              <w:left w:val="nil"/>
              <w:bottom w:val="nil"/>
              <w:right w:val="nil"/>
            </w:tcBorders>
            <w:shd w:val="clear" w:color="000000" w:fill="FFFFFF"/>
            <w:noWrap/>
            <w:vAlign w:val="bottom"/>
            <w:hideMark/>
          </w:tcPr>
          <w:p w14:paraId="1491B721"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118</w:t>
            </w:r>
          </w:p>
        </w:tc>
        <w:tc>
          <w:tcPr>
            <w:tcW w:w="1360" w:type="dxa"/>
            <w:tcBorders>
              <w:top w:val="nil"/>
              <w:left w:val="nil"/>
              <w:bottom w:val="nil"/>
              <w:right w:val="nil"/>
            </w:tcBorders>
            <w:shd w:val="clear" w:color="000000" w:fill="FFFFFF"/>
            <w:noWrap/>
            <w:vAlign w:val="bottom"/>
            <w:hideMark/>
          </w:tcPr>
          <w:p w14:paraId="352B22A3" w14:textId="77777777" w:rsidR="00370E97" w:rsidRPr="00370E97" w:rsidRDefault="00370E97" w:rsidP="00370E97">
            <w:pPr>
              <w:spacing w:after="0" w:line="240" w:lineRule="auto"/>
              <w:jc w:val="center"/>
              <w:rPr>
                <w:rFonts w:ascii="Calibri" w:eastAsia="Times New Roman" w:hAnsi="Calibri" w:cs="Calibri"/>
                <w:szCs w:val="20"/>
                <w:lang w:eastAsia="en-AU"/>
              </w:rPr>
            </w:pPr>
            <w:r w:rsidRPr="00370E97">
              <w:rPr>
                <w:rFonts w:ascii="Calibri" w:eastAsia="Times New Roman" w:hAnsi="Calibri" w:cs="Calibri"/>
                <w:szCs w:val="20"/>
                <w:lang w:eastAsia="en-AU"/>
              </w:rPr>
              <w:t>156</w:t>
            </w:r>
          </w:p>
        </w:tc>
      </w:tr>
      <w:tr w:rsidR="00370E97" w:rsidRPr="00370E97" w14:paraId="3D9ADB55" w14:textId="77777777" w:rsidTr="00370E97">
        <w:trPr>
          <w:trHeight w:val="285"/>
        </w:trPr>
        <w:tc>
          <w:tcPr>
            <w:tcW w:w="4400" w:type="dxa"/>
            <w:tcBorders>
              <w:top w:val="nil"/>
              <w:left w:val="nil"/>
              <w:bottom w:val="nil"/>
              <w:right w:val="nil"/>
            </w:tcBorders>
            <w:shd w:val="clear" w:color="000000" w:fill="FFFFFF"/>
            <w:noWrap/>
            <w:vAlign w:val="bottom"/>
            <w:hideMark/>
          </w:tcPr>
          <w:p w14:paraId="756BE422"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Wool sheep wool cut (kg Gr./ha)</w:t>
            </w:r>
          </w:p>
        </w:tc>
        <w:tc>
          <w:tcPr>
            <w:tcW w:w="1480" w:type="dxa"/>
            <w:tcBorders>
              <w:top w:val="nil"/>
              <w:left w:val="nil"/>
              <w:bottom w:val="nil"/>
              <w:right w:val="nil"/>
            </w:tcBorders>
            <w:shd w:val="clear" w:color="000000" w:fill="FFFFFF"/>
            <w:noWrap/>
            <w:vAlign w:val="bottom"/>
            <w:hideMark/>
          </w:tcPr>
          <w:p w14:paraId="471BEBCE"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38</w:t>
            </w:r>
          </w:p>
        </w:tc>
        <w:tc>
          <w:tcPr>
            <w:tcW w:w="1360" w:type="dxa"/>
            <w:tcBorders>
              <w:top w:val="nil"/>
              <w:left w:val="nil"/>
              <w:bottom w:val="nil"/>
              <w:right w:val="nil"/>
            </w:tcBorders>
            <w:shd w:val="clear" w:color="000000" w:fill="FFFFFF"/>
            <w:noWrap/>
            <w:vAlign w:val="bottom"/>
            <w:hideMark/>
          </w:tcPr>
          <w:p w14:paraId="153216A1" w14:textId="77777777" w:rsidR="00370E97" w:rsidRPr="00370E97" w:rsidRDefault="00370E97" w:rsidP="00370E97">
            <w:pPr>
              <w:spacing w:after="0" w:line="240" w:lineRule="auto"/>
              <w:jc w:val="center"/>
              <w:rPr>
                <w:rFonts w:ascii="Calibri" w:eastAsia="Times New Roman" w:hAnsi="Calibri" w:cs="Calibri"/>
                <w:szCs w:val="20"/>
                <w:lang w:eastAsia="en-AU"/>
              </w:rPr>
            </w:pPr>
            <w:r w:rsidRPr="00370E97">
              <w:rPr>
                <w:rFonts w:ascii="Calibri" w:eastAsia="Times New Roman" w:hAnsi="Calibri" w:cs="Calibri"/>
                <w:szCs w:val="20"/>
                <w:lang w:eastAsia="en-AU"/>
              </w:rPr>
              <w:t>34</w:t>
            </w:r>
          </w:p>
        </w:tc>
      </w:tr>
      <w:tr w:rsidR="00370E97" w:rsidRPr="00370E97" w14:paraId="55230337" w14:textId="77777777" w:rsidTr="00370E97">
        <w:trPr>
          <w:trHeight w:val="285"/>
        </w:trPr>
        <w:tc>
          <w:tcPr>
            <w:tcW w:w="4400" w:type="dxa"/>
            <w:tcBorders>
              <w:top w:val="nil"/>
              <w:left w:val="nil"/>
              <w:bottom w:val="nil"/>
              <w:right w:val="nil"/>
            </w:tcBorders>
            <w:shd w:val="clear" w:color="000000" w:fill="FFFFFF"/>
            <w:noWrap/>
            <w:vAlign w:val="bottom"/>
            <w:hideMark/>
          </w:tcPr>
          <w:p w14:paraId="78DD123C" w14:textId="77777777" w:rsidR="00370E97" w:rsidRPr="00370E97" w:rsidRDefault="00370E97" w:rsidP="00370E97">
            <w:pPr>
              <w:spacing w:after="0" w:line="240" w:lineRule="auto"/>
              <w:rPr>
                <w:rFonts w:ascii="Calibri" w:eastAsia="Times New Roman" w:hAnsi="Calibri" w:cs="Calibri"/>
                <w:color w:val="FF0000"/>
                <w:szCs w:val="20"/>
                <w:lang w:eastAsia="en-AU"/>
              </w:rPr>
            </w:pPr>
            <w:r w:rsidRPr="00370E97">
              <w:rPr>
                <w:rFonts w:ascii="Calibri" w:eastAsia="Times New Roman" w:hAnsi="Calibri" w:cs="Calibri"/>
                <w:color w:val="FF0000"/>
                <w:szCs w:val="20"/>
                <w:lang w:eastAsia="en-AU"/>
              </w:rPr>
              <w:t> </w:t>
            </w:r>
          </w:p>
        </w:tc>
        <w:tc>
          <w:tcPr>
            <w:tcW w:w="1480" w:type="dxa"/>
            <w:tcBorders>
              <w:top w:val="nil"/>
              <w:left w:val="nil"/>
              <w:bottom w:val="nil"/>
              <w:right w:val="nil"/>
            </w:tcBorders>
            <w:shd w:val="clear" w:color="000000" w:fill="FFFFFF"/>
            <w:noWrap/>
            <w:vAlign w:val="bottom"/>
            <w:hideMark/>
          </w:tcPr>
          <w:p w14:paraId="54117724" w14:textId="77777777" w:rsidR="00370E97" w:rsidRPr="00370E97" w:rsidRDefault="00370E97" w:rsidP="00370E97">
            <w:pPr>
              <w:spacing w:after="0" w:line="240" w:lineRule="auto"/>
              <w:jc w:val="center"/>
              <w:rPr>
                <w:rFonts w:ascii="Calibri" w:eastAsia="Times New Roman" w:hAnsi="Calibri" w:cs="Calibri"/>
                <w:color w:val="FF0000"/>
                <w:szCs w:val="20"/>
                <w:lang w:eastAsia="en-AU"/>
              </w:rPr>
            </w:pPr>
            <w:r w:rsidRPr="00370E97">
              <w:rPr>
                <w:rFonts w:ascii="Calibri" w:eastAsia="Times New Roman" w:hAnsi="Calibri" w:cs="Calibri"/>
                <w:color w:val="FF0000"/>
                <w:szCs w:val="20"/>
                <w:lang w:eastAsia="en-AU"/>
              </w:rPr>
              <w:t> </w:t>
            </w:r>
          </w:p>
        </w:tc>
        <w:tc>
          <w:tcPr>
            <w:tcW w:w="1360" w:type="dxa"/>
            <w:tcBorders>
              <w:top w:val="nil"/>
              <w:left w:val="nil"/>
              <w:bottom w:val="nil"/>
              <w:right w:val="nil"/>
            </w:tcBorders>
            <w:shd w:val="clear" w:color="000000" w:fill="FFFFFF"/>
            <w:noWrap/>
            <w:vAlign w:val="bottom"/>
            <w:hideMark/>
          </w:tcPr>
          <w:p w14:paraId="3D1476EC" w14:textId="77777777" w:rsidR="00370E97" w:rsidRPr="00370E97" w:rsidRDefault="00370E97" w:rsidP="00370E97">
            <w:pPr>
              <w:spacing w:after="0" w:line="240" w:lineRule="auto"/>
              <w:jc w:val="center"/>
              <w:rPr>
                <w:rFonts w:ascii="Calibri" w:eastAsia="Times New Roman" w:hAnsi="Calibri" w:cs="Calibri"/>
                <w:color w:val="FF0000"/>
                <w:szCs w:val="20"/>
                <w:lang w:eastAsia="en-AU"/>
              </w:rPr>
            </w:pPr>
            <w:r w:rsidRPr="00370E97">
              <w:rPr>
                <w:rFonts w:ascii="Calibri" w:eastAsia="Times New Roman" w:hAnsi="Calibri" w:cs="Calibri"/>
                <w:color w:val="FF0000"/>
                <w:szCs w:val="20"/>
                <w:lang w:eastAsia="en-AU"/>
              </w:rPr>
              <w:t> </w:t>
            </w:r>
          </w:p>
        </w:tc>
      </w:tr>
      <w:tr w:rsidR="00370E97" w:rsidRPr="00370E97" w14:paraId="2B98F34F" w14:textId="77777777" w:rsidTr="00370E97">
        <w:trPr>
          <w:trHeight w:val="285"/>
        </w:trPr>
        <w:tc>
          <w:tcPr>
            <w:tcW w:w="4400" w:type="dxa"/>
            <w:tcBorders>
              <w:top w:val="nil"/>
              <w:left w:val="nil"/>
              <w:bottom w:val="nil"/>
              <w:right w:val="nil"/>
            </w:tcBorders>
            <w:shd w:val="clear" w:color="000000" w:fill="FFFFFF"/>
            <w:noWrap/>
            <w:vAlign w:val="bottom"/>
            <w:hideMark/>
          </w:tcPr>
          <w:p w14:paraId="3B3F39C2" w14:textId="77777777" w:rsidR="00370E97" w:rsidRPr="00370E97" w:rsidRDefault="00370E97" w:rsidP="00370E97">
            <w:pPr>
              <w:spacing w:after="0" w:line="240" w:lineRule="auto"/>
              <w:rPr>
                <w:rFonts w:ascii="Calibri" w:eastAsia="Times New Roman" w:hAnsi="Calibri" w:cs="Calibri"/>
                <w:b/>
                <w:bCs/>
                <w:color w:val="000000"/>
                <w:szCs w:val="20"/>
                <w:lang w:eastAsia="en-AU"/>
              </w:rPr>
            </w:pPr>
            <w:r w:rsidRPr="00370E97">
              <w:rPr>
                <w:rFonts w:ascii="Calibri" w:eastAsia="Times New Roman" w:hAnsi="Calibri" w:cs="Calibri"/>
                <w:b/>
                <w:bCs/>
                <w:color w:val="000000"/>
                <w:szCs w:val="20"/>
                <w:lang w:eastAsia="en-AU"/>
              </w:rPr>
              <w:t>Labour</w:t>
            </w:r>
          </w:p>
        </w:tc>
        <w:tc>
          <w:tcPr>
            <w:tcW w:w="1480" w:type="dxa"/>
            <w:tcBorders>
              <w:top w:val="nil"/>
              <w:left w:val="nil"/>
              <w:bottom w:val="nil"/>
              <w:right w:val="nil"/>
            </w:tcBorders>
            <w:shd w:val="clear" w:color="000000" w:fill="FFFFFF"/>
            <w:noWrap/>
            <w:vAlign w:val="bottom"/>
            <w:hideMark/>
          </w:tcPr>
          <w:p w14:paraId="0397AD15" w14:textId="77777777" w:rsidR="00370E97" w:rsidRPr="00370E97" w:rsidRDefault="00370E97" w:rsidP="00370E97">
            <w:pPr>
              <w:spacing w:after="0" w:line="240" w:lineRule="auto"/>
              <w:jc w:val="center"/>
              <w:rPr>
                <w:rFonts w:ascii="Calibri" w:eastAsia="Times New Roman" w:hAnsi="Calibri" w:cs="Calibri"/>
                <w:color w:val="FF0000"/>
                <w:szCs w:val="20"/>
                <w:lang w:eastAsia="en-AU"/>
              </w:rPr>
            </w:pPr>
            <w:r w:rsidRPr="00370E97">
              <w:rPr>
                <w:rFonts w:ascii="Calibri" w:eastAsia="Times New Roman" w:hAnsi="Calibri" w:cs="Calibri"/>
                <w:color w:val="FF0000"/>
                <w:szCs w:val="20"/>
                <w:lang w:eastAsia="en-AU"/>
              </w:rPr>
              <w:t> </w:t>
            </w:r>
          </w:p>
        </w:tc>
        <w:tc>
          <w:tcPr>
            <w:tcW w:w="1360" w:type="dxa"/>
            <w:tcBorders>
              <w:top w:val="nil"/>
              <w:left w:val="nil"/>
              <w:bottom w:val="nil"/>
              <w:right w:val="nil"/>
            </w:tcBorders>
            <w:shd w:val="clear" w:color="000000" w:fill="FFFFFF"/>
            <w:noWrap/>
            <w:vAlign w:val="bottom"/>
            <w:hideMark/>
          </w:tcPr>
          <w:p w14:paraId="6CD7BDCB" w14:textId="77777777" w:rsidR="00370E97" w:rsidRPr="00370E97" w:rsidRDefault="00370E97" w:rsidP="00370E97">
            <w:pPr>
              <w:spacing w:after="0" w:line="240" w:lineRule="auto"/>
              <w:jc w:val="center"/>
              <w:rPr>
                <w:rFonts w:ascii="Calibri" w:eastAsia="Times New Roman" w:hAnsi="Calibri" w:cs="Calibri"/>
                <w:color w:val="FF0000"/>
                <w:szCs w:val="20"/>
                <w:lang w:eastAsia="en-AU"/>
              </w:rPr>
            </w:pPr>
            <w:r w:rsidRPr="00370E97">
              <w:rPr>
                <w:rFonts w:ascii="Calibri" w:eastAsia="Times New Roman" w:hAnsi="Calibri" w:cs="Calibri"/>
                <w:color w:val="FF0000"/>
                <w:szCs w:val="20"/>
                <w:lang w:eastAsia="en-AU"/>
              </w:rPr>
              <w:t> </w:t>
            </w:r>
          </w:p>
        </w:tc>
      </w:tr>
      <w:tr w:rsidR="00370E97" w:rsidRPr="00370E97" w14:paraId="161B11D0" w14:textId="77777777" w:rsidTr="00370E97">
        <w:trPr>
          <w:trHeight w:val="300"/>
        </w:trPr>
        <w:tc>
          <w:tcPr>
            <w:tcW w:w="4400" w:type="dxa"/>
            <w:tcBorders>
              <w:top w:val="nil"/>
              <w:left w:val="nil"/>
              <w:bottom w:val="nil"/>
              <w:right w:val="nil"/>
            </w:tcBorders>
            <w:shd w:val="clear" w:color="000000" w:fill="FFFFFF"/>
            <w:noWrap/>
            <w:vAlign w:val="bottom"/>
            <w:hideMark/>
          </w:tcPr>
          <w:p w14:paraId="25BADA2B"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Labour use efficiency (ha/FTE)</w:t>
            </w:r>
          </w:p>
        </w:tc>
        <w:tc>
          <w:tcPr>
            <w:tcW w:w="1480" w:type="dxa"/>
            <w:tcBorders>
              <w:top w:val="nil"/>
              <w:left w:val="nil"/>
              <w:bottom w:val="nil"/>
              <w:right w:val="nil"/>
            </w:tcBorders>
            <w:shd w:val="clear" w:color="000000" w:fill="FFFFFF"/>
            <w:noWrap/>
            <w:vAlign w:val="bottom"/>
            <w:hideMark/>
          </w:tcPr>
          <w:p w14:paraId="0C506D81"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308</w:t>
            </w:r>
          </w:p>
        </w:tc>
        <w:tc>
          <w:tcPr>
            <w:tcW w:w="1360" w:type="dxa"/>
            <w:tcBorders>
              <w:top w:val="nil"/>
              <w:left w:val="nil"/>
              <w:bottom w:val="nil"/>
              <w:right w:val="nil"/>
            </w:tcBorders>
            <w:shd w:val="clear" w:color="000000" w:fill="FFFFFF"/>
            <w:noWrap/>
            <w:vAlign w:val="bottom"/>
            <w:hideMark/>
          </w:tcPr>
          <w:p w14:paraId="0485A517"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341</w:t>
            </w:r>
          </w:p>
        </w:tc>
      </w:tr>
      <w:tr w:rsidR="00370E97" w:rsidRPr="00370E97" w14:paraId="13A947DF" w14:textId="77777777" w:rsidTr="00370E97">
        <w:trPr>
          <w:trHeight w:val="300"/>
        </w:trPr>
        <w:tc>
          <w:tcPr>
            <w:tcW w:w="4400" w:type="dxa"/>
            <w:tcBorders>
              <w:top w:val="nil"/>
              <w:left w:val="nil"/>
              <w:bottom w:val="nil"/>
              <w:right w:val="nil"/>
            </w:tcBorders>
            <w:shd w:val="clear" w:color="000000" w:fill="FFFFFF"/>
            <w:noWrap/>
            <w:vAlign w:val="bottom"/>
            <w:hideMark/>
          </w:tcPr>
          <w:p w14:paraId="278723B8"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Labour use efficiency (DSE/FTE)</w:t>
            </w:r>
          </w:p>
        </w:tc>
        <w:tc>
          <w:tcPr>
            <w:tcW w:w="1480" w:type="dxa"/>
            <w:tcBorders>
              <w:top w:val="nil"/>
              <w:left w:val="nil"/>
              <w:bottom w:val="nil"/>
              <w:right w:val="nil"/>
            </w:tcBorders>
            <w:shd w:val="clear" w:color="000000" w:fill="FFFFFF"/>
            <w:noWrap/>
            <w:vAlign w:val="bottom"/>
            <w:hideMark/>
          </w:tcPr>
          <w:p w14:paraId="06720471"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4,858</w:t>
            </w:r>
          </w:p>
        </w:tc>
        <w:tc>
          <w:tcPr>
            <w:tcW w:w="1360" w:type="dxa"/>
            <w:tcBorders>
              <w:top w:val="nil"/>
              <w:left w:val="nil"/>
              <w:bottom w:val="nil"/>
              <w:right w:val="nil"/>
            </w:tcBorders>
            <w:shd w:val="clear" w:color="000000" w:fill="FFFFFF"/>
            <w:noWrap/>
            <w:vAlign w:val="bottom"/>
            <w:hideMark/>
          </w:tcPr>
          <w:p w14:paraId="5F21182C" w14:textId="77777777" w:rsidR="00370E97" w:rsidRPr="00370E97" w:rsidRDefault="00370E97" w:rsidP="00370E97">
            <w:pPr>
              <w:spacing w:after="0" w:line="240" w:lineRule="auto"/>
              <w:jc w:val="center"/>
              <w:rPr>
                <w:rFonts w:ascii="Calibri" w:eastAsia="Times New Roman" w:hAnsi="Calibri" w:cs="Calibri"/>
                <w:szCs w:val="20"/>
                <w:lang w:eastAsia="en-AU"/>
              </w:rPr>
            </w:pPr>
            <w:r w:rsidRPr="00370E97">
              <w:rPr>
                <w:rFonts w:ascii="Calibri" w:eastAsia="Times New Roman" w:hAnsi="Calibri" w:cs="Calibri"/>
                <w:szCs w:val="20"/>
                <w:lang w:eastAsia="en-AU"/>
              </w:rPr>
              <w:t>4,982</w:t>
            </w:r>
          </w:p>
        </w:tc>
      </w:tr>
      <w:tr w:rsidR="00370E97" w:rsidRPr="00370E97" w14:paraId="0B14B3EE" w14:textId="77777777" w:rsidTr="00370E97">
        <w:trPr>
          <w:trHeight w:val="300"/>
        </w:trPr>
        <w:tc>
          <w:tcPr>
            <w:tcW w:w="4400" w:type="dxa"/>
            <w:tcBorders>
              <w:top w:val="nil"/>
              <w:left w:val="nil"/>
              <w:bottom w:val="nil"/>
              <w:right w:val="nil"/>
            </w:tcBorders>
            <w:shd w:val="clear" w:color="000000" w:fill="FFFFFF"/>
            <w:noWrap/>
            <w:vAlign w:val="bottom"/>
            <w:hideMark/>
          </w:tcPr>
          <w:p w14:paraId="60370176"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c>
          <w:tcPr>
            <w:tcW w:w="1480" w:type="dxa"/>
            <w:tcBorders>
              <w:top w:val="nil"/>
              <w:left w:val="nil"/>
              <w:bottom w:val="nil"/>
              <w:right w:val="nil"/>
            </w:tcBorders>
            <w:shd w:val="clear" w:color="000000" w:fill="FFFFFF"/>
            <w:noWrap/>
            <w:vAlign w:val="bottom"/>
            <w:hideMark/>
          </w:tcPr>
          <w:p w14:paraId="394008B3"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c>
          <w:tcPr>
            <w:tcW w:w="1360" w:type="dxa"/>
            <w:tcBorders>
              <w:top w:val="nil"/>
              <w:left w:val="nil"/>
              <w:bottom w:val="nil"/>
              <w:right w:val="nil"/>
            </w:tcBorders>
            <w:shd w:val="clear" w:color="000000" w:fill="FFFFFF"/>
            <w:noWrap/>
            <w:vAlign w:val="bottom"/>
            <w:hideMark/>
          </w:tcPr>
          <w:p w14:paraId="689A8607"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r>
      <w:tr w:rsidR="00370E97" w:rsidRPr="00370E97" w14:paraId="47970F0D" w14:textId="77777777" w:rsidTr="00370E97">
        <w:trPr>
          <w:trHeight w:val="300"/>
        </w:trPr>
        <w:tc>
          <w:tcPr>
            <w:tcW w:w="4400" w:type="dxa"/>
            <w:tcBorders>
              <w:top w:val="nil"/>
              <w:left w:val="nil"/>
              <w:bottom w:val="nil"/>
              <w:right w:val="nil"/>
            </w:tcBorders>
            <w:shd w:val="clear" w:color="000000" w:fill="FFFFFF"/>
            <w:noWrap/>
            <w:vAlign w:val="bottom"/>
            <w:hideMark/>
          </w:tcPr>
          <w:p w14:paraId="34476ED4" w14:textId="77777777" w:rsidR="00370E97" w:rsidRPr="00370E97" w:rsidRDefault="00370E97" w:rsidP="00370E97">
            <w:pPr>
              <w:spacing w:after="0" w:line="240" w:lineRule="auto"/>
              <w:rPr>
                <w:rFonts w:ascii="Calibri" w:eastAsia="Times New Roman" w:hAnsi="Calibri" w:cs="Calibri"/>
                <w:b/>
                <w:bCs/>
                <w:color w:val="000000"/>
                <w:szCs w:val="20"/>
                <w:lang w:eastAsia="en-AU"/>
              </w:rPr>
            </w:pPr>
            <w:r w:rsidRPr="00370E97">
              <w:rPr>
                <w:rFonts w:ascii="Calibri" w:eastAsia="Times New Roman" w:hAnsi="Calibri" w:cs="Calibri"/>
                <w:b/>
                <w:bCs/>
                <w:color w:val="000000"/>
                <w:szCs w:val="20"/>
                <w:lang w:eastAsia="en-AU"/>
              </w:rPr>
              <w:t>Phosphorus application</w:t>
            </w:r>
          </w:p>
        </w:tc>
        <w:tc>
          <w:tcPr>
            <w:tcW w:w="1480" w:type="dxa"/>
            <w:tcBorders>
              <w:top w:val="nil"/>
              <w:left w:val="nil"/>
              <w:bottom w:val="nil"/>
              <w:right w:val="nil"/>
            </w:tcBorders>
            <w:shd w:val="clear" w:color="000000" w:fill="FFFFFF"/>
            <w:noWrap/>
            <w:vAlign w:val="bottom"/>
            <w:hideMark/>
          </w:tcPr>
          <w:p w14:paraId="33738BCA"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c>
          <w:tcPr>
            <w:tcW w:w="1360" w:type="dxa"/>
            <w:tcBorders>
              <w:top w:val="nil"/>
              <w:left w:val="nil"/>
              <w:bottom w:val="nil"/>
              <w:right w:val="nil"/>
            </w:tcBorders>
            <w:shd w:val="clear" w:color="000000" w:fill="FFFFFF"/>
            <w:noWrap/>
            <w:vAlign w:val="bottom"/>
            <w:hideMark/>
          </w:tcPr>
          <w:p w14:paraId="72C696E0"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r>
      <w:tr w:rsidR="00370E97" w:rsidRPr="00370E97" w14:paraId="4806AEF1" w14:textId="77777777" w:rsidTr="00370E97">
        <w:trPr>
          <w:trHeight w:val="300"/>
        </w:trPr>
        <w:tc>
          <w:tcPr>
            <w:tcW w:w="4400" w:type="dxa"/>
            <w:tcBorders>
              <w:top w:val="nil"/>
              <w:left w:val="nil"/>
              <w:bottom w:val="nil"/>
              <w:right w:val="nil"/>
            </w:tcBorders>
            <w:shd w:val="clear" w:color="000000" w:fill="FFFFFF"/>
            <w:noWrap/>
            <w:vAlign w:val="bottom"/>
            <w:hideMark/>
          </w:tcPr>
          <w:p w14:paraId="09295359"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Phosphorus applied to pasture (kg/ha)</w:t>
            </w:r>
          </w:p>
        </w:tc>
        <w:tc>
          <w:tcPr>
            <w:tcW w:w="1480" w:type="dxa"/>
            <w:tcBorders>
              <w:top w:val="nil"/>
              <w:left w:val="nil"/>
              <w:bottom w:val="nil"/>
              <w:right w:val="nil"/>
            </w:tcBorders>
            <w:shd w:val="clear" w:color="000000" w:fill="FFFFFF"/>
            <w:noWrap/>
            <w:vAlign w:val="bottom"/>
            <w:hideMark/>
          </w:tcPr>
          <w:p w14:paraId="116F26D8"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11</w:t>
            </w:r>
          </w:p>
        </w:tc>
        <w:tc>
          <w:tcPr>
            <w:tcW w:w="1360" w:type="dxa"/>
            <w:tcBorders>
              <w:top w:val="nil"/>
              <w:left w:val="nil"/>
              <w:bottom w:val="nil"/>
              <w:right w:val="nil"/>
            </w:tcBorders>
            <w:shd w:val="clear" w:color="000000" w:fill="FFFFFF"/>
            <w:noWrap/>
            <w:vAlign w:val="bottom"/>
            <w:hideMark/>
          </w:tcPr>
          <w:p w14:paraId="7031F812"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13</w:t>
            </w:r>
          </w:p>
        </w:tc>
      </w:tr>
      <w:tr w:rsidR="00370E97" w:rsidRPr="00370E97" w14:paraId="151A27EC" w14:textId="77777777" w:rsidTr="00370E97">
        <w:trPr>
          <w:trHeight w:val="300"/>
        </w:trPr>
        <w:tc>
          <w:tcPr>
            <w:tcW w:w="4400" w:type="dxa"/>
            <w:tcBorders>
              <w:top w:val="nil"/>
              <w:left w:val="nil"/>
              <w:bottom w:val="nil"/>
              <w:right w:val="nil"/>
            </w:tcBorders>
            <w:shd w:val="clear" w:color="000000" w:fill="FFFFFF"/>
            <w:noWrap/>
            <w:vAlign w:val="bottom"/>
            <w:hideMark/>
          </w:tcPr>
          <w:p w14:paraId="43723CAD"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Phosphorus applied to pasture (kg/DSE)</w:t>
            </w:r>
          </w:p>
        </w:tc>
        <w:tc>
          <w:tcPr>
            <w:tcW w:w="1480" w:type="dxa"/>
            <w:tcBorders>
              <w:top w:val="nil"/>
              <w:left w:val="nil"/>
              <w:bottom w:val="nil"/>
              <w:right w:val="nil"/>
            </w:tcBorders>
            <w:shd w:val="clear" w:color="000000" w:fill="FFFFFF"/>
            <w:noWrap/>
            <w:vAlign w:val="bottom"/>
            <w:hideMark/>
          </w:tcPr>
          <w:p w14:paraId="108E8C9F"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0.6</w:t>
            </w:r>
          </w:p>
        </w:tc>
        <w:tc>
          <w:tcPr>
            <w:tcW w:w="1360" w:type="dxa"/>
            <w:tcBorders>
              <w:top w:val="nil"/>
              <w:left w:val="nil"/>
              <w:bottom w:val="nil"/>
              <w:right w:val="nil"/>
            </w:tcBorders>
            <w:shd w:val="clear" w:color="000000" w:fill="FFFFFF"/>
            <w:noWrap/>
            <w:vAlign w:val="bottom"/>
            <w:hideMark/>
          </w:tcPr>
          <w:p w14:paraId="47B56616"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0.7</w:t>
            </w:r>
          </w:p>
        </w:tc>
      </w:tr>
      <w:tr w:rsidR="00370E97" w:rsidRPr="00370E97" w14:paraId="24CD8EED" w14:textId="77777777" w:rsidTr="00370E97">
        <w:trPr>
          <w:trHeight w:val="300"/>
        </w:trPr>
        <w:tc>
          <w:tcPr>
            <w:tcW w:w="4400" w:type="dxa"/>
            <w:tcBorders>
              <w:top w:val="nil"/>
              <w:left w:val="nil"/>
              <w:bottom w:val="nil"/>
              <w:right w:val="nil"/>
            </w:tcBorders>
            <w:shd w:val="clear" w:color="000000" w:fill="FFFFFF"/>
            <w:noWrap/>
            <w:vAlign w:val="bottom"/>
            <w:hideMark/>
          </w:tcPr>
          <w:p w14:paraId="277A389E"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c>
          <w:tcPr>
            <w:tcW w:w="1480" w:type="dxa"/>
            <w:tcBorders>
              <w:top w:val="nil"/>
              <w:left w:val="nil"/>
              <w:bottom w:val="nil"/>
              <w:right w:val="nil"/>
            </w:tcBorders>
            <w:shd w:val="clear" w:color="000000" w:fill="FFFFFF"/>
            <w:noWrap/>
            <w:vAlign w:val="bottom"/>
            <w:hideMark/>
          </w:tcPr>
          <w:p w14:paraId="16DABB80"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c>
          <w:tcPr>
            <w:tcW w:w="1360" w:type="dxa"/>
            <w:tcBorders>
              <w:top w:val="nil"/>
              <w:left w:val="nil"/>
              <w:bottom w:val="nil"/>
              <w:right w:val="nil"/>
            </w:tcBorders>
            <w:shd w:val="clear" w:color="000000" w:fill="FFFFFF"/>
            <w:noWrap/>
            <w:vAlign w:val="bottom"/>
            <w:hideMark/>
          </w:tcPr>
          <w:p w14:paraId="6057D685"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r>
      <w:tr w:rsidR="00370E97" w:rsidRPr="00370E97" w14:paraId="7DA11B44" w14:textId="77777777" w:rsidTr="00370E97">
        <w:trPr>
          <w:trHeight w:val="300"/>
        </w:trPr>
        <w:tc>
          <w:tcPr>
            <w:tcW w:w="4400" w:type="dxa"/>
            <w:tcBorders>
              <w:top w:val="nil"/>
              <w:left w:val="nil"/>
              <w:bottom w:val="nil"/>
              <w:right w:val="nil"/>
            </w:tcBorders>
            <w:shd w:val="clear" w:color="000000" w:fill="FFFFFF"/>
            <w:noWrap/>
            <w:vAlign w:val="bottom"/>
            <w:hideMark/>
          </w:tcPr>
          <w:p w14:paraId="7CF0CF12" w14:textId="77777777" w:rsidR="00370E97" w:rsidRPr="00370E97" w:rsidRDefault="00370E97" w:rsidP="00370E97">
            <w:pPr>
              <w:spacing w:after="0" w:line="240" w:lineRule="auto"/>
              <w:rPr>
                <w:rFonts w:ascii="Calibri" w:eastAsia="Times New Roman" w:hAnsi="Calibri" w:cs="Calibri"/>
                <w:b/>
                <w:bCs/>
                <w:color w:val="000000"/>
                <w:szCs w:val="20"/>
                <w:lang w:eastAsia="en-AU"/>
              </w:rPr>
            </w:pPr>
            <w:r w:rsidRPr="00370E97">
              <w:rPr>
                <w:rFonts w:ascii="Calibri" w:eastAsia="Times New Roman" w:hAnsi="Calibri" w:cs="Calibri"/>
                <w:b/>
                <w:bCs/>
                <w:color w:val="000000"/>
                <w:szCs w:val="20"/>
                <w:lang w:eastAsia="en-AU"/>
              </w:rPr>
              <w:lastRenderedPageBreak/>
              <w:t>Business structure</w:t>
            </w:r>
          </w:p>
        </w:tc>
        <w:tc>
          <w:tcPr>
            <w:tcW w:w="1480" w:type="dxa"/>
            <w:tcBorders>
              <w:top w:val="nil"/>
              <w:left w:val="nil"/>
              <w:bottom w:val="nil"/>
              <w:right w:val="nil"/>
            </w:tcBorders>
            <w:shd w:val="clear" w:color="000000" w:fill="FFFFFF"/>
            <w:noWrap/>
            <w:vAlign w:val="bottom"/>
            <w:hideMark/>
          </w:tcPr>
          <w:p w14:paraId="3D44CF7D"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c>
          <w:tcPr>
            <w:tcW w:w="1360" w:type="dxa"/>
            <w:tcBorders>
              <w:top w:val="nil"/>
              <w:left w:val="nil"/>
              <w:bottom w:val="nil"/>
              <w:right w:val="nil"/>
            </w:tcBorders>
            <w:shd w:val="clear" w:color="000000" w:fill="FFFFFF"/>
            <w:noWrap/>
            <w:vAlign w:val="bottom"/>
            <w:hideMark/>
          </w:tcPr>
          <w:p w14:paraId="13D8C242"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r>
      <w:tr w:rsidR="00370E97" w:rsidRPr="00370E97" w14:paraId="19EDD9A2" w14:textId="77777777" w:rsidTr="00370E97">
        <w:trPr>
          <w:trHeight w:val="300"/>
        </w:trPr>
        <w:tc>
          <w:tcPr>
            <w:tcW w:w="4400" w:type="dxa"/>
            <w:tcBorders>
              <w:top w:val="nil"/>
              <w:left w:val="nil"/>
              <w:bottom w:val="nil"/>
              <w:right w:val="nil"/>
            </w:tcBorders>
            <w:shd w:val="clear" w:color="000000" w:fill="FFFFFF"/>
            <w:noWrap/>
            <w:vAlign w:val="bottom"/>
            <w:hideMark/>
          </w:tcPr>
          <w:p w14:paraId="289FEFDF"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Total assets managed ($/ha)</w:t>
            </w:r>
          </w:p>
        </w:tc>
        <w:tc>
          <w:tcPr>
            <w:tcW w:w="1480" w:type="dxa"/>
            <w:tcBorders>
              <w:top w:val="nil"/>
              <w:left w:val="nil"/>
              <w:bottom w:val="nil"/>
              <w:right w:val="nil"/>
            </w:tcBorders>
            <w:shd w:val="clear" w:color="000000" w:fill="FFFFFF"/>
            <w:noWrap/>
            <w:vAlign w:val="bottom"/>
            <w:hideMark/>
          </w:tcPr>
          <w:p w14:paraId="1AC214B5"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21,866</w:t>
            </w:r>
          </w:p>
        </w:tc>
        <w:tc>
          <w:tcPr>
            <w:tcW w:w="1360" w:type="dxa"/>
            <w:tcBorders>
              <w:top w:val="nil"/>
              <w:left w:val="nil"/>
              <w:bottom w:val="nil"/>
              <w:right w:val="nil"/>
            </w:tcBorders>
            <w:shd w:val="clear" w:color="000000" w:fill="FFFFFF"/>
            <w:noWrap/>
            <w:vAlign w:val="bottom"/>
            <w:hideMark/>
          </w:tcPr>
          <w:p w14:paraId="22A11D4D"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22,157</w:t>
            </w:r>
          </w:p>
        </w:tc>
      </w:tr>
      <w:tr w:rsidR="00370E97" w:rsidRPr="00370E97" w14:paraId="6702F60C" w14:textId="77777777" w:rsidTr="00370E97">
        <w:trPr>
          <w:trHeight w:val="300"/>
        </w:trPr>
        <w:tc>
          <w:tcPr>
            <w:tcW w:w="4400" w:type="dxa"/>
            <w:tcBorders>
              <w:top w:val="nil"/>
              <w:left w:val="nil"/>
              <w:bottom w:val="nil"/>
              <w:right w:val="nil"/>
            </w:tcBorders>
            <w:shd w:val="clear" w:color="000000" w:fill="FFFFFF"/>
            <w:noWrap/>
            <w:vAlign w:val="bottom"/>
            <w:hideMark/>
          </w:tcPr>
          <w:p w14:paraId="54C2DA57" w14:textId="77777777" w:rsidR="00370E97" w:rsidRPr="00370E97" w:rsidRDefault="00370E97" w:rsidP="00370E97">
            <w:pPr>
              <w:spacing w:after="0" w:line="240" w:lineRule="auto"/>
              <w:rPr>
                <w:rFonts w:ascii="Calibri" w:eastAsia="Times New Roman" w:hAnsi="Calibri" w:cs="Calibri"/>
                <w:szCs w:val="20"/>
                <w:lang w:eastAsia="en-AU"/>
              </w:rPr>
            </w:pPr>
            <w:r w:rsidRPr="00370E97">
              <w:rPr>
                <w:rFonts w:ascii="Calibri" w:eastAsia="Times New Roman" w:hAnsi="Calibri" w:cs="Calibri"/>
                <w:szCs w:val="20"/>
                <w:lang w:eastAsia="en-AU"/>
              </w:rPr>
              <w:t>Total debt ($/ha)</w:t>
            </w:r>
          </w:p>
        </w:tc>
        <w:tc>
          <w:tcPr>
            <w:tcW w:w="1480" w:type="dxa"/>
            <w:tcBorders>
              <w:top w:val="nil"/>
              <w:left w:val="nil"/>
              <w:bottom w:val="nil"/>
              <w:right w:val="nil"/>
            </w:tcBorders>
            <w:shd w:val="clear" w:color="000000" w:fill="FFFFFF"/>
            <w:noWrap/>
            <w:vAlign w:val="bottom"/>
            <w:hideMark/>
          </w:tcPr>
          <w:p w14:paraId="523F282D" w14:textId="77777777" w:rsidR="00370E97" w:rsidRPr="00370E97" w:rsidRDefault="00370E97" w:rsidP="00370E97">
            <w:pPr>
              <w:spacing w:after="0" w:line="240" w:lineRule="auto"/>
              <w:jc w:val="center"/>
              <w:rPr>
                <w:rFonts w:ascii="Calibri" w:eastAsia="Times New Roman" w:hAnsi="Calibri" w:cs="Calibri"/>
                <w:szCs w:val="20"/>
                <w:lang w:eastAsia="en-AU"/>
              </w:rPr>
            </w:pPr>
            <w:r w:rsidRPr="00370E97">
              <w:rPr>
                <w:rFonts w:ascii="Calibri" w:eastAsia="Times New Roman" w:hAnsi="Calibri" w:cs="Calibri"/>
                <w:szCs w:val="20"/>
                <w:lang w:eastAsia="en-AU"/>
              </w:rPr>
              <w:t>2,365</w:t>
            </w:r>
          </w:p>
        </w:tc>
        <w:tc>
          <w:tcPr>
            <w:tcW w:w="1360" w:type="dxa"/>
            <w:tcBorders>
              <w:top w:val="nil"/>
              <w:left w:val="nil"/>
              <w:bottom w:val="nil"/>
              <w:right w:val="nil"/>
            </w:tcBorders>
            <w:shd w:val="clear" w:color="000000" w:fill="FFFFFF"/>
            <w:noWrap/>
            <w:vAlign w:val="bottom"/>
            <w:hideMark/>
          </w:tcPr>
          <w:p w14:paraId="5BF527C1" w14:textId="77777777" w:rsidR="00370E97" w:rsidRPr="00370E97" w:rsidRDefault="00370E97" w:rsidP="00370E97">
            <w:pPr>
              <w:spacing w:after="0" w:line="240" w:lineRule="auto"/>
              <w:jc w:val="center"/>
              <w:rPr>
                <w:rFonts w:ascii="Calibri" w:eastAsia="Times New Roman" w:hAnsi="Calibri" w:cs="Calibri"/>
                <w:szCs w:val="20"/>
                <w:lang w:eastAsia="en-AU"/>
              </w:rPr>
            </w:pPr>
            <w:r w:rsidRPr="00370E97">
              <w:rPr>
                <w:rFonts w:ascii="Calibri" w:eastAsia="Times New Roman" w:hAnsi="Calibri" w:cs="Calibri"/>
                <w:szCs w:val="20"/>
                <w:lang w:eastAsia="en-AU"/>
              </w:rPr>
              <w:t>2,897</w:t>
            </w:r>
          </w:p>
        </w:tc>
      </w:tr>
      <w:tr w:rsidR="00370E97" w:rsidRPr="00370E97" w14:paraId="23E946DE" w14:textId="77777777" w:rsidTr="00370E97">
        <w:trPr>
          <w:trHeight w:val="300"/>
        </w:trPr>
        <w:tc>
          <w:tcPr>
            <w:tcW w:w="4400" w:type="dxa"/>
            <w:tcBorders>
              <w:top w:val="nil"/>
              <w:left w:val="nil"/>
              <w:bottom w:val="nil"/>
              <w:right w:val="nil"/>
            </w:tcBorders>
            <w:shd w:val="clear" w:color="000000" w:fill="FFFFFF"/>
            <w:noWrap/>
            <w:vAlign w:val="bottom"/>
            <w:hideMark/>
          </w:tcPr>
          <w:p w14:paraId="77A60984" w14:textId="77777777" w:rsidR="00370E97" w:rsidRPr="00370E97" w:rsidRDefault="00370E97" w:rsidP="00370E97">
            <w:pPr>
              <w:spacing w:after="0" w:line="240" w:lineRule="auto"/>
              <w:rPr>
                <w:rFonts w:ascii="Calibri" w:eastAsia="Times New Roman" w:hAnsi="Calibri" w:cs="Calibri"/>
                <w:szCs w:val="20"/>
                <w:lang w:eastAsia="en-AU"/>
              </w:rPr>
            </w:pPr>
            <w:r w:rsidRPr="00370E97">
              <w:rPr>
                <w:rFonts w:ascii="Calibri" w:eastAsia="Times New Roman" w:hAnsi="Calibri" w:cs="Calibri"/>
                <w:szCs w:val="20"/>
                <w:lang w:eastAsia="en-AU"/>
              </w:rPr>
              <w:t> </w:t>
            </w:r>
          </w:p>
        </w:tc>
        <w:tc>
          <w:tcPr>
            <w:tcW w:w="1480" w:type="dxa"/>
            <w:tcBorders>
              <w:top w:val="nil"/>
              <w:left w:val="nil"/>
              <w:bottom w:val="nil"/>
              <w:right w:val="nil"/>
            </w:tcBorders>
            <w:shd w:val="clear" w:color="000000" w:fill="FFFFFF"/>
            <w:noWrap/>
            <w:vAlign w:val="bottom"/>
            <w:hideMark/>
          </w:tcPr>
          <w:p w14:paraId="37C80105" w14:textId="77777777" w:rsidR="00370E97" w:rsidRPr="00370E97" w:rsidRDefault="00370E97" w:rsidP="00370E97">
            <w:pPr>
              <w:spacing w:after="0" w:line="240" w:lineRule="auto"/>
              <w:rPr>
                <w:rFonts w:ascii="Calibri" w:eastAsia="Times New Roman" w:hAnsi="Calibri" w:cs="Calibri"/>
                <w:szCs w:val="20"/>
                <w:lang w:eastAsia="en-AU"/>
              </w:rPr>
            </w:pPr>
            <w:r w:rsidRPr="00370E97">
              <w:rPr>
                <w:rFonts w:ascii="Calibri" w:eastAsia="Times New Roman" w:hAnsi="Calibri" w:cs="Calibri"/>
                <w:szCs w:val="20"/>
                <w:lang w:eastAsia="en-AU"/>
              </w:rPr>
              <w:t> </w:t>
            </w:r>
          </w:p>
        </w:tc>
        <w:tc>
          <w:tcPr>
            <w:tcW w:w="1360" w:type="dxa"/>
            <w:tcBorders>
              <w:top w:val="nil"/>
              <w:left w:val="nil"/>
              <w:bottom w:val="nil"/>
              <w:right w:val="nil"/>
            </w:tcBorders>
            <w:shd w:val="clear" w:color="000000" w:fill="FFFFFF"/>
            <w:noWrap/>
            <w:vAlign w:val="bottom"/>
            <w:hideMark/>
          </w:tcPr>
          <w:p w14:paraId="0EDBDE3B" w14:textId="77777777" w:rsidR="00370E97" w:rsidRPr="00370E97" w:rsidRDefault="00370E97" w:rsidP="00370E97">
            <w:pPr>
              <w:spacing w:after="0" w:line="240" w:lineRule="auto"/>
              <w:jc w:val="center"/>
              <w:rPr>
                <w:rFonts w:ascii="Calibri" w:eastAsia="Times New Roman" w:hAnsi="Calibri" w:cs="Calibri"/>
                <w:szCs w:val="20"/>
                <w:lang w:eastAsia="en-AU"/>
              </w:rPr>
            </w:pPr>
            <w:r w:rsidRPr="00370E97">
              <w:rPr>
                <w:rFonts w:ascii="Calibri" w:eastAsia="Times New Roman" w:hAnsi="Calibri" w:cs="Calibri"/>
                <w:szCs w:val="20"/>
                <w:lang w:eastAsia="en-AU"/>
              </w:rPr>
              <w:t> </w:t>
            </w:r>
          </w:p>
        </w:tc>
      </w:tr>
      <w:tr w:rsidR="00370E97" w:rsidRPr="00370E97" w14:paraId="44197B1C" w14:textId="77777777" w:rsidTr="00370E97">
        <w:trPr>
          <w:trHeight w:val="300"/>
        </w:trPr>
        <w:tc>
          <w:tcPr>
            <w:tcW w:w="4400" w:type="dxa"/>
            <w:tcBorders>
              <w:top w:val="nil"/>
              <w:left w:val="nil"/>
              <w:bottom w:val="nil"/>
              <w:right w:val="nil"/>
            </w:tcBorders>
            <w:shd w:val="clear" w:color="000000" w:fill="FFFFFF"/>
            <w:noWrap/>
            <w:vAlign w:val="bottom"/>
            <w:hideMark/>
          </w:tcPr>
          <w:p w14:paraId="4750666C" w14:textId="77777777" w:rsidR="00370E97" w:rsidRPr="00370E97" w:rsidRDefault="00370E97" w:rsidP="00370E97">
            <w:pPr>
              <w:spacing w:after="0" w:line="240" w:lineRule="auto"/>
              <w:rPr>
                <w:rFonts w:ascii="Calibri" w:eastAsia="Times New Roman" w:hAnsi="Calibri" w:cs="Calibri"/>
                <w:szCs w:val="20"/>
                <w:lang w:eastAsia="en-AU"/>
              </w:rPr>
            </w:pPr>
            <w:r w:rsidRPr="00370E97">
              <w:rPr>
                <w:rFonts w:ascii="Calibri" w:eastAsia="Times New Roman" w:hAnsi="Calibri" w:cs="Calibri"/>
                <w:szCs w:val="20"/>
                <w:lang w:eastAsia="en-AU"/>
              </w:rPr>
              <w:t> </w:t>
            </w:r>
          </w:p>
        </w:tc>
        <w:tc>
          <w:tcPr>
            <w:tcW w:w="1480" w:type="dxa"/>
            <w:tcBorders>
              <w:top w:val="nil"/>
              <w:left w:val="nil"/>
              <w:bottom w:val="nil"/>
              <w:right w:val="nil"/>
            </w:tcBorders>
            <w:shd w:val="clear" w:color="000000" w:fill="FFFFFF"/>
            <w:noWrap/>
            <w:vAlign w:val="bottom"/>
            <w:hideMark/>
          </w:tcPr>
          <w:p w14:paraId="72762AC7" w14:textId="77777777" w:rsidR="00370E97" w:rsidRPr="00370E97" w:rsidRDefault="00370E97" w:rsidP="00370E97">
            <w:pPr>
              <w:spacing w:after="0" w:line="240" w:lineRule="auto"/>
              <w:rPr>
                <w:rFonts w:ascii="Calibri" w:eastAsia="Times New Roman" w:hAnsi="Calibri" w:cs="Calibri"/>
                <w:szCs w:val="20"/>
                <w:lang w:eastAsia="en-AU"/>
              </w:rPr>
            </w:pPr>
            <w:r w:rsidRPr="00370E97">
              <w:rPr>
                <w:rFonts w:ascii="Calibri" w:eastAsia="Times New Roman" w:hAnsi="Calibri" w:cs="Calibri"/>
                <w:szCs w:val="20"/>
                <w:lang w:eastAsia="en-AU"/>
              </w:rPr>
              <w:t> </w:t>
            </w:r>
          </w:p>
        </w:tc>
        <w:tc>
          <w:tcPr>
            <w:tcW w:w="1360" w:type="dxa"/>
            <w:tcBorders>
              <w:top w:val="nil"/>
              <w:left w:val="nil"/>
              <w:bottom w:val="nil"/>
              <w:right w:val="nil"/>
            </w:tcBorders>
            <w:shd w:val="clear" w:color="000000" w:fill="FFFFFF"/>
            <w:noWrap/>
            <w:vAlign w:val="bottom"/>
            <w:hideMark/>
          </w:tcPr>
          <w:p w14:paraId="3A540390" w14:textId="77777777" w:rsidR="00370E97" w:rsidRPr="00370E97" w:rsidRDefault="00370E97" w:rsidP="00370E97">
            <w:pPr>
              <w:spacing w:after="0" w:line="240" w:lineRule="auto"/>
              <w:jc w:val="center"/>
              <w:rPr>
                <w:rFonts w:ascii="Calibri" w:eastAsia="Times New Roman" w:hAnsi="Calibri" w:cs="Calibri"/>
                <w:szCs w:val="20"/>
                <w:lang w:eastAsia="en-AU"/>
              </w:rPr>
            </w:pPr>
            <w:r w:rsidRPr="00370E97">
              <w:rPr>
                <w:rFonts w:ascii="Calibri" w:eastAsia="Times New Roman" w:hAnsi="Calibri" w:cs="Calibri"/>
                <w:szCs w:val="20"/>
                <w:lang w:eastAsia="en-AU"/>
              </w:rPr>
              <w:t> </w:t>
            </w:r>
          </w:p>
        </w:tc>
      </w:tr>
      <w:tr w:rsidR="00370E97" w:rsidRPr="00370E97" w14:paraId="73E65230" w14:textId="77777777" w:rsidTr="00370E97">
        <w:trPr>
          <w:trHeight w:val="300"/>
        </w:trPr>
        <w:tc>
          <w:tcPr>
            <w:tcW w:w="5880" w:type="dxa"/>
            <w:gridSpan w:val="2"/>
            <w:tcBorders>
              <w:top w:val="nil"/>
              <w:left w:val="nil"/>
              <w:bottom w:val="nil"/>
              <w:right w:val="nil"/>
            </w:tcBorders>
            <w:shd w:val="clear" w:color="000000" w:fill="FFFFFF"/>
            <w:noWrap/>
            <w:vAlign w:val="bottom"/>
            <w:hideMark/>
          </w:tcPr>
          <w:p w14:paraId="2094CC2C" w14:textId="77777777" w:rsidR="00370E97" w:rsidRPr="00370E97" w:rsidRDefault="00370E97" w:rsidP="00370E97">
            <w:pPr>
              <w:spacing w:after="0" w:line="240" w:lineRule="auto"/>
              <w:rPr>
                <w:rFonts w:ascii="Calibri" w:eastAsia="Times New Roman" w:hAnsi="Calibri" w:cs="Calibri"/>
                <w:b/>
                <w:bCs/>
                <w:color w:val="000000"/>
                <w:szCs w:val="20"/>
                <w:lang w:eastAsia="en-AU"/>
              </w:rPr>
            </w:pPr>
            <w:r w:rsidRPr="00370E97">
              <w:rPr>
                <w:rFonts w:ascii="Calibri" w:eastAsia="Times New Roman" w:hAnsi="Calibri" w:cs="Calibri"/>
                <w:b/>
                <w:bCs/>
                <w:color w:val="000000"/>
                <w:szCs w:val="20"/>
                <w:lang w:eastAsia="en-AU"/>
              </w:rPr>
              <w:t>Top 5 costs (Proportion of total cash operating costs)</w:t>
            </w:r>
          </w:p>
        </w:tc>
        <w:tc>
          <w:tcPr>
            <w:tcW w:w="1360" w:type="dxa"/>
            <w:tcBorders>
              <w:top w:val="nil"/>
              <w:left w:val="nil"/>
              <w:bottom w:val="nil"/>
              <w:right w:val="nil"/>
            </w:tcBorders>
            <w:shd w:val="clear" w:color="000000" w:fill="FFFFFF"/>
            <w:noWrap/>
            <w:vAlign w:val="bottom"/>
            <w:hideMark/>
          </w:tcPr>
          <w:p w14:paraId="07697626"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r>
      <w:tr w:rsidR="00370E97" w:rsidRPr="00370E97" w14:paraId="46B108CD" w14:textId="77777777" w:rsidTr="00370E97">
        <w:trPr>
          <w:trHeight w:val="300"/>
        </w:trPr>
        <w:tc>
          <w:tcPr>
            <w:tcW w:w="4400" w:type="dxa"/>
            <w:tcBorders>
              <w:top w:val="nil"/>
              <w:left w:val="nil"/>
              <w:bottom w:val="nil"/>
              <w:right w:val="nil"/>
            </w:tcBorders>
            <w:shd w:val="clear" w:color="000000" w:fill="FFFFFF"/>
            <w:noWrap/>
            <w:vAlign w:val="bottom"/>
            <w:hideMark/>
          </w:tcPr>
          <w:p w14:paraId="65EBF917"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Pasture fertiliser costs (%)</w:t>
            </w:r>
          </w:p>
        </w:tc>
        <w:tc>
          <w:tcPr>
            <w:tcW w:w="1480" w:type="dxa"/>
            <w:tcBorders>
              <w:top w:val="nil"/>
              <w:left w:val="nil"/>
              <w:bottom w:val="nil"/>
              <w:right w:val="nil"/>
            </w:tcBorders>
            <w:shd w:val="clear" w:color="000000" w:fill="FFFFFF"/>
            <w:noWrap/>
            <w:vAlign w:val="bottom"/>
            <w:hideMark/>
          </w:tcPr>
          <w:p w14:paraId="28BFD8B9"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c>
          <w:tcPr>
            <w:tcW w:w="1360" w:type="dxa"/>
            <w:tcBorders>
              <w:top w:val="nil"/>
              <w:left w:val="nil"/>
              <w:bottom w:val="nil"/>
              <w:right w:val="nil"/>
            </w:tcBorders>
            <w:shd w:val="clear" w:color="000000" w:fill="FFFFFF"/>
            <w:noWrap/>
            <w:vAlign w:val="bottom"/>
            <w:hideMark/>
          </w:tcPr>
          <w:p w14:paraId="62EA043A"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15%</w:t>
            </w:r>
          </w:p>
        </w:tc>
      </w:tr>
      <w:tr w:rsidR="00370E97" w:rsidRPr="00370E97" w14:paraId="21F336A1" w14:textId="77777777" w:rsidTr="00370E97">
        <w:trPr>
          <w:trHeight w:val="300"/>
        </w:trPr>
        <w:tc>
          <w:tcPr>
            <w:tcW w:w="4400" w:type="dxa"/>
            <w:tcBorders>
              <w:top w:val="nil"/>
              <w:left w:val="nil"/>
              <w:bottom w:val="nil"/>
              <w:right w:val="nil"/>
            </w:tcBorders>
            <w:shd w:val="clear" w:color="000000" w:fill="FFFFFF"/>
            <w:noWrap/>
            <w:vAlign w:val="bottom"/>
            <w:hideMark/>
          </w:tcPr>
          <w:p w14:paraId="10AB7140" w14:textId="2761EC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xml:space="preserve">Livestock </w:t>
            </w:r>
            <w:r w:rsidR="008C0E47">
              <w:rPr>
                <w:rFonts w:ascii="Calibri" w:eastAsia="Times New Roman" w:hAnsi="Calibri" w:cs="Calibri"/>
                <w:color w:val="000000"/>
                <w:szCs w:val="20"/>
                <w:lang w:eastAsia="en-AU"/>
              </w:rPr>
              <w:t>s</w:t>
            </w:r>
            <w:r w:rsidRPr="00370E97">
              <w:rPr>
                <w:rFonts w:ascii="Calibri" w:eastAsia="Times New Roman" w:hAnsi="Calibri" w:cs="Calibri"/>
                <w:color w:val="000000"/>
                <w:szCs w:val="20"/>
                <w:lang w:eastAsia="en-AU"/>
              </w:rPr>
              <w:t>elling costs (%)</w:t>
            </w:r>
          </w:p>
        </w:tc>
        <w:tc>
          <w:tcPr>
            <w:tcW w:w="1480" w:type="dxa"/>
            <w:tcBorders>
              <w:top w:val="nil"/>
              <w:left w:val="nil"/>
              <w:bottom w:val="nil"/>
              <w:right w:val="nil"/>
            </w:tcBorders>
            <w:shd w:val="clear" w:color="000000" w:fill="FFFFFF"/>
            <w:noWrap/>
            <w:vAlign w:val="bottom"/>
            <w:hideMark/>
          </w:tcPr>
          <w:p w14:paraId="1C245063"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c>
          <w:tcPr>
            <w:tcW w:w="1360" w:type="dxa"/>
            <w:tcBorders>
              <w:top w:val="nil"/>
              <w:left w:val="nil"/>
              <w:bottom w:val="nil"/>
              <w:right w:val="nil"/>
            </w:tcBorders>
            <w:shd w:val="clear" w:color="000000" w:fill="FFFFFF"/>
            <w:noWrap/>
            <w:vAlign w:val="bottom"/>
            <w:hideMark/>
          </w:tcPr>
          <w:p w14:paraId="382C98EB"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11%</w:t>
            </w:r>
          </w:p>
        </w:tc>
      </w:tr>
      <w:tr w:rsidR="00370E97" w:rsidRPr="00370E97" w14:paraId="20572A46" w14:textId="77777777" w:rsidTr="00370E97">
        <w:trPr>
          <w:trHeight w:val="300"/>
        </w:trPr>
        <w:tc>
          <w:tcPr>
            <w:tcW w:w="4400" w:type="dxa"/>
            <w:tcBorders>
              <w:top w:val="nil"/>
              <w:left w:val="nil"/>
              <w:bottom w:val="nil"/>
              <w:right w:val="nil"/>
            </w:tcBorders>
            <w:shd w:val="clear" w:color="000000" w:fill="FFFFFF"/>
            <w:noWrap/>
            <w:vAlign w:val="bottom"/>
            <w:hideMark/>
          </w:tcPr>
          <w:p w14:paraId="0A838E5E" w14:textId="2D2383A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xml:space="preserve">Animal </w:t>
            </w:r>
            <w:r w:rsidR="003500A6">
              <w:rPr>
                <w:rFonts w:ascii="Calibri" w:eastAsia="Times New Roman" w:hAnsi="Calibri" w:cs="Calibri"/>
                <w:color w:val="000000"/>
                <w:szCs w:val="20"/>
                <w:lang w:eastAsia="en-AU"/>
              </w:rPr>
              <w:t>h</w:t>
            </w:r>
            <w:r w:rsidRPr="00370E97">
              <w:rPr>
                <w:rFonts w:ascii="Calibri" w:eastAsia="Times New Roman" w:hAnsi="Calibri" w:cs="Calibri"/>
                <w:color w:val="000000"/>
                <w:szCs w:val="20"/>
                <w:lang w:eastAsia="en-AU"/>
              </w:rPr>
              <w:t>ealth (%)</w:t>
            </w:r>
          </w:p>
        </w:tc>
        <w:tc>
          <w:tcPr>
            <w:tcW w:w="1480" w:type="dxa"/>
            <w:tcBorders>
              <w:top w:val="nil"/>
              <w:left w:val="nil"/>
              <w:bottom w:val="nil"/>
              <w:right w:val="nil"/>
            </w:tcBorders>
            <w:shd w:val="clear" w:color="000000" w:fill="FFFFFF"/>
            <w:noWrap/>
            <w:vAlign w:val="bottom"/>
            <w:hideMark/>
          </w:tcPr>
          <w:p w14:paraId="73F95163"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c>
          <w:tcPr>
            <w:tcW w:w="1360" w:type="dxa"/>
            <w:tcBorders>
              <w:top w:val="nil"/>
              <w:left w:val="nil"/>
              <w:bottom w:val="nil"/>
              <w:right w:val="nil"/>
            </w:tcBorders>
            <w:shd w:val="clear" w:color="000000" w:fill="FFFFFF"/>
            <w:noWrap/>
            <w:vAlign w:val="bottom"/>
            <w:hideMark/>
          </w:tcPr>
          <w:p w14:paraId="3EB4275F"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6%</w:t>
            </w:r>
          </w:p>
        </w:tc>
      </w:tr>
      <w:tr w:rsidR="00370E97" w:rsidRPr="00370E97" w14:paraId="7198C185" w14:textId="77777777" w:rsidTr="00370E97">
        <w:trPr>
          <w:trHeight w:val="300"/>
        </w:trPr>
        <w:tc>
          <w:tcPr>
            <w:tcW w:w="4400" w:type="dxa"/>
            <w:tcBorders>
              <w:top w:val="nil"/>
              <w:left w:val="nil"/>
              <w:bottom w:val="nil"/>
              <w:right w:val="nil"/>
            </w:tcBorders>
            <w:shd w:val="clear" w:color="000000" w:fill="FFFFFF"/>
            <w:noWrap/>
            <w:vAlign w:val="bottom"/>
            <w:hideMark/>
          </w:tcPr>
          <w:p w14:paraId="4AFD9333"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Rates (%)</w:t>
            </w:r>
          </w:p>
        </w:tc>
        <w:tc>
          <w:tcPr>
            <w:tcW w:w="1480" w:type="dxa"/>
            <w:tcBorders>
              <w:top w:val="nil"/>
              <w:left w:val="nil"/>
              <w:bottom w:val="nil"/>
              <w:right w:val="nil"/>
            </w:tcBorders>
            <w:shd w:val="clear" w:color="000000" w:fill="FFFFFF"/>
            <w:noWrap/>
            <w:vAlign w:val="bottom"/>
            <w:hideMark/>
          </w:tcPr>
          <w:p w14:paraId="7D04E836"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c>
          <w:tcPr>
            <w:tcW w:w="1360" w:type="dxa"/>
            <w:tcBorders>
              <w:top w:val="nil"/>
              <w:left w:val="nil"/>
              <w:bottom w:val="nil"/>
              <w:right w:val="nil"/>
            </w:tcBorders>
            <w:shd w:val="clear" w:color="000000" w:fill="FFFFFF"/>
            <w:noWrap/>
            <w:vAlign w:val="bottom"/>
            <w:hideMark/>
          </w:tcPr>
          <w:p w14:paraId="404D53E8"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6%</w:t>
            </w:r>
          </w:p>
        </w:tc>
      </w:tr>
      <w:tr w:rsidR="00370E97" w:rsidRPr="00370E97" w14:paraId="0F212814" w14:textId="77777777" w:rsidTr="00370E97">
        <w:trPr>
          <w:trHeight w:val="300"/>
        </w:trPr>
        <w:tc>
          <w:tcPr>
            <w:tcW w:w="4400" w:type="dxa"/>
            <w:tcBorders>
              <w:top w:val="nil"/>
              <w:left w:val="nil"/>
              <w:bottom w:val="nil"/>
              <w:right w:val="nil"/>
            </w:tcBorders>
            <w:shd w:val="clear" w:color="000000" w:fill="FFFFFF"/>
            <w:noWrap/>
            <w:vAlign w:val="bottom"/>
            <w:hideMark/>
          </w:tcPr>
          <w:p w14:paraId="0C450E25" w14:textId="77777777" w:rsidR="00370E97" w:rsidRPr="00370E97" w:rsidRDefault="00370E97" w:rsidP="00370E97">
            <w:pPr>
              <w:spacing w:after="0" w:line="240" w:lineRule="auto"/>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Farm insurance (%)</w:t>
            </w:r>
          </w:p>
        </w:tc>
        <w:tc>
          <w:tcPr>
            <w:tcW w:w="1480" w:type="dxa"/>
            <w:tcBorders>
              <w:top w:val="nil"/>
              <w:left w:val="nil"/>
              <w:bottom w:val="nil"/>
              <w:right w:val="nil"/>
            </w:tcBorders>
            <w:shd w:val="clear" w:color="000000" w:fill="FFFFFF"/>
            <w:noWrap/>
            <w:vAlign w:val="bottom"/>
            <w:hideMark/>
          </w:tcPr>
          <w:p w14:paraId="503C5A9C"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 </w:t>
            </w:r>
          </w:p>
        </w:tc>
        <w:tc>
          <w:tcPr>
            <w:tcW w:w="1360" w:type="dxa"/>
            <w:tcBorders>
              <w:top w:val="nil"/>
              <w:left w:val="nil"/>
              <w:bottom w:val="nil"/>
              <w:right w:val="nil"/>
            </w:tcBorders>
            <w:shd w:val="clear" w:color="000000" w:fill="FFFFFF"/>
            <w:noWrap/>
            <w:vAlign w:val="bottom"/>
            <w:hideMark/>
          </w:tcPr>
          <w:p w14:paraId="366D0337" w14:textId="77777777" w:rsidR="00370E97" w:rsidRPr="00370E97" w:rsidRDefault="00370E97" w:rsidP="00370E97">
            <w:pPr>
              <w:spacing w:after="0" w:line="240" w:lineRule="auto"/>
              <w:jc w:val="center"/>
              <w:rPr>
                <w:rFonts w:ascii="Calibri" w:eastAsia="Times New Roman" w:hAnsi="Calibri" w:cs="Calibri"/>
                <w:color w:val="000000"/>
                <w:szCs w:val="20"/>
                <w:lang w:eastAsia="en-AU"/>
              </w:rPr>
            </w:pPr>
            <w:r w:rsidRPr="00370E97">
              <w:rPr>
                <w:rFonts w:ascii="Calibri" w:eastAsia="Times New Roman" w:hAnsi="Calibri" w:cs="Calibri"/>
                <w:color w:val="000000"/>
                <w:szCs w:val="20"/>
                <w:lang w:eastAsia="en-AU"/>
              </w:rPr>
              <w:t>5%</w:t>
            </w:r>
          </w:p>
        </w:tc>
      </w:tr>
    </w:tbl>
    <w:p w14:paraId="63EABF93" w14:textId="06DD584C" w:rsidR="00D12059" w:rsidRDefault="00D12059">
      <w:pPr>
        <w:rPr>
          <w:b/>
          <w:color w:val="FF0000"/>
          <w:szCs w:val="20"/>
        </w:rPr>
      </w:pPr>
    </w:p>
    <w:p w14:paraId="648F3599" w14:textId="77777777" w:rsidR="001F749A" w:rsidRDefault="001F749A" w:rsidP="00D12059">
      <w:pPr>
        <w:pStyle w:val="Heading2"/>
        <w:rPr>
          <w:bCs/>
        </w:rPr>
        <w:sectPr w:rsidR="001F749A" w:rsidSect="001F749A">
          <w:type w:val="continuous"/>
          <w:pgSz w:w="11906" w:h="16838"/>
          <w:pgMar w:top="1440" w:right="1440" w:bottom="1440" w:left="1440" w:header="708" w:footer="708" w:gutter="0"/>
          <w:cols w:space="708"/>
          <w:docGrid w:linePitch="360"/>
        </w:sectPr>
      </w:pPr>
    </w:p>
    <w:p w14:paraId="54E46139" w14:textId="77777777" w:rsidR="00361F70" w:rsidRDefault="00361F70">
      <w:pPr>
        <w:rPr>
          <w:rFonts w:cs="VIC-SemiBold"/>
          <w:b/>
          <w:bCs/>
          <w:color w:val="4C7329"/>
          <w:sz w:val="28"/>
          <w:szCs w:val="18"/>
          <w:lang w:val="en-US"/>
        </w:rPr>
      </w:pPr>
      <w:r>
        <w:rPr>
          <w:bCs/>
        </w:rPr>
        <w:br w:type="page"/>
      </w:r>
    </w:p>
    <w:p w14:paraId="26A5ECCB" w14:textId="5569BF7F" w:rsidR="00D12059" w:rsidRPr="0064154B" w:rsidRDefault="00D12059" w:rsidP="00D12059">
      <w:pPr>
        <w:pStyle w:val="Heading2"/>
        <w:rPr>
          <w:bCs/>
        </w:rPr>
      </w:pPr>
      <w:bookmarkStart w:id="33" w:name="_Toc214610576"/>
      <w:r w:rsidRPr="0064154B">
        <w:rPr>
          <w:bCs/>
        </w:rPr>
        <w:lastRenderedPageBreak/>
        <w:t>Nort</w:t>
      </w:r>
      <w:r w:rsidR="00692A86" w:rsidRPr="0064154B">
        <w:rPr>
          <w:bCs/>
        </w:rPr>
        <w:t>hern Victoria</w:t>
      </w:r>
      <w:bookmarkEnd w:id="33"/>
    </w:p>
    <w:p w14:paraId="3638FC7A" w14:textId="1C10469E" w:rsidR="00AC3516" w:rsidRPr="005D010D" w:rsidRDefault="0032779D" w:rsidP="005D010D">
      <w:pPr>
        <w:pStyle w:val="Heading3"/>
        <w:rPr>
          <w:b/>
          <w:bCs/>
        </w:rPr>
      </w:pPr>
      <w:bookmarkStart w:id="34" w:name="_Toc214610577"/>
      <w:r>
        <w:rPr>
          <w:b/>
          <w:bCs/>
        </w:rPr>
        <w:t>Gross margins</w:t>
      </w:r>
      <w:bookmarkEnd w:id="34"/>
    </w:p>
    <w:p w14:paraId="58635AEF" w14:textId="2E9FBC99" w:rsidR="000C2335" w:rsidRDefault="00406FCB" w:rsidP="00E30C42">
      <w:r>
        <w:rPr>
          <w:noProof/>
        </w:rPr>
        <w:drawing>
          <wp:inline distT="0" distB="0" distL="0" distR="0" wp14:anchorId="78916DEA" wp14:editId="2A20A122">
            <wp:extent cx="2710731" cy="1567542"/>
            <wp:effectExtent l="0" t="0" r="0" b="0"/>
            <wp:docPr id="660820954" name="Picture 8" descr="Northern average gross margin for wool sheep, prime lamb and beef (2015-16 to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20954" name="Picture 8" descr="Northern average gross margin for wool sheep, prime lamb and beef (2015-16 to 2024-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26672" cy="1576760"/>
                    </a:xfrm>
                    <a:prstGeom prst="rect">
                      <a:avLst/>
                    </a:prstGeom>
                    <a:noFill/>
                  </pic:spPr>
                </pic:pic>
              </a:graphicData>
            </a:graphic>
          </wp:inline>
        </w:drawing>
      </w:r>
    </w:p>
    <w:p w14:paraId="0E007132" w14:textId="557691FA" w:rsidR="00A852A0" w:rsidRDefault="000C2335" w:rsidP="000C2335">
      <w:pPr>
        <w:pStyle w:val="Caption"/>
      </w:pPr>
      <w:bookmarkStart w:id="35" w:name="_Ref148954871"/>
      <w:bookmarkStart w:id="36" w:name="_Ref179981362"/>
      <w:r>
        <w:t xml:space="preserve">Figure </w:t>
      </w:r>
      <w:r>
        <w:fldChar w:fldCharType="begin"/>
      </w:r>
      <w:r>
        <w:instrText>SEQ Figure \* ARABIC</w:instrText>
      </w:r>
      <w:r>
        <w:fldChar w:fldCharType="separate"/>
      </w:r>
      <w:r w:rsidR="00EF38F6">
        <w:rPr>
          <w:noProof/>
        </w:rPr>
        <w:t>13</w:t>
      </w:r>
      <w:r>
        <w:fldChar w:fldCharType="end"/>
      </w:r>
      <w:bookmarkEnd w:id="35"/>
      <w:r>
        <w:t>.</w:t>
      </w:r>
      <w:r w:rsidRPr="0013594D">
        <w:t xml:space="preserve"> </w:t>
      </w:r>
      <w:r>
        <w:t>Northern</w:t>
      </w:r>
      <w:r w:rsidRPr="00FD55B0">
        <w:t xml:space="preserve"> </w:t>
      </w:r>
      <w:r w:rsidR="00E30C42" w:rsidRPr="00E30C42">
        <w:t>average gross margin for wool sheep, prime lamb and beef (201</w:t>
      </w:r>
      <w:r w:rsidR="00361F70">
        <w:t>5</w:t>
      </w:r>
      <w:r w:rsidR="00E30C42" w:rsidRPr="00E30C42">
        <w:t>-1</w:t>
      </w:r>
      <w:r w:rsidR="00361F70">
        <w:t>6</w:t>
      </w:r>
      <w:r w:rsidR="00E30C42" w:rsidRPr="00E30C42">
        <w:t xml:space="preserve"> to 202</w:t>
      </w:r>
      <w:r w:rsidR="00361F70">
        <w:t>4</w:t>
      </w:r>
      <w:r w:rsidR="00E30C42" w:rsidRPr="00E30C42">
        <w:t>-2</w:t>
      </w:r>
      <w:r w:rsidR="00361F70">
        <w:t>5</w:t>
      </w:r>
      <w:r w:rsidR="00E30C42" w:rsidRPr="00E30C42">
        <w:t>)</w:t>
      </w:r>
      <w:bookmarkEnd w:id="36"/>
    </w:p>
    <w:p w14:paraId="73B8220A" w14:textId="2206C3FF" w:rsidR="009911D9" w:rsidRDefault="004A079B" w:rsidP="009911D9">
      <w:r>
        <w:t xml:space="preserve">Wool sheep gross margins </w:t>
      </w:r>
      <w:r w:rsidR="008A71EB">
        <w:t xml:space="preserve">continued to fall in 2024-25 to be the lowest enterprise </w:t>
      </w:r>
      <w:r w:rsidR="00C52C30">
        <w:t>gross margin in the region</w:t>
      </w:r>
      <w:r w:rsidR="00B0679A">
        <w:t xml:space="preserve"> (</w:t>
      </w:r>
      <w:r w:rsidR="00B0679A">
        <w:fldChar w:fldCharType="begin"/>
      </w:r>
      <w:r w:rsidR="00B0679A">
        <w:instrText xml:space="preserve"> REF _Ref148954871 \h </w:instrText>
      </w:r>
      <w:r w:rsidR="00B0679A">
        <w:fldChar w:fldCharType="separate"/>
      </w:r>
      <w:r w:rsidR="00B0679A">
        <w:t xml:space="preserve">Figure </w:t>
      </w:r>
      <w:r w:rsidR="00B0679A">
        <w:rPr>
          <w:noProof/>
        </w:rPr>
        <w:t>13</w:t>
      </w:r>
      <w:r w:rsidR="00B0679A">
        <w:fldChar w:fldCharType="end"/>
      </w:r>
      <w:r w:rsidR="00B0679A">
        <w:t>)</w:t>
      </w:r>
      <w:r w:rsidR="00C52C30">
        <w:t xml:space="preserve">. Wool sheep gross margins </w:t>
      </w:r>
      <w:r>
        <w:t xml:space="preserve">per hectare and per DSE </w:t>
      </w:r>
      <w:r w:rsidR="00C475A6">
        <w:t xml:space="preserve">were </w:t>
      </w:r>
      <w:r>
        <w:t xml:space="preserve">the lowest </w:t>
      </w:r>
      <w:r w:rsidR="008973DF">
        <w:t>i</w:t>
      </w:r>
      <w:r w:rsidR="00B0679A">
        <w:t>n</w:t>
      </w:r>
      <w:r w:rsidR="00E30981">
        <w:t xml:space="preserve"> the history of </w:t>
      </w:r>
      <w:r w:rsidR="008973DF">
        <w:t>project</w:t>
      </w:r>
      <w:r w:rsidR="00E30981">
        <w:t xml:space="preserve"> in Northern Victoria</w:t>
      </w:r>
      <w:r w:rsidR="008973DF">
        <w:t xml:space="preserve"> </w:t>
      </w:r>
      <w:r w:rsidR="003E5630">
        <w:t>(</w:t>
      </w:r>
      <w:r w:rsidR="00CD254E">
        <w:t>+</w:t>
      </w:r>
      <w:r>
        <w:t>20 y</w:t>
      </w:r>
      <w:r w:rsidR="008973DF">
        <w:t>ears</w:t>
      </w:r>
      <w:r w:rsidR="003E5630">
        <w:t>)</w:t>
      </w:r>
      <w:r>
        <w:t xml:space="preserve"> (Appendix C13). </w:t>
      </w:r>
      <w:r w:rsidR="00BE277D">
        <w:t xml:space="preserve">Improved red meat prices </w:t>
      </w:r>
      <w:r w:rsidR="00445B3E">
        <w:t>contributed to the increase in p</w:t>
      </w:r>
      <w:r w:rsidR="0044392E">
        <w:t>rime lamb and beef g</w:t>
      </w:r>
      <w:r w:rsidR="007B518A" w:rsidRPr="007B518A">
        <w:t xml:space="preserve">ross margins </w:t>
      </w:r>
      <w:r w:rsidR="001B27EA">
        <w:t>i</w:t>
      </w:r>
      <w:r w:rsidR="00445B3E">
        <w:t xml:space="preserve">n </w:t>
      </w:r>
      <w:r w:rsidR="001B27EA">
        <w:t>2024-25 but</w:t>
      </w:r>
      <w:r w:rsidR="00445B3E">
        <w:t xml:space="preserve"> both enterprises</w:t>
      </w:r>
      <w:r w:rsidR="001B27EA">
        <w:t xml:space="preserve"> remained</w:t>
      </w:r>
      <w:r w:rsidR="007B518A" w:rsidRPr="007B518A">
        <w:t xml:space="preserve"> below the </w:t>
      </w:r>
      <w:r w:rsidR="00F579DD">
        <w:t>5</w:t>
      </w:r>
      <w:r w:rsidR="007B518A" w:rsidRPr="007B518A">
        <w:t>-year average</w:t>
      </w:r>
      <w:r w:rsidR="008030FB">
        <w:t xml:space="preserve">. </w:t>
      </w:r>
    </w:p>
    <w:p w14:paraId="5A2F1418" w14:textId="6E74BC2F" w:rsidR="007B518A" w:rsidRDefault="007B518A" w:rsidP="00635028">
      <w:pPr>
        <w:pStyle w:val="Caption"/>
      </w:pPr>
    </w:p>
    <w:p w14:paraId="5A6A8EEF" w14:textId="2E47CA8D" w:rsidR="00D12059" w:rsidRPr="00F04BDF" w:rsidRDefault="000F6044" w:rsidP="00F04BDF">
      <w:pPr>
        <w:pStyle w:val="Heading3"/>
        <w:rPr>
          <w:b/>
          <w:bCs/>
          <w:lang w:val="fr-FR"/>
        </w:rPr>
      </w:pPr>
      <w:bookmarkStart w:id="37" w:name="_Toc214610578"/>
      <w:proofErr w:type="spellStart"/>
      <w:r>
        <w:rPr>
          <w:b/>
          <w:bCs/>
          <w:lang w:val="fr-FR"/>
        </w:rPr>
        <w:t>Costs</w:t>
      </w:r>
      <w:bookmarkEnd w:id="37"/>
      <w:proofErr w:type="spellEnd"/>
    </w:p>
    <w:p w14:paraId="01092367" w14:textId="77777777" w:rsidR="00312DEA" w:rsidRPr="00AA15AC" w:rsidRDefault="00312DEA" w:rsidP="00AA15AC">
      <w:pPr>
        <w:rPr>
          <w:lang w:val="fr-FR"/>
        </w:rPr>
      </w:pPr>
    </w:p>
    <w:p w14:paraId="2064F907" w14:textId="15F098C3" w:rsidR="00D21DE2" w:rsidRPr="00D21DE2" w:rsidRDefault="00D21DE2" w:rsidP="00D21DE2">
      <w:r>
        <w:rPr>
          <w:noProof/>
        </w:rPr>
        <w:drawing>
          <wp:inline distT="0" distB="0" distL="0" distR="0" wp14:anchorId="3E4C5419" wp14:editId="5EEC0701">
            <wp:extent cx="3179659" cy="1735528"/>
            <wp:effectExtent l="0" t="0" r="1905" b="0"/>
            <wp:docPr id="2012877328" name="Picture 9" descr="Northern farms average expenditure ($/ha) on fertiliser applied to pasture (2019-20 to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77328" name="Picture 9" descr="Northern farms average expenditure ($/ha) on fertiliser applied to pasture (2019-20 to 2024-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91044" cy="1741742"/>
                    </a:xfrm>
                    <a:prstGeom prst="rect">
                      <a:avLst/>
                    </a:prstGeom>
                    <a:noFill/>
                  </pic:spPr>
                </pic:pic>
              </a:graphicData>
            </a:graphic>
          </wp:inline>
        </w:drawing>
      </w:r>
    </w:p>
    <w:p w14:paraId="7C884667" w14:textId="70ACAE69" w:rsidR="007B005B" w:rsidRDefault="000C2335" w:rsidP="007B005B">
      <w:pPr>
        <w:pStyle w:val="Caption"/>
      </w:pPr>
      <w:bookmarkStart w:id="38" w:name="_Ref148954954"/>
      <w:r>
        <w:t xml:space="preserve">Figure </w:t>
      </w:r>
      <w:r>
        <w:fldChar w:fldCharType="begin"/>
      </w:r>
      <w:r>
        <w:instrText>SEQ Figure \* ARABIC</w:instrText>
      </w:r>
      <w:r>
        <w:fldChar w:fldCharType="separate"/>
      </w:r>
      <w:r w:rsidR="00EF38F6">
        <w:rPr>
          <w:noProof/>
        </w:rPr>
        <w:t>14</w:t>
      </w:r>
      <w:r>
        <w:fldChar w:fldCharType="end"/>
      </w:r>
      <w:bookmarkEnd w:id="38"/>
      <w:r w:rsidRPr="000A6AD7">
        <w:t xml:space="preserve">. </w:t>
      </w:r>
      <w:r w:rsidR="007B005B">
        <w:t>Northern</w:t>
      </w:r>
      <w:r w:rsidR="007B005B" w:rsidRPr="007B005B">
        <w:t xml:space="preserve"> farms average expenditure</w:t>
      </w:r>
      <w:r w:rsidR="00AB56FA">
        <w:t xml:space="preserve"> ($/ha)</w:t>
      </w:r>
      <w:r w:rsidR="007B005B" w:rsidRPr="007B005B">
        <w:t xml:space="preserve"> on fertiliser applied to pasture (2019-20 to 202</w:t>
      </w:r>
      <w:r w:rsidR="00D40C14">
        <w:t>4</w:t>
      </w:r>
      <w:r w:rsidR="007B005B" w:rsidRPr="007B005B">
        <w:t>-2</w:t>
      </w:r>
      <w:r w:rsidR="00D40C14">
        <w:t>5</w:t>
      </w:r>
      <w:r w:rsidR="007B005B" w:rsidRPr="007B005B">
        <w:t>)</w:t>
      </w:r>
    </w:p>
    <w:p w14:paraId="6591DEC2" w14:textId="467E6287" w:rsidR="00670BEA" w:rsidRDefault="00DF5DB4" w:rsidP="00F21A04">
      <w:pPr>
        <w:pStyle w:val="Caption"/>
      </w:pPr>
      <w:r>
        <w:rPr>
          <w:color w:val="000000" w:themeColor="text1"/>
        </w:rPr>
        <w:t xml:space="preserve">Despite the dry conditions, farmers continued to apply </w:t>
      </w:r>
      <w:r w:rsidR="005F114F">
        <w:rPr>
          <w:color w:val="000000" w:themeColor="text1"/>
        </w:rPr>
        <w:t xml:space="preserve">fertiliser </w:t>
      </w:r>
      <w:r w:rsidR="00296436">
        <w:rPr>
          <w:color w:val="000000" w:themeColor="text1"/>
        </w:rPr>
        <w:t>at similar rates to last year</w:t>
      </w:r>
      <w:r w:rsidR="00E62B59">
        <w:rPr>
          <w:color w:val="000000" w:themeColor="text1"/>
        </w:rPr>
        <w:t xml:space="preserve"> </w:t>
      </w:r>
      <w:r w:rsidR="00A162E0">
        <w:rPr>
          <w:color w:val="000000" w:themeColor="text1"/>
        </w:rPr>
        <w:t>in</w:t>
      </w:r>
      <w:r w:rsidR="005F114F">
        <w:rPr>
          <w:color w:val="000000" w:themeColor="text1"/>
        </w:rPr>
        <w:t xml:space="preserve"> Northern </w:t>
      </w:r>
      <w:r w:rsidR="007937F6">
        <w:rPr>
          <w:color w:val="000000" w:themeColor="text1"/>
        </w:rPr>
        <w:t>Victoria</w:t>
      </w:r>
      <w:r w:rsidR="005F114F">
        <w:rPr>
          <w:color w:val="000000" w:themeColor="text1"/>
        </w:rPr>
        <w:t xml:space="preserve">. </w:t>
      </w:r>
      <w:r w:rsidR="00E62B59" w:rsidRPr="00E62B59">
        <w:rPr>
          <w:color w:val="000000" w:themeColor="text1"/>
        </w:rPr>
        <w:t xml:space="preserve">With stable prices and usage rates, fertiliser </w:t>
      </w:r>
      <w:r w:rsidR="00824751">
        <w:rPr>
          <w:color w:val="000000" w:themeColor="text1"/>
        </w:rPr>
        <w:t>expenditure</w:t>
      </w:r>
      <w:r w:rsidR="00E62B59" w:rsidRPr="00E62B59">
        <w:rPr>
          <w:color w:val="000000" w:themeColor="text1"/>
        </w:rPr>
        <w:t xml:space="preserve"> </w:t>
      </w:r>
      <w:r w:rsidR="00F847C9">
        <w:rPr>
          <w:color w:val="000000" w:themeColor="text1"/>
        </w:rPr>
        <w:t xml:space="preserve">was the </w:t>
      </w:r>
      <w:r w:rsidR="00E62B59" w:rsidRPr="00E62B59">
        <w:rPr>
          <w:color w:val="000000" w:themeColor="text1"/>
        </w:rPr>
        <w:t xml:space="preserve">same </w:t>
      </w:r>
      <w:r w:rsidR="00824751">
        <w:rPr>
          <w:color w:val="000000" w:themeColor="text1"/>
        </w:rPr>
        <w:t>as in 2023-24</w:t>
      </w:r>
      <w:r w:rsidR="008E22A1">
        <w:rPr>
          <w:color w:val="000000" w:themeColor="text1"/>
        </w:rPr>
        <w:t xml:space="preserve"> </w:t>
      </w:r>
      <w:r w:rsidR="00792969" w:rsidRPr="653995BA">
        <w:rPr>
          <w:color w:val="000000" w:themeColor="text1"/>
        </w:rPr>
        <w:t>(</w:t>
      </w:r>
      <w:r w:rsidR="00087679" w:rsidRPr="653995BA">
        <w:rPr>
          <w:color w:val="000000" w:themeColor="text1"/>
        </w:rPr>
        <w:fldChar w:fldCharType="begin"/>
      </w:r>
      <w:r w:rsidR="00087679" w:rsidRPr="653995BA">
        <w:rPr>
          <w:color w:val="000000" w:themeColor="text1"/>
        </w:rPr>
        <w:instrText xml:space="preserve"> REF _Ref148954954 \h </w:instrText>
      </w:r>
      <w:r w:rsidR="00087679" w:rsidRPr="653995BA">
        <w:rPr>
          <w:color w:val="000000" w:themeColor="text1"/>
        </w:rPr>
      </w:r>
      <w:r w:rsidR="00087679" w:rsidRPr="653995BA">
        <w:rPr>
          <w:color w:val="000000" w:themeColor="text1"/>
        </w:rPr>
        <w:fldChar w:fldCharType="separate"/>
      </w:r>
      <w:r w:rsidR="00EF38F6">
        <w:t xml:space="preserve">Figure </w:t>
      </w:r>
      <w:r w:rsidR="00EF38F6">
        <w:rPr>
          <w:noProof/>
        </w:rPr>
        <w:t>14</w:t>
      </w:r>
      <w:r w:rsidR="00087679" w:rsidRPr="653995BA">
        <w:rPr>
          <w:color w:val="000000" w:themeColor="text1"/>
        </w:rPr>
        <w:fldChar w:fldCharType="end"/>
      </w:r>
      <w:r w:rsidR="001F44F9" w:rsidRPr="653995BA">
        <w:rPr>
          <w:color w:val="000000" w:themeColor="text1"/>
        </w:rPr>
        <w:t>)</w:t>
      </w:r>
      <w:r w:rsidR="004B25F5" w:rsidRPr="653995BA">
        <w:rPr>
          <w:color w:val="000000" w:themeColor="text1"/>
        </w:rPr>
        <w:t>.</w:t>
      </w:r>
      <w:r w:rsidR="005E01EF" w:rsidRPr="005E01EF">
        <w:t xml:space="preserve"> </w:t>
      </w:r>
      <w:r w:rsidR="00DC5674">
        <w:t xml:space="preserve">With the </w:t>
      </w:r>
      <w:r w:rsidR="00F60E86">
        <w:rPr>
          <w:color w:val="000000" w:themeColor="text1"/>
        </w:rPr>
        <w:t>additional spending on supplementary feed</w:t>
      </w:r>
      <w:r w:rsidR="00E91D59">
        <w:rPr>
          <w:color w:val="000000" w:themeColor="text1"/>
        </w:rPr>
        <w:t>,</w:t>
      </w:r>
      <w:r w:rsidR="00B24D87" w:rsidRPr="00B24D87">
        <w:rPr>
          <w:color w:val="000000" w:themeColor="text1"/>
        </w:rPr>
        <w:t xml:space="preserve"> fertiliser</w:t>
      </w:r>
      <w:r w:rsidR="002A5081">
        <w:rPr>
          <w:color w:val="000000" w:themeColor="text1"/>
        </w:rPr>
        <w:t xml:space="preserve"> moved from the</w:t>
      </w:r>
      <w:r w:rsidR="00B24D87" w:rsidRPr="00B24D87">
        <w:rPr>
          <w:color w:val="000000" w:themeColor="text1"/>
        </w:rPr>
        <w:t xml:space="preserve"> largest cost item</w:t>
      </w:r>
      <w:r w:rsidR="002A5081">
        <w:rPr>
          <w:color w:val="000000" w:themeColor="text1"/>
        </w:rPr>
        <w:t xml:space="preserve"> in 2023-24 to being the </w:t>
      </w:r>
      <w:r w:rsidR="00865C3D">
        <w:rPr>
          <w:color w:val="000000" w:themeColor="text1"/>
        </w:rPr>
        <w:t>third largest item in 2024-25</w:t>
      </w:r>
      <w:r w:rsidR="00B24D87" w:rsidRPr="00B24D87">
        <w:rPr>
          <w:color w:val="000000" w:themeColor="text1"/>
        </w:rPr>
        <w:t xml:space="preserve">, making up </w:t>
      </w:r>
      <w:r w:rsidR="00865C3D">
        <w:rPr>
          <w:color w:val="000000" w:themeColor="text1"/>
        </w:rPr>
        <w:t>9</w:t>
      </w:r>
      <w:r w:rsidR="00B24D87" w:rsidRPr="00B24D87">
        <w:rPr>
          <w:color w:val="000000" w:themeColor="text1"/>
        </w:rPr>
        <w:t>% of</w:t>
      </w:r>
      <w:r w:rsidR="000A249F">
        <w:rPr>
          <w:color w:val="000000" w:themeColor="text1"/>
        </w:rPr>
        <w:t xml:space="preserve"> average farm</w:t>
      </w:r>
      <w:r w:rsidR="00B24D87" w:rsidRPr="00B24D87">
        <w:rPr>
          <w:color w:val="000000" w:themeColor="text1"/>
        </w:rPr>
        <w:t xml:space="preserve"> cash operating costs.</w:t>
      </w:r>
      <w:r w:rsidR="00670BEA" w:rsidRPr="00670BEA">
        <w:t xml:space="preserve"> </w:t>
      </w:r>
    </w:p>
    <w:p w14:paraId="5D47DBC0" w14:textId="6235A3DB" w:rsidR="000C2029" w:rsidRPr="006F4839" w:rsidRDefault="00C40898" w:rsidP="000C2029">
      <w:pPr>
        <w:rPr>
          <w:color w:val="000000" w:themeColor="text1"/>
        </w:rPr>
      </w:pPr>
      <w:r w:rsidRPr="0041363A">
        <w:rPr>
          <w:color w:val="000000" w:themeColor="text1"/>
        </w:rPr>
        <w:t>Northern</w:t>
      </w:r>
      <w:r w:rsidR="002D70DC" w:rsidRPr="0041363A">
        <w:rPr>
          <w:color w:val="000000" w:themeColor="text1"/>
        </w:rPr>
        <w:t xml:space="preserve"> farms received </w:t>
      </w:r>
      <w:r w:rsidR="00C8639E">
        <w:rPr>
          <w:color w:val="000000" w:themeColor="text1"/>
        </w:rPr>
        <w:t>average spring rainfall</w:t>
      </w:r>
      <w:r w:rsidR="00AF5351">
        <w:rPr>
          <w:color w:val="000000" w:themeColor="text1"/>
        </w:rPr>
        <w:t xml:space="preserve"> but</w:t>
      </w:r>
      <w:r w:rsidR="00C27D15">
        <w:rPr>
          <w:color w:val="000000" w:themeColor="text1"/>
        </w:rPr>
        <w:t xml:space="preserve"> </w:t>
      </w:r>
      <w:r w:rsidR="00AF1B26">
        <w:rPr>
          <w:color w:val="000000" w:themeColor="text1"/>
        </w:rPr>
        <w:t>well below</w:t>
      </w:r>
      <w:r w:rsidR="00AF1B26" w:rsidRPr="0041363A">
        <w:rPr>
          <w:color w:val="000000" w:themeColor="text1"/>
        </w:rPr>
        <w:t xml:space="preserve"> </w:t>
      </w:r>
      <w:r w:rsidR="00AF1B26">
        <w:rPr>
          <w:color w:val="000000" w:themeColor="text1"/>
        </w:rPr>
        <w:t>autumn</w:t>
      </w:r>
      <w:r w:rsidR="00AF1B26" w:rsidRPr="0041363A">
        <w:rPr>
          <w:color w:val="000000" w:themeColor="text1"/>
        </w:rPr>
        <w:t xml:space="preserve"> rainfall</w:t>
      </w:r>
      <w:r w:rsidR="009004DA">
        <w:rPr>
          <w:color w:val="000000" w:themeColor="text1"/>
        </w:rPr>
        <w:t xml:space="preserve"> </w:t>
      </w:r>
      <w:r w:rsidR="009004DA" w:rsidRPr="0041363A">
        <w:rPr>
          <w:color w:val="000000" w:themeColor="text1"/>
        </w:rPr>
        <w:t>(</w:t>
      </w:r>
      <w:r w:rsidR="009004DA">
        <w:rPr>
          <w:color w:val="000000" w:themeColor="text1"/>
        </w:rPr>
        <w:t>55</w:t>
      </w:r>
      <w:r w:rsidR="009004DA" w:rsidRPr="0041363A">
        <w:rPr>
          <w:color w:val="000000" w:themeColor="text1"/>
        </w:rPr>
        <w:t>%)</w:t>
      </w:r>
      <w:r w:rsidR="009004DA">
        <w:rPr>
          <w:color w:val="000000" w:themeColor="text1"/>
        </w:rPr>
        <w:t xml:space="preserve"> resulting in</w:t>
      </w:r>
      <w:r w:rsidR="00AF1B26">
        <w:rPr>
          <w:color w:val="000000" w:themeColor="text1"/>
        </w:rPr>
        <w:t xml:space="preserve"> </w:t>
      </w:r>
      <w:r w:rsidR="00A154E5">
        <w:rPr>
          <w:color w:val="000000" w:themeColor="text1"/>
        </w:rPr>
        <w:t>below average (</w:t>
      </w:r>
      <w:r w:rsidR="00B1472C">
        <w:rPr>
          <w:color w:val="000000" w:themeColor="text1"/>
        </w:rPr>
        <w:t>77%</w:t>
      </w:r>
      <w:r w:rsidR="00A154E5">
        <w:rPr>
          <w:color w:val="000000" w:themeColor="text1"/>
        </w:rPr>
        <w:t>)</w:t>
      </w:r>
      <w:r w:rsidRPr="0041363A">
        <w:rPr>
          <w:color w:val="000000" w:themeColor="text1"/>
        </w:rPr>
        <w:t xml:space="preserve"> </w:t>
      </w:r>
      <w:r w:rsidR="0043175A" w:rsidRPr="0041363A">
        <w:rPr>
          <w:color w:val="000000" w:themeColor="text1"/>
        </w:rPr>
        <w:t>long-term average</w:t>
      </w:r>
      <w:r w:rsidRPr="0041363A">
        <w:rPr>
          <w:color w:val="000000" w:themeColor="text1"/>
        </w:rPr>
        <w:t xml:space="preserve"> </w:t>
      </w:r>
      <w:r w:rsidR="006920AE" w:rsidRPr="0041363A">
        <w:rPr>
          <w:color w:val="000000" w:themeColor="text1"/>
        </w:rPr>
        <w:t xml:space="preserve">annual </w:t>
      </w:r>
      <w:r w:rsidR="006920AE">
        <w:rPr>
          <w:color w:val="000000" w:themeColor="text1"/>
        </w:rPr>
        <w:t>rainfall</w:t>
      </w:r>
      <w:r w:rsidR="002D70DC" w:rsidRPr="0041363A">
        <w:rPr>
          <w:color w:val="000000" w:themeColor="text1"/>
        </w:rPr>
        <w:t xml:space="preserve"> (Appendix D2)</w:t>
      </w:r>
      <w:r w:rsidR="000C2029" w:rsidRPr="0041363A">
        <w:rPr>
          <w:color w:val="000000" w:themeColor="text1"/>
        </w:rPr>
        <w:t xml:space="preserve">. </w:t>
      </w:r>
      <w:r w:rsidR="006920AE">
        <w:rPr>
          <w:color w:val="000000" w:themeColor="text1"/>
        </w:rPr>
        <w:t>As a result of the drier conditions</w:t>
      </w:r>
      <w:r w:rsidR="004E1622">
        <w:rPr>
          <w:color w:val="000000" w:themeColor="text1"/>
        </w:rPr>
        <w:t>,</w:t>
      </w:r>
      <w:r w:rsidR="006920AE">
        <w:rPr>
          <w:color w:val="000000" w:themeColor="text1"/>
        </w:rPr>
        <w:t xml:space="preserve"> g</w:t>
      </w:r>
      <w:r w:rsidR="00CF089B">
        <w:rPr>
          <w:color w:val="000000" w:themeColor="text1"/>
        </w:rPr>
        <w:t xml:space="preserve">razed pasture consumption decreased </w:t>
      </w:r>
      <w:r w:rsidR="003C40F3">
        <w:rPr>
          <w:color w:val="000000" w:themeColor="text1"/>
        </w:rPr>
        <w:t xml:space="preserve">to </w:t>
      </w:r>
      <w:r w:rsidR="00C8639E">
        <w:rPr>
          <w:color w:val="000000" w:themeColor="text1"/>
        </w:rPr>
        <w:t xml:space="preserve">3.4 </w:t>
      </w:r>
      <w:r w:rsidR="00F26EBC" w:rsidRPr="00F26EBC">
        <w:rPr>
          <w:color w:val="000000" w:themeColor="text1"/>
        </w:rPr>
        <w:t xml:space="preserve">tonne of dry matter per hectare </w:t>
      </w:r>
      <w:r w:rsidR="002420A3">
        <w:rPr>
          <w:color w:val="000000" w:themeColor="text1"/>
        </w:rPr>
        <w:t xml:space="preserve">(-7% year-on-year). Lower pasture availability </w:t>
      </w:r>
      <w:r w:rsidR="00137C0E">
        <w:rPr>
          <w:color w:val="000000" w:themeColor="text1"/>
        </w:rPr>
        <w:t xml:space="preserve">meant </w:t>
      </w:r>
      <w:r w:rsidR="00A4207E">
        <w:rPr>
          <w:color w:val="000000" w:themeColor="text1"/>
        </w:rPr>
        <w:t>a greater reliance on supplementary feed</w:t>
      </w:r>
      <w:r w:rsidR="0013355A">
        <w:rPr>
          <w:color w:val="000000" w:themeColor="text1"/>
        </w:rPr>
        <w:t xml:space="preserve"> leading to a</w:t>
      </w:r>
      <w:r w:rsidR="007C1356">
        <w:rPr>
          <w:color w:val="000000" w:themeColor="text1"/>
        </w:rPr>
        <w:t xml:space="preserve"> large </w:t>
      </w:r>
      <w:r w:rsidR="0013355A">
        <w:rPr>
          <w:color w:val="000000" w:themeColor="text1"/>
        </w:rPr>
        <w:t>increase</w:t>
      </w:r>
      <w:r w:rsidR="00C61815">
        <w:rPr>
          <w:color w:val="000000" w:themeColor="text1"/>
        </w:rPr>
        <w:t xml:space="preserve"> (130%)</w:t>
      </w:r>
      <w:r w:rsidR="0013355A">
        <w:rPr>
          <w:color w:val="000000" w:themeColor="text1"/>
        </w:rPr>
        <w:t xml:space="preserve"> in</w:t>
      </w:r>
      <w:r w:rsidR="009E35D4">
        <w:rPr>
          <w:color w:val="000000" w:themeColor="text1"/>
        </w:rPr>
        <w:t xml:space="preserve"> purchased </w:t>
      </w:r>
      <w:r w:rsidR="000C2029" w:rsidRPr="002F7F06">
        <w:rPr>
          <w:color w:val="000000" w:themeColor="text1"/>
        </w:rPr>
        <w:t>s</w:t>
      </w:r>
      <w:r w:rsidR="00A8567B" w:rsidRPr="002F7F06">
        <w:rPr>
          <w:color w:val="000000" w:themeColor="text1"/>
        </w:rPr>
        <w:t>upplemen</w:t>
      </w:r>
      <w:r w:rsidR="004F7AA9" w:rsidRPr="002F7F06">
        <w:rPr>
          <w:color w:val="000000" w:themeColor="text1"/>
        </w:rPr>
        <w:t>t</w:t>
      </w:r>
      <w:r w:rsidR="00A8567B" w:rsidRPr="002F7F06">
        <w:rPr>
          <w:color w:val="000000" w:themeColor="text1"/>
        </w:rPr>
        <w:t>ary</w:t>
      </w:r>
      <w:r w:rsidR="000C2029" w:rsidRPr="002F7F06">
        <w:rPr>
          <w:color w:val="000000" w:themeColor="text1"/>
        </w:rPr>
        <w:t xml:space="preserve"> feed</w:t>
      </w:r>
      <w:r w:rsidR="00137C0E">
        <w:rPr>
          <w:color w:val="000000" w:themeColor="text1"/>
        </w:rPr>
        <w:t xml:space="preserve"> </w:t>
      </w:r>
      <w:r w:rsidR="00B63FFD">
        <w:rPr>
          <w:color w:val="000000" w:themeColor="text1"/>
        </w:rPr>
        <w:t>costs</w:t>
      </w:r>
      <w:r w:rsidR="005242DD">
        <w:rPr>
          <w:color w:val="000000" w:themeColor="text1"/>
        </w:rPr>
        <w:t xml:space="preserve"> from the previous</w:t>
      </w:r>
      <w:r w:rsidR="009A02A6">
        <w:rPr>
          <w:color w:val="000000" w:themeColor="text1"/>
        </w:rPr>
        <w:t xml:space="preserve"> and was </w:t>
      </w:r>
      <w:r w:rsidR="00DE6C9E">
        <w:rPr>
          <w:color w:val="000000" w:themeColor="text1"/>
        </w:rPr>
        <w:t>higher than 2019-20</w:t>
      </w:r>
      <w:r w:rsidR="005A4F9E">
        <w:rPr>
          <w:color w:val="000000" w:themeColor="text1"/>
        </w:rPr>
        <w:t xml:space="preserve"> – a drought year</w:t>
      </w:r>
      <w:r w:rsidR="00431788">
        <w:rPr>
          <w:color w:val="000000" w:themeColor="text1"/>
        </w:rPr>
        <w:t xml:space="preserve"> (</w:t>
      </w:r>
      <w:r w:rsidR="00752B29">
        <w:rPr>
          <w:color w:val="000000" w:themeColor="text1"/>
        </w:rPr>
        <w:fldChar w:fldCharType="begin"/>
      </w:r>
      <w:r w:rsidR="00752B29">
        <w:rPr>
          <w:color w:val="000000" w:themeColor="text1"/>
        </w:rPr>
        <w:instrText xml:space="preserve"> REF _Ref148955044 \h </w:instrText>
      </w:r>
      <w:r w:rsidR="00752B29">
        <w:rPr>
          <w:color w:val="000000" w:themeColor="text1"/>
        </w:rPr>
      </w:r>
      <w:r w:rsidR="00752B29">
        <w:rPr>
          <w:color w:val="000000" w:themeColor="text1"/>
        </w:rPr>
        <w:fldChar w:fldCharType="separate"/>
      </w:r>
      <w:r w:rsidR="00752B29">
        <w:t xml:space="preserve">Figure </w:t>
      </w:r>
      <w:r w:rsidR="00752B29">
        <w:rPr>
          <w:noProof/>
        </w:rPr>
        <w:t>15</w:t>
      </w:r>
      <w:r w:rsidR="00752B29">
        <w:rPr>
          <w:color w:val="000000" w:themeColor="text1"/>
        </w:rPr>
        <w:fldChar w:fldCharType="end"/>
      </w:r>
      <w:r w:rsidR="00752B29">
        <w:rPr>
          <w:color w:val="000000" w:themeColor="text1"/>
        </w:rPr>
        <w:t>)</w:t>
      </w:r>
      <w:r w:rsidR="000C2029" w:rsidRPr="002F7F06">
        <w:rPr>
          <w:color w:val="000000" w:themeColor="text1"/>
        </w:rPr>
        <w:t>.</w:t>
      </w:r>
      <w:r w:rsidR="00CB556F" w:rsidRPr="00422B72">
        <w:rPr>
          <w:color w:val="FF0000"/>
        </w:rPr>
        <w:t xml:space="preserve"> </w:t>
      </w:r>
      <w:r w:rsidR="008953B3" w:rsidRPr="006F4839">
        <w:rPr>
          <w:color w:val="000000" w:themeColor="text1"/>
        </w:rPr>
        <w:t>P</w:t>
      </w:r>
      <w:r w:rsidR="00BC56E8" w:rsidRPr="006F4839">
        <w:rPr>
          <w:color w:val="000000" w:themeColor="text1"/>
        </w:rPr>
        <w:t xml:space="preserve">rime lamb </w:t>
      </w:r>
      <w:r w:rsidR="006213DC" w:rsidRPr="006F4839">
        <w:rPr>
          <w:color w:val="000000" w:themeColor="text1"/>
        </w:rPr>
        <w:t>enterprises</w:t>
      </w:r>
      <w:r w:rsidR="00747144" w:rsidRPr="006F4839">
        <w:rPr>
          <w:color w:val="000000" w:themeColor="text1"/>
        </w:rPr>
        <w:t xml:space="preserve"> </w:t>
      </w:r>
      <w:r w:rsidR="006213DC" w:rsidRPr="006F4839">
        <w:rPr>
          <w:color w:val="000000" w:themeColor="text1"/>
        </w:rPr>
        <w:t>were most reliant on supplementary feed</w:t>
      </w:r>
      <w:r w:rsidR="00916D61" w:rsidRPr="006F4839">
        <w:rPr>
          <w:color w:val="000000" w:themeColor="text1"/>
        </w:rPr>
        <w:t xml:space="preserve">, with </w:t>
      </w:r>
      <w:r w:rsidR="00141574" w:rsidRPr="006F4839">
        <w:rPr>
          <w:color w:val="000000" w:themeColor="text1"/>
        </w:rPr>
        <w:t xml:space="preserve">supplementary feed </w:t>
      </w:r>
      <w:r w:rsidR="001E0C65">
        <w:rPr>
          <w:color w:val="000000" w:themeColor="text1"/>
        </w:rPr>
        <w:t>(</w:t>
      </w:r>
      <w:r w:rsidR="00637616">
        <w:rPr>
          <w:color w:val="000000" w:themeColor="text1"/>
        </w:rPr>
        <w:t xml:space="preserve">primarily grain and pellets) </w:t>
      </w:r>
      <w:r w:rsidR="00141574" w:rsidRPr="006F4839">
        <w:rPr>
          <w:color w:val="000000" w:themeColor="text1"/>
        </w:rPr>
        <w:t xml:space="preserve">making up </w:t>
      </w:r>
      <w:r w:rsidR="000F3119" w:rsidRPr="006F4839">
        <w:rPr>
          <w:color w:val="000000" w:themeColor="text1"/>
        </w:rPr>
        <w:t>22%</w:t>
      </w:r>
      <w:r w:rsidR="00916D61" w:rsidRPr="006F4839">
        <w:rPr>
          <w:color w:val="000000" w:themeColor="text1"/>
        </w:rPr>
        <w:t xml:space="preserve"> of all feed consumed</w:t>
      </w:r>
      <w:r w:rsidR="00121B93">
        <w:rPr>
          <w:color w:val="000000" w:themeColor="text1"/>
        </w:rPr>
        <w:t xml:space="preserve"> in</w:t>
      </w:r>
      <w:r w:rsidR="00916D61" w:rsidRPr="006F4839">
        <w:rPr>
          <w:color w:val="000000" w:themeColor="text1"/>
        </w:rPr>
        <w:t xml:space="preserve"> </w:t>
      </w:r>
      <w:r w:rsidR="00955848">
        <w:rPr>
          <w:color w:val="000000" w:themeColor="text1"/>
        </w:rPr>
        <w:t>n</w:t>
      </w:r>
      <w:r w:rsidR="00826A7B" w:rsidRPr="006F4839">
        <w:rPr>
          <w:color w:val="000000" w:themeColor="text1"/>
        </w:rPr>
        <w:t xml:space="preserve">orthern </w:t>
      </w:r>
      <w:r w:rsidR="00916D61" w:rsidRPr="006F4839">
        <w:rPr>
          <w:color w:val="000000" w:themeColor="text1"/>
        </w:rPr>
        <w:t>prime lamb</w:t>
      </w:r>
      <w:r w:rsidR="00826A7B" w:rsidRPr="006F4839">
        <w:rPr>
          <w:color w:val="000000" w:themeColor="text1"/>
        </w:rPr>
        <w:t xml:space="preserve"> </w:t>
      </w:r>
      <w:r w:rsidR="006F4839" w:rsidRPr="006F4839">
        <w:rPr>
          <w:color w:val="000000" w:themeColor="text1"/>
        </w:rPr>
        <w:t>enterprises</w:t>
      </w:r>
      <w:r w:rsidR="006213DC" w:rsidRPr="006F4839">
        <w:rPr>
          <w:color w:val="000000" w:themeColor="text1"/>
        </w:rPr>
        <w:t xml:space="preserve">. </w:t>
      </w:r>
    </w:p>
    <w:p w14:paraId="3F5250B8" w14:textId="7A99818B" w:rsidR="00EB3A93" w:rsidRPr="00A736D6" w:rsidRDefault="00D0027B" w:rsidP="00EB3A93">
      <w:r>
        <w:t>Additional</w:t>
      </w:r>
      <w:r w:rsidR="00F12DE0">
        <w:t xml:space="preserve"> </w:t>
      </w:r>
      <w:r w:rsidR="001052E7" w:rsidRPr="00A736D6">
        <w:t>feed</w:t>
      </w:r>
      <w:r>
        <w:t xml:space="preserve"> expendit</w:t>
      </w:r>
      <w:r w:rsidR="00866CE4">
        <w:t>ure</w:t>
      </w:r>
      <w:r w:rsidR="001052E7" w:rsidRPr="00A736D6">
        <w:t xml:space="preserve"> </w:t>
      </w:r>
      <w:r w:rsidR="00C61898">
        <w:t xml:space="preserve">resulted </w:t>
      </w:r>
      <w:r w:rsidR="00866CE4">
        <w:t>in</w:t>
      </w:r>
      <w:r w:rsidR="00C61898">
        <w:t xml:space="preserve"> historically</w:t>
      </w:r>
      <w:r w:rsidR="00EA1D71">
        <w:t xml:space="preserve"> </w:t>
      </w:r>
      <w:r w:rsidR="00C61898">
        <w:t xml:space="preserve">high </w:t>
      </w:r>
      <w:r w:rsidR="00EA1D71">
        <w:t>variable costs</w:t>
      </w:r>
      <w:r w:rsidR="002A03AF" w:rsidRPr="00A736D6">
        <w:t xml:space="preserve"> </w:t>
      </w:r>
      <w:r w:rsidR="00C61898">
        <w:t>on northern farms</w:t>
      </w:r>
      <w:r w:rsidR="005E7558" w:rsidRPr="00A736D6">
        <w:t>.</w:t>
      </w:r>
    </w:p>
    <w:p w14:paraId="6EA10FD6" w14:textId="249C798D" w:rsidR="00FE48E8" w:rsidRDefault="00722C11" w:rsidP="00FE48E8">
      <w:pPr>
        <w:rPr>
          <w:b/>
          <w:bCs/>
          <w:szCs w:val="20"/>
        </w:rPr>
      </w:pPr>
      <w:r>
        <w:rPr>
          <w:b/>
          <w:bCs/>
          <w:noProof/>
          <w:szCs w:val="20"/>
        </w:rPr>
        <w:drawing>
          <wp:inline distT="0" distB="0" distL="0" distR="0" wp14:anchorId="20E72A44" wp14:editId="68C452CD">
            <wp:extent cx="2844825" cy="1710047"/>
            <wp:effectExtent l="0" t="0" r="0" b="5080"/>
            <wp:docPr id="1876648953" name="Picture 10" descr="Northern farms average expenditure ($/ha) on purchased supplementary feed (2019-20 to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48953" name="Picture 10" descr="Northern farms average expenditure ($/ha) on purchased supplementary feed (2019-20 to 2024-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51227" cy="1713895"/>
                    </a:xfrm>
                    <a:prstGeom prst="rect">
                      <a:avLst/>
                    </a:prstGeom>
                    <a:noFill/>
                  </pic:spPr>
                </pic:pic>
              </a:graphicData>
            </a:graphic>
          </wp:inline>
        </w:drawing>
      </w:r>
    </w:p>
    <w:p w14:paraId="4F0B67A6" w14:textId="4E3F9BC5" w:rsidR="009501D1" w:rsidRDefault="009501D1" w:rsidP="009501D1">
      <w:pPr>
        <w:pStyle w:val="Caption"/>
      </w:pPr>
      <w:bookmarkStart w:id="39" w:name="_Ref148955044"/>
      <w:r>
        <w:lastRenderedPageBreak/>
        <w:t xml:space="preserve">Figure </w:t>
      </w:r>
      <w:r>
        <w:fldChar w:fldCharType="begin"/>
      </w:r>
      <w:r>
        <w:instrText xml:space="preserve"> SEQ Figure \* ARABIC </w:instrText>
      </w:r>
      <w:r>
        <w:fldChar w:fldCharType="separate"/>
      </w:r>
      <w:r w:rsidR="00EF38F6">
        <w:rPr>
          <w:noProof/>
        </w:rPr>
        <w:t>15</w:t>
      </w:r>
      <w:r>
        <w:rPr>
          <w:noProof/>
        </w:rPr>
        <w:fldChar w:fldCharType="end"/>
      </w:r>
      <w:bookmarkEnd w:id="39"/>
      <w:r>
        <w:t xml:space="preserve">. </w:t>
      </w:r>
      <w:r w:rsidR="00EB3A93">
        <w:t>Northern</w:t>
      </w:r>
      <w:r w:rsidR="00EB3A93" w:rsidRPr="00EB3A93">
        <w:t xml:space="preserve"> farms average expenditure</w:t>
      </w:r>
      <w:r w:rsidR="00AB56FA">
        <w:t xml:space="preserve"> ($/ha)</w:t>
      </w:r>
      <w:r w:rsidR="00EB3A93" w:rsidRPr="00EB3A93">
        <w:t xml:space="preserve"> on purchased supplementary feed (2019-20 to 202</w:t>
      </w:r>
      <w:r w:rsidR="00722C11">
        <w:t>4</w:t>
      </w:r>
      <w:r w:rsidR="00EB3A93" w:rsidRPr="00EB3A93">
        <w:t>-2</w:t>
      </w:r>
      <w:r w:rsidR="00722C11">
        <w:t>5</w:t>
      </w:r>
      <w:r w:rsidR="00EB3A93" w:rsidRPr="00EB3A93">
        <w:t>)</w:t>
      </w:r>
      <w:r w:rsidRPr="00FA0012">
        <w:t>.</w:t>
      </w:r>
    </w:p>
    <w:p w14:paraId="16FA3798" w14:textId="5B119CE5" w:rsidR="00D2627F" w:rsidRPr="005D010D" w:rsidRDefault="006C4C7C" w:rsidP="005D010D">
      <w:pPr>
        <w:pStyle w:val="Heading3"/>
        <w:rPr>
          <w:b/>
          <w:bCs/>
        </w:rPr>
      </w:pPr>
      <w:bookmarkStart w:id="40" w:name="_Toc214610579"/>
      <w:r>
        <w:rPr>
          <w:b/>
          <w:bCs/>
        </w:rPr>
        <w:t xml:space="preserve">Price </w:t>
      </w:r>
      <w:r w:rsidR="00793B7C">
        <w:rPr>
          <w:b/>
          <w:bCs/>
        </w:rPr>
        <w:t>r</w:t>
      </w:r>
      <w:r>
        <w:rPr>
          <w:b/>
          <w:bCs/>
        </w:rPr>
        <w:t>eceived</w:t>
      </w:r>
      <w:bookmarkEnd w:id="40"/>
    </w:p>
    <w:p w14:paraId="1DB3FB89" w14:textId="59D2C545" w:rsidR="006C4C7C" w:rsidRPr="006C4C7C" w:rsidRDefault="00B45328" w:rsidP="006C4C7C">
      <w:r>
        <w:rPr>
          <w:noProof/>
        </w:rPr>
        <w:drawing>
          <wp:inline distT="0" distB="0" distL="0" distR="0" wp14:anchorId="0B22C571" wp14:editId="706B98EF">
            <wp:extent cx="2587999" cy="1555667"/>
            <wp:effectExtent l="0" t="0" r="3175" b="6985"/>
            <wp:docPr id="612820801" name="Picture 11" descr="Northern Victoria average gross farm income ($/ha) and 10-year average gross farm income (line) (2015-16 to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20801" name="Picture 11" descr="Northern Victoria average gross farm income ($/ha) and 10-year average gross farm income (line) (2015-16 to 2024-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94814" cy="1559763"/>
                    </a:xfrm>
                    <a:prstGeom prst="rect">
                      <a:avLst/>
                    </a:prstGeom>
                    <a:noFill/>
                  </pic:spPr>
                </pic:pic>
              </a:graphicData>
            </a:graphic>
          </wp:inline>
        </w:drawing>
      </w:r>
    </w:p>
    <w:p w14:paraId="71F5E480" w14:textId="07442873" w:rsidR="00B45328" w:rsidRDefault="002F283D" w:rsidP="00601936">
      <w:pPr>
        <w:pStyle w:val="Caption"/>
      </w:pPr>
      <w:bookmarkStart w:id="41" w:name="_Ref148954697"/>
      <w:r>
        <w:t xml:space="preserve">Figure </w:t>
      </w:r>
      <w:r>
        <w:fldChar w:fldCharType="begin"/>
      </w:r>
      <w:r>
        <w:instrText xml:space="preserve"> SEQ Figure \* ARABIC </w:instrText>
      </w:r>
      <w:r>
        <w:fldChar w:fldCharType="separate"/>
      </w:r>
      <w:r>
        <w:rPr>
          <w:noProof/>
        </w:rPr>
        <w:t>16</w:t>
      </w:r>
      <w:r>
        <w:rPr>
          <w:noProof/>
        </w:rPr>
        <w:fldChar w:fldCharType="end"/>
      </w:r>
      <w:bookmarkEnd w:id="41"/>
      <w:r>
        <w:t xml:space="preserve">. </w:t>
      </w:r>
      <w:r w:rsidR="00B45328">
        <w:t>Northern Victoria</w:t>
      </w:r>
      <w:r w:rsidR="00B45328" w:rsidRPr="00B45328">
        <w:t xml:space="preserve"> average gross farm income ($/ha) and 10-year average gross farm income (line) (2015-16 to 2024-25).</w:t>
      </w:r>
    </w:p>
    <w:p w14:paraId="2E1729CF" w14:textId="76D8B2E4" w:rsidR="00DC4EFA" w:rsidRPr="004863AE" w:rsidRDefault="001274C0" w:rsidP="00601936">
      <w:pPr>
        <w:pStyle w:val="Caption"/>
        <w:rPr>
          <w:color w:val="000000" w:themeColor="text1"/>
        </w:rPr>
      </w:pPr>
      <w:r w:rsidRPr="00A73952">
        <w:rPr>
          <w:color w:val="000000" w:themeColor="text1"/>
        </w:rPr>
        <w:t>The</w:t>
      </w:r>
      <w:r w:rsidRPr="004863AE">
        <w:rPr>
          <w:color w:val="000000" w:themeColor="text1"/>
        </w:rPr>
        <w:t xml:space="preserve"> </w:t>
      </w:r>
      <w:r w:rsidR="006928AA" w:rsidRPr="004863AE">
        <w:rPr>
          <w:color w:val="000000" w:themeColor="text1"/>
        </w:rPr>
        <w:t>dominant source of income on norther</w:t>
      </w:r>
      <w:r w:rsidR="00673BD6" w:rsidRPr="004863AE">
        <w:rPr>
          <w:color w:val="000000" w:themeColor="text1"/>
        </w:rPr>
        <w:t>n</w:t>
      </w:r>
      <w:r w:rsidR="006928AA" w:rsidRPr="004863AE">
        <w:rPr>
          <w:color w:val="000000" w:themeColor="text1"/>
        </w:rPr>
        <w:t xml:space="preserve"> Victorian</w:t>
      </w:r>
      <w:r w:rsidR="00673BD6" w:rsidRPr="004863AE">
        <w:rPr>
          <w:color w:val="000000" w:themeColor="text1"/>
        </w:rPr>
        <w:t xml:space="preserve"> farm</w:t>
      </w:r>
      <w:r w:rsidR="006928AA" w:rsidRPr="004863AE">
        <w:rPr>
          <w:color w:val="000000" w:themeColor="text1"/>
        </w:rPr>
        <w:t>s</w:t>
      </w:r>
      <w:r w:rsidRPr="004863AE">
        <w:rPr>
          <w:color w:val="000000" w:themeColor="text1"/>
        </w:rPr>
        <w:t xml:space="preserve"> </w:t>
      </w:r>
      <w:r w:rsidR="004C28FE" w:rsidRPr="004863AE">
        <w:rPr>
          <w:color w:val="000000" w:themeColor="text1"/>
        </w:rPr>
        <w:t xml:space="preserve">was </w:t>
      </w:r>
      <w:r w:rsidR="006928AA" w:rsidRPr="004863AE">
        <w:rPr>
          <w:color w:val="000000" w:themeColor="text1"/>
        </w:rPr>
        <w:t>c</w:t>
      </w:r>
      <w:r w:rsidR="00601936" w:rsidRPr="004863AE">
        <w:rPr>
          <w:color w:val="000000" w:themeColor="text1"/>
        </w:rPr>
        <w:t>attle</w:t>
      </w:r>
      <w:r w:rsidR="004C28FE" w:rsidRPr="004863AE">
        <w:rPr>
          <w:color w:val="000000" w:themeColor="text1"/>
        </w:rPr>
        <w:t xml:space="preserve"> sales</w:t>
      </w:r>
      <w:r w:rsidR="00601936" w:rsidRPr="004863AE">
        <w:rPr>
          <w:color w:val="000000" w:themeColor="text1"/>
        </w:rPr>
        <w:t xml:space="preserve"> (</w:t>
      </w:r>
      <w:r w:rsidR="00150046" w:rsidRPr="004863AE">
        <w:rPr>
          <w:color w:val="000000" w:themeColor="text1"/>
        </w:rPr>
        <w:t>5</w:t>
      </w:r>
      <w:r w:rsidR="009C72A2" w:rsidRPr="004863AE">
        <w:rPr>
          <w:color w:val="000000" w:themeColor="text1"/>
        </w:rPr>
        <w:t>6</w:t>
      </w:r>
      <w:r w:rsidR="00601936" w:rsidRPr="004863AE">
        <w:rPr>
          <w:color w:val="000000" w:themeColor="text1"/>
        </w:rPr>
        <w:t>%) and sheep sales (</w:t>
      </w:r>
      <w:r w:rsidR="008D2B6F" w:rsidRPr="004863AE">
        <w:rPr>
          <w:color w:val="000000" w:themeColor="text1"/>
        </w:rPr>
        <w:t>2</w:t>
      </w:r>
      <w:r w:rsidR="007B4B51" w:rsidRPr="004863AE">
        <w:rPr>
          <w:color w:val="000000" w:themeColor="text1"/>
        </w:rPr>
        <w:t>6</w:t>
      </w:r>
      <w:r w:rsidR="00601936" w:rsidRPr="004863AE">
        <w:rPr>
          <w:color w:val="000000" w:themeColor="text1"/>
        </w:rPr>
        <w:t xml:space="preserve">%) (Appendix C5). </w:t>
      </w:r>
      <w:r w:rsidR="003F05C1" w:rsidRPr="004863AE">
        <w:rPr>
          <w:color w:val="000000" w:themeColor="text1"/>
        </w:rPr>
        <w:t>I</w:t>
      </w:r>
      <w:r w:rsidR="00911C30" w:rsidRPr="004863AE">
        <w:rPr>
          <w:color w:val="000000" w:themeColor="text1"/>
        </w:rPr>
        <w:t>mproved red meat prices</w:t>
      </w:r>
      <w:r w:rsidR="003F05C1" w:rsidRPr="004863AE">
        <w:rPr>
          <w:color w:val="000000" w:themeColor="text1"/>
        </w:rPr>
        <w:t xml:space="preserve"> </w:t>
      </w:r>
      <w:r w:rsidR="001C557B" w:rsidRPr="004863AE">
        <w:rPr>
          <w:color w:val="000000" w:themeColor="text1"/>
        </w:rPr>
        <w:t xml:space="preserve">in 2024-25 </w:t>
      </w:r>
      <w:r w:rsidR="00FB6C7B" w:rsidRPr="004863AE">
        <w:rPr>
          <w:color w:val="000000" w:themeColor="text1"/>
        </w:rPr>
        <w:t>resulted in only a small annual increase (+</w:t>
      </w:r>
      <w:r w:rsidR="00973BA4" w:rsidRPr="004863AE">
        <w:rPr>
          <w:color w:val="000000" w:themeColor="text1"/>
        </w:rPr>
        <w:t>3</w:t>
      </w:r>
      <w:r w:rsidR="00FB6C7B" w:rsidRPr="004863AE">
        <w:rPr>
          <w:color w:val="000000" w:themeColor="text1"/>
        </w:rPr>
        <w:t>%</w:t>
      </w:r>
      <w:r w:rsidR="00973BA4" w:rsidRPr="004863AE">
        <w:rPr>
          <w:color w:val="000000" w:themeColor="text1"/>
        </w:rPr>
        <w:t>)</w:t>
      </w:r>
      <w:r w:rsidR="00FB6C7B" w:rsidRPr="004863AE">
        <w:rPr>
          <w:color w:val="000000" w:themeColor="text1"/>
        </w:rPr>
        <w:t xml:space="preserve"> in</w:t>
      </w:r>
      <w:r w:rsidR="00973BA4" w:rsidRPr="004863AE">
        <w:rPr>
          <w:color w:val="000000" w:themeColor="text1"/>
        </w:rPr>
        <w:t xml:space="preserve"> average gross farm incomes on northern farms</w:t>
      </w:r>
      <w:r w:rsidR="000A6374" w:rsidRPr="004863AE">
        <w:rPr>
          <w:color w:val="000000" w:themeColor="text1"/>
        </w:rPr>
        <w:t xml:space="preserve"> (</w:t>
      </w:r>
      <w:r w:rsidR="000A6374" w:rsidRPr="004863AE">
        <w:rPr>
          <w:color w:val="000000" w:themeColor="text1"/>
        </w:rPr>
        <w:fldChar w:fldCharType="begin"/>
      </w:r>
      <w:r w:rsidR="000A6374" w:rsidRPr="004863AE">
        <w:rPr>
          <w:color w:val="000000" w:themeColor="text1"/>
        </w:rPr>
        <w:instrText xml:space="preserve"> REF _Ref148954697 \h </w:instrText>
      </w:r>
      <w:r w:rsidR="000A6374" w:rsidRPr="004863AE">
        <w:rPr>
          <w:color w:val="000000" w:themeColor="text1"/>
        </w:rPr>
      </w:r>
      <w:r w:rsidR="000A6374" w:rsidRPr="004863AE">
        <w:rPr>
          <w:color w:val="000000" w:themeColor="text1"/>
        </w:rPr>
        <w:fldChar w:fldCharType="separate"/>
      </w:r>
      <w:r w:rsidR="000A6374" w:rsidRPr="004863AE">
        <w:rPr>
          <w:color w:val="000000" w:themeColor="text1"/>
        </w:rPr>
        <w:t xml:space="preserve">Figure </w:t>
      </w:r>
      <w:r w:rsidR="000A6374" w:rsidRPr="004863AE">
        <w:rPr>
          <w:noProof/>
          <w:color w:val="000000" w:themeColor="text1"/>
        </w:rPr>
        <w:t>16</w:t>
      </w:r>
      <w:r w:rsidR="000A6374" w:rsidRPr="004863AE">
        <w:rPr>
          <w:color w:val="000000" w:themeColor="text1"/>
        </w:rPr>
        <w:fldChar w:fldCharType="end"/>
      </w:r>
      <w:r w:rsidR="000A6374" w:rsidRPr="004863AE">
        <w:rPr>
          <w:color w:val="000000" w:themeColor="text1"/>
        </w:rPr>
        <w:t>)</w:t>
      </w:r>
      <w:r w:rsidR="00973BA4" w:rsidRPr="004863AE">
        <w:rPr>
          <w:color w:val="000000" w:themeColor="text1"/>
        </w:rPr>
        <w:t>.</w:t>
      </w:r>
      <w:r w:rsidR="00F51FC2" w:rsidRPr="004863AE">
        <w:rPr>
          <w:color w:val="000000" w:themeColor="text1"/>
        </w:rPr>
        <w:t xml:space="preserve"> </w:t>
      </w:r>
      <w:r w:rsidR="00E00F39" w:rsidRPr="004863AE">
        <w:rPr>
          <w:color w:val="000000" w:themeColor="text1"/>
        </w:rPr>
        <w:t xml:space="preserve">Gross farm income includes cash receipts from sales and changes in </w:t>
      </w:r>
      <w:r w:rsidR="00E34B61" w:rsidRPr="004863AE">
        <w:rPr>
          <w:color w:val="000000" w:themeColor="text1"/>
        </w:rPr>
        <w:t>inventories of commodities on farm (</w:t>
      </w:r>
      <w:r w:rsidR="00D0601B" w:rsidRPr="004863AE">
        <w:rPr>
          <w:color w:val="000000" w:themeColor="text1"/>
        </w:rPr>
        <w:t>feed, livestock, wool).</w:t>
      </w:r>
      <w:r w:rsidR="00692225" w:rsidRPr="004863AE">
        <w:rPr>
          <w:color w:val="000000" w:themeColor="text1"/>
        </w:rPr>
        <w:t xml:space="preserve"> Dry conditions led</w:t>
      </w:r>
      <w:r w:rsidR="00D0601B" w:rsidRPr="004863AE">
        <w:rPr>
          <w:color w:val="000000" w:themeColor="text1"/>
        </w:rPr>
        <w:t xml:space="preserve"> </w:t>
      </w:r>
      <w:r w:rsidR="00692225" w:rsidRPr="004863AE">
        <w:rPr>
          <w:color w:val="000000" w:themeColor="text1"/>
        </w:rPr>
        <w:t>f</w:t>
      </w:r>
      <w:r w:rsidR="00F36ADF" w:rsidRPr="004863AE">
        <w:rPr>
          <w:color w:val="000000" w:themeColor="text1"/>
        </w:rPr>
        <w:t xml:space="preserve">armers across northern Victoria </w:t>
      </w:r>
      <w:r w:rsidR="00692225" w:rsidRPr="004863AE">
        <w:rPr>
          <w:color w:val="000000" w:themeColor="text1"/>
        </w:rPr>
        <w:t xml:space="preserve">to </w:t>
      </w:r>
      <w:r w:rsidR="00F36ADF" w:rsidRPr="004863AE">
        <w:rPr>
          <w:color w:val="000000" w:themeColor="text1"/>
        </w:rPr>
        <w:t>dr</w:t>
      </w:r>
      <w:r w:rsidR="00692225" w:rsidRPr="004863AE">
        <w:rPr>
          <w:color w:val="000000" w:themeColor="text1"/>
        </w:rPr>
        <w:t>a</w:t>
      </w:r>
      <w:r w:rsidR="00F36ADF" w:rsidRPr="004863AE">
        <w:rPr>
          <w:color w:val="000000" w:themeColor="text1"/>
        </w:rPr>
        <w:t xml:space="preserve">w down on feed inventories and reduce </w:t>
      </w:r>
      <w:r w:rsidR="004E6EB8" w:rsidRPr="004863AE">
        <w:rPr>
          <w:color w:val="000000" w:themeColor="text1"/>
        </w:rPr>
        <w:t xml:space="preserve">the </w:t>
      </w:r>
      <w:r w:rsidR="00414BD0" w:rsidRPr="004863AE">
        <w:rPr>
          <w:color w:val="000000" w:themeColor="text1"/>
        </w:rPr>
        <w:t xml:space="preserve">number of </w:t>
      </w:r>
      <w:r w:rsidR="007A7133">
        <w:rPr>
          <w:color w:val="000000" w:themeColor="text1"/>
        </w:rPr>
        <w:t>live</w:t>
      </w:r>
      <w:r w:rsidR="00F36ADF" w:rsidRPr="004863AE">
        <w:rPr>
          <w:color w:val="000000" w:themeColor="text1"/>
        </w:rPr>
        <w:t>sto</w:t>
      </w:r>
      <w:r w:rsidR="004E6EB8" w:rsidRPr="004863AE">
        <w:rPr>
          <w:color w:val="000000" w:themeColor="text1"/>
        </w:rPr>
        <w:t>ck on hand</w:t>
      </w:r>
      <w:r w:rsidR="00414BD0" w:rsidRPr="004863AE">
        <w:rPr>
          <w:color w:val="000000" w:themeColor="text1"/>
        </w:rPr>
        <w:t xml:space="preserve">. The negative inventory change </w:t>
      </w:r>
      <w:r w:rsidR="00472084" w:rsidRPr="004863AE">
        <w:rPr>
          <w:color w:val="000000" w:themeColor="text1"/>
        </w:rPr>
        <w:t>offset any increases in commodity prices</w:t>
      </w:r>
      <w:r w:rsidR="00F51FC2" w:rsidRPr="004863AE">
        <w:rPr>
          <w:color w:val="000000" w:themeColor="text1"/>
        </w:rPr>
        <w:t xml:space="preserve"> </w:t>
      </w:r>
      <w:r w:rsidR="00EA7B85" w:rsidRPr="004863AE">
        <w:rPr>
          <w:color w:val="000000" w:themeColor="text1"/>
        </w:rPr>
        <w:t xml:space="preserve">and </w:t>
      </w:r>
      <w:r w:rsidR="00784CC4">
        <w:rPr>
          <w:color w:val="000000" w:themeColor="text1"/>
        </w:rPr>
        <w:t>meant that</w:t>
      </w:r>
      <w:r w:rsidR="00530D7B">
        <w:rPr>
          <w:color w:val="000000" w:themeColor="text1"/>
        </w:rPr>
        <w:t xml:space="preserve"> the</w:t>
      </w:r>
      <w:r w:rsidR="00EA7B85" w:rsidRPr="004863AE">
        <w:rPr>
          <w:color w:val="000000" w:themeColor="text1"/>
        </w:rPr>
        <w:t xml:space="preserve"> </w:t>
      </w:r>
      <w:r w:rsidR="004863AE" w:rsidRPr="004863AE">
        <w:rPr>
          <w:color w:val="000000" w:themeColor="text1"/>
        </w:rPr>
        <w:t xml:space="preserve">2024-25 </w:t>
      </w:r>
      <w:r w:rsidR="003E5158" w:rsidRPr="004863AE">
        <w:rPr>
          <w:color w:val="000000" w:themeColor="text1"/>
        </w:rPr>
        <w:t>gross farm income</w:t>
      </w:r>
      <w:r w:rsidR="004039C0" w:rsidRPr="004863AE">
        <w:rPr>
          <w:color w:val="000000" w:themeColor="text1"/>
        </w:rPr>
        <w:t xml:space="preserve"> was</w:t>
      </w:r>
      <w:r w:rsidR="000E7A37" w:rsidRPr="004863AE">
        <w:rPr>
          <w:color w:val="000000" w:themeColor="text1"/>
        </w:rPr>
        <w:t xml:space="preserve"> below</w:t>
      </w:r>
      <w:r w:rsidR="005E0D7A" w:rsidRPr="004863AE">
        <w:rPr>
          <w:color w:val="000000" w:themeColor="text1"/>
        </w:rPr>
        <w:t xml:space="preserve"> </w:t>
      </w:r>
      <w:r w:rsidR="008A5B84" w:rsidRPr="004863AE">
        <w:rPr>
          <w:color w:val="000000" w:themeColor="text1"/>
        </w:rPr>
        <w:t xml:space="preserve">the </w:t>
      </w:r>
      <w:r w:rsidR="005E0D7A" w:rsidRPr="004863AE">
        <w:rPr>
          <w:color w:val="000000" w:themeColor="text1"/>
        </w:rPr>
        <w:t xml:space="preserve">10-year </w:t>
      </w:r>
      <w:r w:rsidR="004863AE" w:rsidRPr="004863AE">
        <w:rPr>
          <w:color w:val="000000" w:themeColor="text1"/>
        </w:rPr>
        <w:t xml:space="preserve">regional </w:t>
      </w:r>
      <w:r w:rsidR="005E0D7A" w:rsidRPr="004863AE">
        <w:rPr>
          <w:color w:val="000000" w:themeColor="text1"/>
        </w:rPr>
        <w:t>average.</w:t>
      </w:r>
    </w:p>
    <w:p w14:paraId="222384BF" w14:textId="3C726476" w:rsidR="00D12059" w:rsidRPr="00B27EC2" w:rsidRDefault="00F40C56" w:rsidP="000A6AD7">
      <w:pPr>
        <w:pStyle w:val="Heading3"/>
        <w:rPr>
          <w:b/>
          <w:bCs/>
          <w:color w:val="000000" w:themeColor="text1"/>
        </w:rPr>
      </w:pPr>
      <w:bookmarkStart w:id="42" w:name="_Toc214610580"/>
      <w:r w:rsidRPr="00B27EC2">
        <w:rPr>
          <w:b/>
          <w:bCs/>
          <w:color w:val="000000" w:themeColor="text1"/>
        </w:rPr>
        <w:t>Capital structure</w:t>
      </w:r>
      <w:bookmarkEnd w:id="42"/>
    </w:p>
    <w:p w14:paraId="12BFA34A" w14:textId="693A5F3E" w:rsidR="00EE14FE" w:rsidRPr="00E30B46" w:rsidRDefault="0035108D" w:rsidP="00C628D7">
      <w:r w:rsidRPr="00E30B46">
        <w:t>Although 44% of farms in northern Victoria reduced debt in 2024–25</w:t>
      </w:r>
      <w:r w:rsidR="007526FB" w:rsidRPr="00E30B46">
        <w:t xml:space="preserve"> (</w:t>
      </w:r>
      <w:r w:rsidR="007526FB" w:rsidRPr="00E30B46">
        <w:fldChar w:fldCharType="begin"/>
      </w:r>
      <w:r w:rsidR="007526FB" w:rsidRPr="00E30B46">
        <w:instrText xml:space="preserve"> REF _Ref148966874 \h </w:instrText>
      </w:r>
      <w:r w:rsidR="007526FB" w:rsidRPr="00E30B46">
        <w:fldChar w:fldCharType="separate"/>
      </w:r>
      <w:r w:rsidR="007526FB" w:rsidRPr="00E30B46">
        <w:t xml:space="preserve">Figure </w:t>
      </w:r>
      <w:r w:rsidR="007526FB" w:rsidRPr="00E30B46">
        <w:rPr>
          <w:noProof/>
        </w:rPr>
        <w:t>5</w:t>
      </w:r>
      <w:r w:rsidR="007526FB" w:rsidRPr="00E30B46">
        <w:fldChar w:fldCharType="end"/>
      </w:r>
      <w:r w:rsidR="007526FB" w:rsidRPr="00E30B46">
        <w:t>)</w:t>
      </w:r>
      <w:r w:rsidRPr="00E30B46">
        <w:t>, the region’s average debt level remained largely unchanged from 2023–24. This was because the 2</w:t>
      </w:r>
      <w:r w:rsidR="00694419">
        <w:t>4</w:t>
      </w:r>
      <w:r w:rsidRPr="00E30B46">
        <w:t xml:space="preserve">% of farms that increased their debt took on larger amounts than those that reduced it. </w:t>
      </w:r>
    </w:p>
    <w:p w14:paraId="3470A0D7" w14:textId="43DE32A5" w:rsidR="00F36DD0" w:rsidRPr="00E30B46" w:rsidRDefault="0035108D" w:rsidP="00C628D7">
      <w:r w:rsidRPr="00E30B46">
        <w:t>The equity (net worth) of 31% of northern farms declined during the year, resulting in a</w:t>
      </w:r>
      <w:r w:rsidR="00407BF3">
        <w:t xml:space="preserve"> decline</w:t>
      </w:r>
      <w:r w:rsidRPr="00E30B46">
        <w:t xml:space="preserve"> in the region’s average equity </w:t>
      </w:r>
      <w:r w:rsidRPr="00E30B46">
        <w:t xml:space="preserve">percentage. </w:t>
      </w:r>
      <w:r w:rsidR="00F43242">
        <w:t>A</w:t>
      </w:r>
      <w:r w:rsidRPr="00E30B46">
        <w:t>verage equity</w:t>
      </w:r>
      <w:r w:rsidR="00F43242">
        <w:t xml:space="preserve"> percentage dropped</w:t>
      </w:r>
      <w:r w:rsidR="00D64144">
        <w:t xml:space="preserve"> from</w:t>
      </w:r>
      <w:r w:rsidR="00A51AC3">
        <w:t xml:space="preserve"> 88% in 2023-24 to</w:t>
      </w:r>
      <w:r w:rsidRPr="00E30B46">
        <w:t xml:space="preserve"> 85% </w:t>
      </w:r>
      <w:r w:rsidR="00A51AC3">
        <w:t xml:space="preserve">in </w:t>
      </w:r>
      <w:r w:rsidR="00FF308F">
        <w:t xml:space="preserve">2024-25 </w:t>
      </w:r>
      <w:r w:rsidRPr="00E30B46">
        <w:t>(Appendix A6).</w:t>
      </w:r>
    </w:p>
    <w:p w14:paraId="0709F4A2" w14:textId="7B4BF96B" w:rsidR="0020048B" w:rsidRPr="00472966" w:rsidRDefault="006876A4" w:rsidP="00A04423">
      <w:pPr>
        <w:pStyle w:val="Heading3"/>
        <w:rPr>
          <w:noProof/>
          <w:color w:val="auto"/>
          <w:szCs w:val="20"/>
        </w:rPr>
      </w:pPr>
      <w:bookmarkStart w:id="43" w:name="_Toc214610581"/>
      <w:r w:rsidRPr="00472966">
        <w:rPr>
          <w:b/>
          <w:bCs/>
          <w:noProof/>
          <w:color w:val="auto"/>
        </w:rPr>
        <w:t>Return on assets</w:t>
      </w:r>
      <w:r w:rsidR="00A04423" w:rsidRPr="00472966">
        <w:rPr>
          <w:b/>
          <w:bCs/>
          <w:noProof/>
          <w:color w:val="auto"/>
        </w:rPr>
        <w:t xml:space="preserve"> and equity</w:t>
      </w:r>
      <w:bookmarkEnd w:id="43"/>
    </w:p>
    <w:p w14:paraId="6208BDA2" w14:textId="74E933A2" w:rsidR="0020048B" w:rsidRPr="00D14225" w:rsidRDefault="000101D9" w:rsidP="0020048B">
      <w:pPr>
        <w:rPr>
          <w:color w:val="FF0000"/>
        </w:rPr>
      </w:pPr>
      <w:r w:rsidRPr="00D14225">
        <w:rPr>
          <w:noProof/>
          <w:color w:val="FF0000"/>
        </w:rPr>
        <w:drawing>
          <wp:inline distT="0" distB="0" distL="0" distR="0" wp14:anchorId="70D0BC57" wp14:editId="2A9C9EE1">
            <wp:extent cx="2785558" cy="1674421"/>
            <wp:effectExtent l="0" t="0" r="0" b="2540"/>
            <wp:docPr id="1246339239" name="Picture 12" descr="Northern return on assets and equity (2015-16 to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39239" name="Picture 12" descr="Northern return on assets and equity (2015-16 to 2024-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95506" cy="1680401"/>
                    </a:xfrm>
                    <a:prstGeom prst="rect">
                      <a:avLst/>
                    </a:prstGeom>
                    <a:noFill/>
                  </pic:spPr>
                </pic:pic>
              </a:graphicData>
            </a:graphic>
          </wp:inline>
        </w:drawing>
      </w:r>
    </w:p>
    <w:p w14:paraId="4A7B4F5D" w14:textId="6AA79B3B" w:rsidR="00472966" w:rsidRPr="00472966" w:rsidRDefault="006876A4" w:rsidP="00472966">
      <w:pPr>
        <w:pStyle w:val="Caption"/>
      </w:pPr>
      <w:bookmarkStart w:id="44" w:name="_Ref148983423"/>
      <w:r w:rsidRPr="00472966">
        <w:t xml:space="preserve">Figure </w:t>
      </w:r>
      <w:r w:rsidRPr="00472966">
        <w:fldChar w:fldCharType="begin"/>
      </w:r>
      <w:r w:rsidRPr="00472966">
        <w:instrText>SEQ Figure \* ARABIC</w:instrText>
      </w:r>
      <w:r w:rsidRPr="00472966">
        <w:fldChar w:fldCharType="separate"/>
      </w:r>
      <w:r w:rsidR="00EF38F6" w:rsidRPr="00472966">
        <w:rPr>
          <w:noProof/>
        </w:rPr>
        <w:t>17</w:t>
      </w:r>
      <w:r w:rsidRPr="00472966">
        <w:fldChar w:fldCharType="end"/>
      </w:r>
      <w:bookmarkEnd w:id="44"/>
      <w:r w:rsidRPr="00472966">
        <w:t xml:space="preserve">. </w:t>
      </w:r>
      <w:r w:rsidR="00A04423" w:rsidRPr="00472966">
        <w:t>Northern return on assets and equity (</w:t>
      </w:r>
      <w:r w:rsidR="006A5035" w:rsidRPr="00472966">
        <w:t>201</w:t>
      </w:r>
      <w:r w:rsidR="000101D9" w:rsidRPr="00472966">
        <w:t>5</w:t>
      </w:r>
      <w:r w:rsidR="006A5035" w:rsidRPr="00472966">
        <w:t>-1</w:t>
      </w:r>
      <w:r w:rsidR="000101D9" w:rsidRPr="00472966">
        <w:t>6</w:t>
      </w:r>
      <w:r w:rsidR="006A5035" w:rsidRPr="00472966">
        <w:t xml:space="preserve"> to 202</w:t>
      </w:r>
      <w:r w:rsidR="000101D9" w:rsidRPr="00472966">
        <w:t>4</w:t>
      </w:r>
      <w:r w:rsidR="006A5035" w:rsidRPr="00472966">
        <w:t>-2</w:t>
      </w:r>
      <w:r w:rsidR="000101D9" w:rsidRPr="00472966">
        <w:t>5</w:t>
      </w:r>
      <w:r w:rsidR="006A5035" w:rsidRPr="00472966">
        <w:t>)</w:t>
      </w:r>
    </w:p>
    <w:p w14:paraId="25078F0F" w14:textId="71320622" w:rsidR="00472966" w:rsidRPr="00472966" w:rsidRDefault="00472966" w:rsidP="00472966">
      <w:pPr>
        <w:rPr>
          <w:szCs w:val="20"/>
        </w:rPr>
      </w:pPr>
      <w:r w:rsidRPr="00472966">
        <w:rPr>
          <w:szCs w:val="20"/>
        </w:rPr>
        <w:t>Negative profits</w:t>
      </w:r>
      <w:r w:rsidR="0067294E">
        <w:rPr>
          <w:szCs w:val="20"/>
        </w:rPr>
        <w:t xml:space="preserve"> (EBIT)</w:t>
      </w:r>
      <w:r w:rsidRPr="00472966">
        <w:rPr>
          <w:szCs w:val="20"/>
        </w:rPr>
        <w:t xml:space="preserve"> were recorded by 47% of LFMP farms in </w:t>
      </w:r>
      <w:r w:rsidR="00407BF3">
        <w:rPr>
          <w:szCs w:val="20"/>
        </w:rPr>
        <w:t>n</w:t>
      </w:r>
      <w:r w:rsidRPr="00472966">
        <w:rPr>
          <w:szCs w:val="20"/>
        </w:rPr>
        <w:t xml:space="preserve">orthern Victoria. Average </w:t>
      </w:r>
      <w:proofErr w:type="spellStart"/>
      <w:r w:rsidR="00F64EF2">
        <w:rPr>
          <w:szCs w:val="20"/>
        </w:rPr>
        <w:t>RoA</w:t>
      </w:r>
      <w:proofErr w:type="spellEnd"/>
      <w:r w:rsidRPr="00472966">
        <w:rPr>
          <w:szCs w:val="20"/>
        </w:rPr>
        <w:t xml:space="preserve"> remained negative for the second consecutive year, unchanged from 2023–24 at –0.2% </w:t>
      </w:r>
      <w:r w:rsidRPr="00472966">
        <w:t>(</w:t>
      </w:r>
      <w:r w:rsidRPr="00472966">
        <w:fldChar w:fldCharType="begin"/>
      </w:r>
      <w:r w:rsidRPr="00472966">
        <w:instrText xml:space="preserve"> REF _Ref148983423 \h </w:instrText>
      </w:r>
      <w:r w:rsidRPr="00472966">
        <w:fldChar w:fldCharType="separate"/>
      </w:r>
      <w:r w:rsidRPr="00472966">
        <w:t xml:space="preserve">Figure </w:t>
      </w:r>
      <w:r w:rsidRPr="00472966">
        <w:rPr>
          <w:noProof/>
        </w:rPr>
        <w:t>17</w:t>
      </w:r>
      <w:r w:rsidRPr="00472966">
        <w:fldChar w:fldCharType="end"/>
      </w:r>
      <w:r w:rsidRPr="00472966">
        <w:t>)</w:t>
      </w:r>
      <w:r w:rsidRPr="00472966">
        <w:rPr>
          <w:szCs w:val="20"/>
        </w:rPr>
        <w:t xml:space="preserve">. For most farms, increases in </w:t>
      </w:r>
      <w:r w:rsidR="00C63D99">
        <w:rPr>
          <w:szCs w:val="20"/>
        </w:rPr>
        <w:t xml:space="preserve">farm </w:t>
      </w:r>
      <w:r w:rsidRPr="00472966">
        <w:rPr>
          <w:szCs w:val="20"/>
        </w:rPr>
        <w:t xml:space="preserve">income were not enough to offset higher operating expenses, resulting in continued low </w:t>
      </w:r>
      <w:proofErr w:type="spellStart"/>
      <w:r w:rsidRPr="00472966">
        <w:rPr>
          <w:szCs w:val="20"/>
        </w:rPr>
        <w:t>RoA</w:t>
      </w:r>
      <w:proofErr w:type="spellEnd"/>
      <w:r w:rsidRPr="00472966">
        <w:rPr>
          <w:szCs w:val="20"/>
        </w:rPr>
        <w:t>.</w:t>
      </w:r>
    </w:p>
    <w:p w14:paraId="3C595DFA" w14:textId="50D08164" w:rsidR="00472966" w:rsidRPr="00472966" w:rsidRDefault="00472966" w:rsidP="00472966">
      <w:pPr>
        <w:rPr>
          <w:szCs w:val="20"/>
        </w:rPr>
      </w:pPr>
      <w:r w:rsidRPr="00472966">
        <w:rPr>
          <w:szCs w:val="20"/>
        </w:rPr>
        <w:t>Despite cuts to interest rates during the year, interest payments across the region stayed high. High interest payments amplified already low profits</w:t>
      </w:r>
      <w:r w:rsidR="008A71A8">
        <w:rPr>
          <w:szCs w:val="20"/>
        </w:rPr>
        <w:t xml:space="preserve"> result</w:t>
      </w:r>
      <w:r w:rsidR="00CB3B6A">
        <w:rPr>
          <w:szCs w:val="20"/>
        </w:rPr>
        <w:t>ing</w:t>
      </w:r>
      <w:r w:rsidR="008A71A8">
        <w:rPr>
          <w:szCs w:val="20"/>
        </w:rPr>
        <w:t xml:space="preserve"> in </w:t>
      </w:r>
      <w:r w:rsidRPr="00472966">
        <w:rPr>
          <w:szCs w:val="20"/>
        </w:rPr>
        <w:t xml:space="preserve">average </w:t>
      </w:r>
      <w:proofErr w:type="spellStart"/>
      <w:r w:rsidR="00794B9A">
        <w:rPr>
          <w:szCs w:val="20"/>
        </w:rPr>
        <w:t>RoE</w:t>
      </w:r>
      <w:proofErr w:type="spellEnd"/>
      <w:r w:rsidRPr="00472966">
        <w:rPr>
          <w:szCs w:val="20"/>
        </w:rPr>
        <w:t xml:space="preserve"> </w:t>
      </w:r>
      <w:r w:rsidR="008A71A8">
        <w:rPr>
          <w:szCs w:val="20"/>
        </w:rPr>
        <w:t xml:space="preserve">remaining </w:t>
      </w:r>
      <w:r w:rsidRPr="00472966">
        <w:rPr>
          <w:szCs w:val="20"/>
        </w:rPr>
        <w:t xml:space="preserve">negative for the second consecutive year at –1.6% </w:t>
      </w:r>
      <w:r w:rsidRPr="00472966">
        <w:t>(</w:t>
      </w:r>
      <w:r w:rsidRPr="00472966">
        <w:fldChar w:fldCharType="begin"/>
      </w:r>
      <w:r w:rsidRPr="00472966">
        <w:instrText xml:space="preserve"> REF _Ref148983423 \h </w:instrText>
      </w:r>
      <w:r w:rsidRPr="00472966">
        <w:fldChar w:fldCharType="separate"/>
      </w:r>
      <w:r w:rsidRPr="00472966">
        <w:t xml:space="preserve">Figure </w:t>
      </w:r>
      <w:r w:rsidRPr="00472966">
        <w:rPr>
          <w:noProof/>
        </w:rPr>
        <w:t>17</w:t>
      </w:r>
      <w:r w:rsidRPr="00472966">
        <w:fldChar w:fldCharType="end"/>
      </w:r>
      <w:r w:rsidRPr="00472966">
        <w:t>)</w:t>
      </w:r>
      <w:r w:rsidR="00CB3B6A">
        <w:t>.</w:t>
      </w:r>
      <w:r w:rsidRPr="00472966">
        <w:rPr>
          <w:szCs w:val="20"/>
        </w:rPr>
        <w:t xml:space="preserve"> </w:t>
      </w:r>
    </w:p>
    <w:p w14:paraId="69FABF9A" w14:textId="77777777" w:rsidR="00CC789A" w:rsidRDefault="00CC789A" w:rsidP="006B6FB2">
      <w:pPr>
        <w:rPr>
          <w:color w:val="FF0000"/>
          <w:szCs w:val="20"/>
        </w:rPr>
      </w:pPr>
    </w:p>
    <w:p w14:paraId="5164C732" w14:textId="77777777" w:rsidR="00FF19F2" w:rsidRDefault="00FF19F2">
      <w:pPr>
        <w:rPr>
          <w:szCs w:val="20"/>
        </w:rPr>
      </w:pPr>
      <w:r>
        <w:rPr>
          <w:szCs w:val="20"/>
        </w:rPr>
        <w:br w:type="page"/>
      </w:r>
    </w:p>
    <w:p w14:paraId="21262683" w14:textId="778DECBB" w:rsidR="00CC267D" w:rsidRDefault="00FF19F2" w:rsidP="006B6FB2">
      <w:pPr>
        <w:rPr>
          <w:szCs w:val="20"/>
        </w:rPr>
      </w:pPr>
      <w:r w:rsidRPr="00842DD0">
        <w:rPr>
          <w:noProof/>
          <w:color w:val="FF0000"/>
        </w:rPr>
        <w:lastRenderedPageBreak/>
        <mc:AlternateContent>
          <mc:Choice Requires="wps">
            <w:drawing>
              <wp:anchor distT="0" distB="0" distL="114300" distR="114300" simplePos="0" relativeHeight="251658242" behindDoc="1" locked="0" layoutInCell="1" allowOverlap="1" wp14:anchorId="1ABFA883" wp14:editId="7B622B25">
                <wp:simplePos x="0" y="0"/>
                <wp:positionH relativeFrom="margin">
                  <wp:align>left</wp:align>
                </wp:positionH>
                <wp:positionV relativeFrom="paragraph">
                  <wp:posOffset>0</wp:posOffset>
                </wp:positionV>
                <wp:extent cx="6181725" cy="3378200"/>
                <wp:effectExtent l="0" t="0" r="28575" b="12700"/>
                <wp:wrapTight wrapText="bothSides">
                  <wp:wrapPolygon edited="0">
                    <wp:start x="0" y="0"/>
                    <wp:lineTo x="0" y="21559"/>
                    <wp:lineTo x="21633" y="21559"/>
                    <wp:lineTo x="21633"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378200"/>
                        </a:xfrm>
                        <a:prstGeom prst="rect">
                          <a:avLst/>
                        </a:prstGeom>
                        <a:solidFill>
                          <a:schemeClr val="accent2">
                            <a:lumMod val="40000"/>
                            <a:lumOff val="60000"/>
                          </a:schemeClr>
                        </a:solidFill>
                        <a:ln w="9525">
                          <a:solidFill>
                            <a:srgbClr val="000000"/>
                          </a:solidFill>
                          <a:miter lim="800000"/>
                          <a:headEnd/>
                          <a:tailEnd/>
                        </a:ln>
                      </wps:spPr>
                      <wps:txbx>
                        <w:txbxContent>
                          <w:p w14:paraId="5B062029" w14:textId="77777777" w:rsidR="00FF19F2" w:rsidRPr="00CB4E11" w:rsidRDefault="00FF19F2" w:rsidP="00311C0E">
                            <w:pPr>
                              <w:pStyle w:val="Caption"/>
                            </w:pPr>
                            <w:r>
                              <w:t>Northern Victoria r</w:t>
                            </w:r>
                            <w:r w:rsidRPr="00CB4E11">
                              <w:t xml:space="preserve">egional </w:t>
                            </w:r>
                            <w:r>
                              <w:t>s</w:t>
                            </w:r>
                            <w:r w:rsidRPr="00CB4E11">
                              <w:t>ummary</w:t>
                            </w:r>
                          </w:p>
                          <w:p w14:paraId="3201693B" w14:textId="78D1ED76" w:rsidR="00B466B8" w:rsidRPr="00DA494B" w:rsidRDefault="006B073E" w:rsidP="00B466B8">
                            <w:pPr>
                              <w:pStyle w:val="ListParagraph"/>
                              <w:numPr>
                                <w:ilvl w:val="0"/>
                                <w:numId w:val="12"/>
                              </w:numPr>
                              <w:rPr>
                                <w:szCs w:val="20"/>
                              </w:rPr>
                            </w:pPr>
                            <w:r w:rsidRPr="00DA494B">
                              <w:rPr>
                                <w:szCs w:val="20"/>
                              </w:rPr>
                              <w:t xml:space="preserve">Northern farms received </w:t>
                            </w:r>
                            <w:r w:rsidR="00035F19">
                              <w:rPr>
                                <w:szCs w:val="20"/>
                              </w:rPr>
                              <w:t>below average</w:t>
                            </w:r>
                            <w:r w:rsidRPr="00DA494B">
                              <w:rPr>
                                <w:szCs w:val="20"/>
                              </w:rPr>
                              <w:t xml:space="preserve"> annual rainfall</w:t>
                            </w:r>
                            <w:r w:rsidR="006D181C">
                              <w:rPr>
                                <w:szCs w:val="20"/>
                              </w:rPr>
                              <w:t xml:space="preserve"> </w:t>
                            </w:r>
                            <w:r w:rsidR="00B466B8">
                              <w:rPr>
                                <w:szCs w:val="20"/>
                              </w:rPr>
                              <w:t xml:space="preserve">leading to </w:t>
                            </w:r>
                            <w:r w:rsidR="00B466B8" w:rsidRPr="00DA494B">
                              <w:rPr>
                                <w:szCs w:val="20"/>
                              </w:rPr>
                              <w:t>reduced pasture availability and increased reliance on supplementary feed.</w:t>
                            </w:r>
                          </w:p>
                          <w:p w14:paraId="271ED46A" w14:textId="67BA3E1E" w:rsidR="00DA494B" w:rsidRDefault="00DA494B" w:rsidP="00DA494B">
                            <w:pPr>
                              <w:pStyle w:val="ListParagraph"/>
                              <w:numPr>
                                <w:ilvl w:val="0"/>
                                <w:numId w:val="12"/>
                              </w:numPr>
                              <w:rPr>
                                <w:szCs w:val="20"/>
                              </w:rPr>
                            </w:pPr>
                            <w:r w:rsidRPr="00DA494B">
                              <w:rPr>
                                <w:szCs w:val="20"/>
                              </w:rPr>
                              <w:t>Purchased supplementary feed costs rose</w:t>
                            </w:r>
                            <w:r w:rsidR="00FA10C2">
                              <w:rPr>
                                <w:szCs w:val="20"/>
                              </w:rPr>
                              <w:t xml:space="preserve"> by </w:t>
                            </w:r>
                            <w:r w:rsidR="00C61815" w:rsidRPr="00C61815">
                              <w:rPr>
                                <w:szCs w:val="20"/>
                              </w:rPr>
                              <w:t>130%</w:t>
                            </w:r>
                            <w:r w:rsidR="002C2176">
                              <w:rPr>
                                <w:szCs w:val="20"/>
                              </w:rPr>
                              <w:t xml:space="preserve"> and</w:t>
                            </w:r>
                            <w:r w:rsidRPr="00DA494B">
                              <w:rPr>
                                <w:szCs w:val="20"/>
                              </w:rPr>
                              <w:t xml:space="preserve"> contribut</w:t>
                            </w:r>
                            <w:r w:rsidR="00DE46B1">
                              <w:rPr>
                                <w:szCs w:val="20"/>
                              </w:rPr>
                              <w:t>ed</w:t>
                            </w:r>
                            <w:r w:rsidRPr="00DA494B">
                              <w:rPr>
                                <w:szCs w:val="20"/>
                              </w:rPr>
                              <w:t xml:space="preserve"> to historically high variable costs.</w:t>
                            </w:r>
                          </w:p>
                          <w:p w14:paraId="72EECAE1" w14:textId="77777777" w:rsidR="005D2CD5" w:rsidRPr="00DA494B" w:rsidRDefault="005D2CD5" w:rsidP="005D2CD5">
                            <w:pPr>
                              <w:pStyle w:val="ListParagraph"/>
                              <w:numPr>
                                <w:ilvl w:val="0"/>
                                <w:numId w:val="12"/>
                              </w:numPr>
                              <w:rPr>
                                <w:szCs w:val="20"/>
                              </w:rPr>
                            </w:pPr>
                            <w:r w:rsidRPr="00DA494B">
                              <w:rPr>
                                <w:szCs w:val="20"/>
                              </w:rPr>
                              <w:t>Cattle sales remained the dominant source of income (56%), followed by sheep sales (26%).</w:t>
                            </w:r>
                          </w:p>
                          <w:p w14:paraId="32E76A89" w14:textId="0556261A" w:rsidR="005D2CD5" w:rsidRDefault="005D2CD5" w:rsidP="005D2CD5">
                            <w:pPr>
                              <w:pStyle w:val="ListParagraph"/>
                              <w:numPr>
                                <w:ilvl w:val="0"/>
                                <w:numId w:val="12"/>
                              </w:numPr>
                              <w:rPr>
                                <w:szCs w:val="20"/>
                              </w:rPr>
                            </w:pPr>
                            <w:r w:rsidRPr="00DA494B">
                              <w:rPr>
                                <w:szCs w:val="20"/>
                              </w:rPr>
                              <w:t>Average gross farm income increased slightly (+3%) but remained below the 10-year regional average due to inventory reductions and dry conditions.</w:t>
                            </w:r>
                          </w:p>
                          <w:p w14:paraId="5F14A375" w14:textId="685D2224" w:rsidR="00F614BC" w:rsidRPr="00D91A1D" w:rsidRDefault="00F614BC" w:rsidP="00D91A1D">
                            <w:pPr>
                              <w:pStyle w:val="ListParagraph"/>
                              <w:numPr>
                                <w:ilvl w:val="0"/>
                                <w:numId w:val="12"/>
                              </w:numPr>
                              <w:rPr>
                                <w:szCs w:val="20"/>
                              </w:rPr>
                            </w:pPr>
                            <w:r w:rsidRPr="00DA494B">
                              <w:rPr>
                                <w:szCs w:val="20"/>
                              </w:rPr>
                              <w:t>Wool sheep gross margins fell to the lowest in the project’s 20-year history.</w:t>
                            </w:r>
                          </w:p>
                          <w:p w14:paraId="4558EA9E" w14:textId="71DE33DF" w:rsidR="00DA494B" w:rsidRPr="00DA494B" w:rsidRDefault="00DA494B" w:rsidP="00DA494B">
                            <w:pPr>
                              <w:pStyle w:val="ListParagraph"/>
                              <w:numPr>
                                <w:ilvl w:val="0"/>
                                <w:numId w:val="12"/>
                              </w:numPr>
                              <w:rPr>
                                <w:szCs w:val="20"/>
                              </w:rPr>
                            </w:pPr>
                            <w:r w:rsidRPr="00DA494B">
                              <w:rPr>
                                <w:szCs w:val="20"/>
                              </w:rPr>
                              <w:t>Negative profits were recorded by 47% of farms.</w:t>
                            </w:r>
                          </w:p>
                          <w:p w14:paraId="13525FAD" w14:textId="7058BC0E" w:rsidR="00DA494B" w:rsidRPr="00DA494B" w:rsidRDefault="00DA494B" w:rsidP="00DA494B">
                            <w:pPr>
                              <w:pStyle w:val="ListParagraph"/>
                              <w:numPr>
                                <w:ilvl w:val="0"/>
                                <w:numId w:val="12"/>
                              </w:numPr>
                              <w:rPr>
                                <w:szCs w:val="20"/>
                              </w:rPr>
                            </w:pPr>
                            <w:r w:rsidRPr="00DA494B">
                              <w:rPr>
                                <w:szCs w:val="20"/>
                              </w:rPr>
                              <w:t>Average return on assets remained negative for the second consecutive year (–0.2%).</w:t>
                            </w:r>
                          </w:p>
                          <w:p w14:paraId="1ACC6715" w14:textId="77777777" w:rsidR="00A05929" w:rsidRDefault="00617FF9" w:rsidP="00DA494B">
                            <w:pPr>
                              <w:pStyle w:val="ListParagraph"/>
                              <w:numPr>
                                <w:ilvl w:val="0"/>
                                <w:numId w:val="12"/>
                              </w:numPr>
                              <w:rPr>
                                <w:szCs w:val="20"/>
                              </w:rPr>
                            </w:pPr>
                            <w:r w:rsidRPr="00617FF9">
                              <w:rPr>
                                <w:szCs w:val="20"/>
                              </w:rPr>
                              <w:t>The net</w:t>
                            </w:r>
                            <w:r>
                              <w:rPr>
                                <w:szCs w:val="20"/>
                              </w:rPr>
                              <w:t>-</w:t>
                            </w:r>
                            <w:r w:rsidRPr="00617FF9">
                              <w:rPr>
                                <w:szCs w:val="20"/>
                              </w:rPr>
                              <w:t>worth of nearly one-third (31%) of northern farms declined, reducing the regional average equity</w:t>
                            </w:r>
                            <w:r w:rsidR="00A05929">
                              <w:rPr>
                                <w:szCs w:val="20"/>
                              </w:rPr>
                              <w:t xml:space="preserve"> percentage</w:t>
                            </w:r>
                            <w:r w:rsidRPr="00617FF9">
                              <w:rPr>
                                <w:szCs w:val="20"/>
                              </w:rPr>
                              <w:t xml:space="preserve"> to 85%.</w:t>
                            </w:r>
                          </w:p>
                          <w:p w14:paraId="58829F9B" w14:textId="75B79620" w:rsidR="00FC537D" w:rsidRPr="00FF2C1E" w:rsidRDefault="00A05929" w:rsidP="00DA494B">
                            <w:pPr>
                              <w:pStyle w:val="ListParagraph"/>
                              <w:numPr>
                                <w:ilvl w:val="0"/>
                                <w:numId w:val="12"/>
                              </w:numPr>
                              <w:rPr>
                                <w:szCs w:val="20"/>
                              </w:rPr>
                            </w:pPr>
                            <w:r>
                              <w:rPr>
                                <w:szCs w:val="20"/>
                              </w:rPr>
                              <w:t>Debt levels and i</w:t>
                            </w:r>
                            <w:r w:rsidR="00DA494B" w:rsidRPr="00DA494B">
                              <w:rPr>
                                <w:szCs w:val="20"/>
                              </w:rPr>
                              <w:t>nterest costs remained high, amplifying losses and contributing to a negative average return on equity (–1.6%) for the second consecutive year.</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ABFA883" id="Text Box 1" o:spid="_x0000_s1028" type="#_x0000_t202" style="position:absolute;margin-left:0;margin-top:0;width:486.75pt;height:266pt;z-index:-25165823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T5NgIAAGUEAAAOAAAAZHJzL2Uyb0RvYy54bWysVF1v2yAUfZ+0/4B4X5y4SZpacaouXadJ&#10;3YfU7QdgjGM04DIgsbNfvwtO3HR9m+YHxL3AuR/nXK9ve63IQTgvwZR0NplSIgyHWppdSX98f3i3&#10;osQHZmqmwIiSHoWnt5u3b9adLUQOLahaOIIgxhedLWkbgi2yzPNWaOYnYIXBwwacZgFNt8tqxzpE&#10;1yrLp9Nl1oGrrQMuvEfv/XBINwm/aQQPX5vGi0BUSTG3kFaX1iqu2WbNip1jtpX8lAb7hyw0kwaD&#10;jlD3LDCyd/IVlJbcgYcmTDjoDJpGcpFqwGpm07+qeWqZFakWbI63Y5v8/4PlXw5P9psjoX8PPRKY&#10;ivD2EfhPTwxsW2Z24s456FrBagw8iy3LOuuL09PYal/4CFJ1n6FGktk+QALqG6djV7BOguhIwHFs&#10;uugD4ehczlaz63xBCcezq6vrFdKaYrDi/Nw6Hz4K0CRuSuqQ1QTPDo8+xHRYcb4So3lQsn6QSiUj&#10;KklslSMHhhpgnAsT8vRc7TXmO/jnU/wGNaAbNTO4l2c3hkiajEgp4IsgypCupDcLLON1Am5XjeEj&#10;3FjeCwgtAw6Ckrqkq/ESK2LXP5g6yTQwqYY9ZqPMiYbY+YGD0Fc9kXVJ81hIZKWC+oi8OBh0j3OK&#10;mxbcb0o61HxJ/a89c4IS9ckgtzez+TwOSTLmi+scDXd5Ul2eMMMRqqSBkmG7DWmwYgcM3KEGGpnY&#10;ec7klDJqOfXwNHdxWC7tdOv577D5AwAA//8DAFBLAwQUAAYACAAAACEAk+nHat4AAAAFAQAADwAA&#10;AGRycy9kb3ducmV2LnhtbEyPQUvDQBCF70L/wzKCF7GbtrS2MZsihVIQRIx6n2anyWJ2Nma3Teqv&#10;d/ViLwOP93jvm2w92EacqPPGsYLJOAFBXDptuFLw/ra9W4LwAVlj45gUnMnDOh9dZZhq1/MrnYpQ&#10;iVjCPkUFdQhtKqUva7Lox64ljt7BdRZDlF0ldYd9LLeNnCbJQlo0HBdqbGlTU/lZHK2CJ3P7bFbF&#10;cteed1/4/XL48Jt+q9TN9fD4ACLQEP7D8Isf0SGPTHt3ZO1FoyA+Ev5u9Fb3szmIvYL5bJqAzDN5&#10;SZ//AAAA//8DAFBLAQItABQABgAIAAAAIQC2gziS/gAAAOEBAAATAAAAAAAAAAAAAAAAAAAAAABb&#10;Q29udGVudF9UeXBlc10ueG1sUEsBAi0AFAAGAAgAAAAhADj9If/WAAAAlAEAAAsAAAAAAAAAAAAA&#10;AAAALwEAAF9yZWxzLy5yZWxzUEsBAi0AFAAGAAgAAAAhAEaYJPk2AgAAZQQAAA4AAAAAAAAAAAAA&#10;AAAALgIAAGRycy9lMm9Eb2MueG1sUEsBAi0AFAAGAAgAAAAhAJPpx2reAAAABQEAAA8AAAAAAAAA&#10;AAAAAAAAkAQAAGRycy9kb3ducmV2LnhtbFBLBQYAAAAABAAEAPMAAACbBQAAAAA=&#10;" fillcolor="#f7caac [1301]">
                <v:textbox>
                  <w:txbxContent>
                    <w:p w14:paraId="5B062029" w14:textId="77777777" w:rsidR="00FF19F2" w:rsidRPr="00CB4E11" w:rsidRDefault="00FF19F2" w:rsidP="00311C0E">
                      <w:pPr>
                        <w:pStyle w:val="Caption"/>
                      </w:pPr>
                      <w:r>
                        <w:t>Northern Victoria r</w:t>
                      </w:r>
                      <w:r w:rsidRPr="00CB4E11">
                        <w:t xml:space="preserve">egional </w:t>
                      </w:r>
                      <w:r>
                        <w:t>s</w:t>
                      </w:r>
                      <w:r w:rsidRPr="00CB4E11">
                        <w:t>ummary</w:t>
                      </w:r>
                    </w:p>
                    <w:p w14:paraId="3201693B" w14:textId="78D1ED76" w:rsidR="00B466B8" w:rsidRPr="00DA494B" w:rsidRDefault="006B073E" w:rsidP="00B466B8">
                      <w:pPr>
                        <w:pStyle w:val="ListParagraph"/>
                        <w:numPr>
                          <w:ilvl w:val="0"/>
                          <w:numId w:val="12"/>
                        </w:numPr>
                        <w:rPr>
                          <w:szCs w:val="20"/>
                        </w:rPr>
                      </w:pPr>
                      <w:r w:rsidRPr="00DA494B">
                        <w:rPr>
                          <w:szCs w:val="20"/>
                        </w:rPr>
                        <w:t xml:space="preserve">Northern farms received </w:t>
                      </w:r>
                      <w:r w:rsidR="00035F19">
                        <w:rPr>
                          <w:szCs w:val="20"/>
                        </w:rPr>
                        <w:t>below average</w:t>
                      </w:r>
                      <w:r w:rsidRPr="00DA494B">
                        <w:rPr>
                          <w:szCs w:val="20"/>
                        </w:rPr>
                        <w:t xml:space="preserve"> annual rainfall</w:t>
                      </w:r>
                      <w:r w:rsidR="006D181C">
                        <w:rPr>
                          <w:szCs w:val="20"/>
                        </w:rPr>
                        <w:t xml:space="preserve"> </w:t>
                      </w:r>
                      <w:r w:rsidR="00B466B8">
                        <w:rPr>
                          <w:szCs w:val="20"/>
                        </w:rPr>
                        <w:t xml:space="preserve">leading to </w:t>
                      </w:r>
                      <w:r w:rsidR="00B466B8" w:rsidRPr="00DA494B">
                        <w:rPr>
                          <w:szCs w:val="20"/>
                        </w:rPr>
                        <w:t>reduced pasture availability and increased reliance on supplementary feed.</w:t>
                      </w:r>
                    </w:p>
                    <w:p w14:paraId="271ED46A" w14:textId="67BA3E1E" w:rsidR="00DA494B" w:rsidRDefault="00DA494B" w:rsidP="00DA494B">
                      <w:pPr>
                        <w:pStyle w:val="ListParagraph"/>
                        <w:numPr>
                          <w:ilvl w:val="0"/>
                          <w:numId w:val="12"/>
                        </w:numPr>
                        <w:rPr>
                          <w:szCs w:val="20"/>
                        </w:rPr>
                      </w:pPr>
                      <w:r w:rsidRPr="00DA494B">
                        <w:rPr>
                          <w:szCs w:val="20"/>
                        </w:rPr>
                        <w:t>Purchased supplementary feed costs rose</w:t>
                      </w:r>
                      <w:r w:rsidR="00FA10C2">
                        <w:rPr>
                          <w:szCs w:val="20"/>
                        </w:rPr>
                        <w:t xml:space="preserve"> by </w:t>
                      </w:r>
                      <w:r w:rsidR="00C61815" w:rsidRPr="00C61815">
                        <w:rPr>
                          <w:szCs w:val="20"/>
                        </w:rPr>
                        <w:t>130%</w:t>
                      </w:r>
                      <w:r w:rsidR="002C2176">
                        <w:rPr>
                          <w:szCs w:val="20"/>
                        </w:rPr>
                        <w:t xml:space="preserve"> and</w:t>
                      </w:r>
                      <w:r w:rsidRPr="00DA494B">
                        <w:rPr>
                          <w:szCs w:val="20"/>
                        </w:rPr>
                        <w:t xml:space="preserve"> contribut</w:t>
                      </w:r>
                      <w:r w:rsidR="00DE46B1">
                        <w:rPr>
                          <w:szCs w:val="20"/>
                        </w:rPr>
                        <w:t>ed</w:t>
                      </w:r>
                      <w:r w:rsidRPr="00DA494B">
                        <w:rPr>
                          <w:szCs w:val="20"/>
                        </w:rPr>
                        <w:t xml:space="preserve"> to historically high variable costs.</w:t>
                      </w:r>
                    </w:p>
                    <w:p w14:paraId="72EECAE1" w14:textId="77777777" w:rsidR="005D2CD5" w:rsidRPr="00DA494B" w:rsidRDefault="005D2CD5" w:rsidP="005D2CD5">
                      <w:pPr>
                        <w:pStyle w:val="ListParagraph"/>
                        <w:numPr>
                          <w:ilvl w:val="0"/>
                          <w:numId w:val="12"/>
                        </w:numPr>
                        <w:rPr>
                          <w:szCs w:val="20"/>
                        </w:rPr>
                      </w:pPr>
                      <w:r w:rsidRPr="00DA494B">
                        <w:rPr>
                          <w:szCs w:val="20"/>
                        </w:rPr>
                        <w:t>Cattle sales remained the dominant source of income (56%), followed by sheep sales (26%).</w:t>
                      </w:r>
                    </w:p>
                    <w:p w14:paraId="32E76A89" w14:textId="0556261A" w:rsidR="005D2CD5" w:rsidRDefault="005D2CD5" w:rsidP="005D2CD5">
                      <w:pPr>
                        <w:pStyle w:val="ListParagraph"/>
                        <w:numPr>
                          <w:ilvl w:val="0"/>
                          <w:numId w:val="12"/>
                        </w:numPr>
                        <w:rPr>
                          <w:szCs w:val="20"/>
                        </w:rPr>
                      </w:pPr>
                      <w:r w:rsidRPr="00DA494B">
                        <w:rPr>
                          <w:szCs w:val="20"/>
                        </w:rPr>
                        <w:t>Average gross farm income increased slightly (+3%) but remained below the 10-year regional average due to inventory reductions and dry conditions.</w:t>
                      </w:r>
                    </w:p>
                    <w:p w14:paraId="5F14A375" w14:textId="685D2224" w:rsidR="00F614BC" w:rsidRPr="00D91A1D" w:rsidRDefault="00F614BC" w:rsidP="00D91A1D">
                      <w:pPr>
                        <w:pStyle w:val="ListParagraph"/>
                        <w:numPr>
                          <w:ilvl w:val="0"/>
                          <w:numId w:val="12"/>
                        </w:numPr>
                        <w:rPr>
                          <w:szCs w:val="20"/>
                        </w:rPr>
                      </w:pPr>
                      <w:r w:rsidRPr="00DA494B">
                        <w:rPr>
                          <w:szCs w:val="20"/>
                        </w:rPr>
                        <w:t>Wool sheep gross margins fell to the lowest in the project’s 20-year history.</w:t>
                      </w:r>
                    </w:p>
                    <w:p w14:paraId="4558EA9E" w14:textId="71DE33DF" w:rsidR="00DA494B" w:rsidRPr="00DA494B" w:rsidRDefault="00DA494B" w:rsidP="00DA494B">
                      <w:pPr>
                        <w:pStyle w:val="ListParagraph"/>
                        <w:numPr>
                          <w:ilvl w:val="0"/>
                          <w:numId w:val="12"/>
                        </w:numPr>
                        <w:rPr>
                          <w:szCs w:val="20"/>
                        </w:rPr>
                      </w:pPr>
                      <w:r w:rsidRPr="00DA494B">
                        <w:rPr>
                          <w:szCs w:val="20"/>
                        </w:rPr>
                        <w:t>Negative profits were recorded by 47% of farms.</w:t>
                      </w:r>
                    </w:p>
                    <w:p w14:paraId="13525FAD" w14:textId="7058BC0E" w:rsidR="00DA494B" w:rsidRPr="00DA494B" w:rsidRDefault="00DA494B" w:rsidP="00DA494B">
                      <w:pPr>
                        <w:pStyle w:val="ListParagraph"/>
                        <w:numPr>
                          <w:ilvl w:val="0"/>
                          <w:numId w:val="12"/>
                        </w:numPr>
                        <w:rPr>
                          <w:szCs w:val="20"/>
                        </w:rPr>
                      </w:pPr>
                      <w:r w:rsidRPr="00DA494B">
                        <w:rPr>
                          <w:szCs w:val="20"/>
                        </w:rPr>
                        <w:t>Average return on assets remained negative for the second consecutive year (–0.2%).</w:t>
                      </w:r>
                    </w:p>
                    <w:p w14:paraId="1ACC6715" w14:textId="77777777" w:rsidR="00A05929" w:rsidRDefault="00617FF9" w:rsidP="00DA494B">
                      <w:pPr>
                        <w:pStyle w:val="ListParagraph"/>
                        <w:numPr>
                          <w:ilvl w:val="0"/>
                          <w:numId w:val="12"/>
                        </w:numPr>
                        <w:rPr>
                          <w:szCs w:val="20"/>
                        </w:rPr>
                      </w:pPr>
                      <w:r w:rsidRPr="00617FF9">
                        <w:rPr>
                          <w:szCs w:val="20"/>
                        </w:rPr>
                        <w:t>The net</w:t>
                      </w:r>
                      <w:r>
                        <w:rPr>
                          <w:szCs w:val="20"/>
                        </w:rPr>
                        <w:t>-</w:t>
                      </w:r>
                      <w:r w:rsidRPr="00617FF9">
                        <w:rPr>
                          <w:szCs w:val="20"/>
                        </w:rPr>
                        <w:t>worth of nearly one-third (31%) of northern farms declined, reducing the regional average equity</w:t>
                      </w:r>
                      <w:r w:rsidR="00A05929">
                        <w:rPr>
                          <w:szCs w:val="20"/>
                        </w:rPr>
                        <w:t xml:space="preserve"> percentage</w:t>
                      </w:r>
                      <w:r w:rsidRPr="00617FF9">
                        <w:rPr>
                          <w:szCs w:val="20"/>
                        </w:rPr>
                        <w:t xml:space="preserve"> to 85%.</w:t>
                      </w:r>
                    </w:p>
                    <w:p w14:paraId="58829F9B" w14:textId="75B79620" w:rsidR="00FC537D" w:rsidRPr="00FF2C1E" w:rsidRDefault="00A05929" w:rsidP="00DA494B">
                      <w:pPr>
                        <w:pStyle w:val="ListParagraph"/>
                        <w:numPr>
                          <w:ilvl w:val="0"/>
                          <w:numId w:val="12"/>
                        </w:numPr>
                        <w:rPr>
                          <w:szCs w:val="20"/>
                        </w:rPr>
                      </w:pPr>
                      <w:r>
                        <w:rPr>
                          <w:szCs w:val="20"/>
                        </w:rPr>
                        <w:t>Debt levels and i</w:t>
                      </w:r>
                      <w:r w:rsidR="00DA494B" w:rsidRPr="00DA494B">
                        <w:rPr>
                          <w:szCs w:val="20"/>
                        </w:rPr>
                        <w:t>nterest costs remained high, amplifying losses and contributing to a negative average return on equity (–1.6%) for the second consecutive year.</w:t>
                      </w:r>
                    </w:p>
                  </w:txbxContent>
                </v:textbox>
                <w10:wrap type="tight" anchorx="margin"/>
              </v:shape>
            </w:pict>
          </mc:Fallback>
        </mc:AlternateContent>
      </w:r>
    </w:p>
    <w:p w14:paraId="3E006E86" w14:textId="77777777" w:rsidR="006B6FB2" w:rsidRDefault="006B6FB2" w:rsidP="006B6FB2">
      <w:pPr>
        <w:rPr>
          <w:szCs w:val="20"/>
        </w:rPr>
      </w:pPr>
    </w:p>
    <w:p w14:paraId="6C71C438" w14:textId="2F0A6CE6" w:rsidR="00FE1883" w:rsidRPr="00CC267D" w:rsidRDefault="00FE1883" w:rsidP="006B6FB2">
      <w:pPr>
        <w:rPr>
          <w:szCs w:val="20"/>
        </w:rPr>
        <w:sectPr w:rsidR="00FE1883" w:rsidRPr="00CC267D" w:rsidSect="001F749A">
          <w:type w:val="continuous"/>
          <w:pgSz w:w="11906" w:h="16838"/>
          <w:pgMar w:top="1440" w:right="1440" w:bottom="1440" w:left="1440" w:header="708" w:footer="708" w:gutter="0"/>
          <w:cols w:num="2" w:space="708"/>
          <w:docGrid w:linePitch="360"/>
        </w:sectPr>
      </w:pPr>
    </w:p>
    <w:tbl>
      <w:tblPr>
        <w:tblW w:w="7180" w:type="dxa"/>
        <w:tblLook w:val="04A0" w:firstRow="1" w:lastRow="0" w:firstColumn="1" w:lastColumn="0" w:noHBand="0" w:noVBand="1"/>
      </w:tblPr>
      <w:tblGrid>
        <w:gridCol w:w="4640"/>
        <w:gridCol w:w="1360"/>
        <w:gridCol w:w="1180"/>
      </w:tblGrid>
      <w:tr w:rsidR="00BE450B" w:rsidRPr="00BE450B" w14:paraId="25C972D0" w14:textId="77777777" w:rsidTr="00BE450B">
        <w:trPr>
          <w:trHeight w:val="300"/>
        </w:trPr>
        <w:tc>
          <w:tcPr>
            <w:tcW w:w="4640" w:type="dxa"/>
            <w:tcBorders>
              <w:top w:val="nil"/>
              <w:left w:val="nil"/>
              <w:bottom w:val="nil"/>
              <w:right w:val="nil"/>
            </w:tcBorders>
            <w:shd w:val="clear" w:color="000000" w:fill="FFFFFF"/>
            <w:noWrap/>
            <w:vAlign w:val="bottom"/>
            <w:hideMark/>
          </w:tcPr>
          <w:p w14:paraId="62A3F514" w14:textId="77777777" w:rsidR="00BE450B" w:rsidRPr="00BE450B" w:rsidRDefault="00BE450B" w:rsidP="00BE450B">
            <w:pPr>
              <w:spacing w:after="0" w:line="240" w:lineRule="auto"/>
              <w:jc w:val="center"/>
              <w:rPr>
                <w:rFonts w:ascii="Aptos Narrow" w:eastAsia="Times New Roman" w:hAnsi="Aptos Narrow" w:cs="Times New Roman"/>
                <w:b/>
                <w:bCs/>
                <w:color w:val="000000"/>
                <w:sz w:val="18"/>
                <w:szCs w:val="18"/>
                <w:lang w:eastAsia="en-AU"/>
              </w:rPr>
            </w:pPr>
            <w:r w:rsidRPr="00BE450B">
              <w:rPr>
                <w:rFonts w:ascii="Aptos Narrow" w:eastAsia="Times New Roman" w:hAnsi="Aptos Narrow" w:cs="Times New Roman"/>
                <w:b/>
                <w:bCs/>
                <w:color w:val="000000"/>
                <w:sz w:val="18"/>
                <w:szCs w:val="18"/>
                <w:lang w:eastAsia="en-AU"/>
              </w:rPr>
              <w:t> </w:t>
            </w:r>
          </w:p>
        </w:tc>
        <w:tc>
          <w:tcPr>
            <w:tcW w:w="1360" w:type="dxa"/>
            <w:tcBorders>
              <w:top w:val="nil"/>
              <w:left w:val="nil"/>
              <w:bottom w:val="nil"/>
              <w:right w:val="nil"/>
            </w:tcBorders>
            <w:shd w:val="clear" w:color="000000" w:fill="FFFFFF"/>
            <w:noWrap/>
            <w:vAlign w:val="bottom"/>
            <w:hideMark/>
          </w:tcPr>
          <w:p w14:paraId="46FDFDEC" w14:textId="77777777" w:rsidR="00BE450B" w:rsidRPr="00BE450B" w:rsidRDefault="00BE450B" w:rsidP="00BE450B">
            <w:pPr>
              <w:spacing w:after="0" w:line="240" w:lineRule="auto"/>
              <w:jc w:val="center"/>
              <w:rPr>
                <w:rFonts w:ascii="Aptos Narrow" w:eastAsia="Times New Roman" w:hAnsi="Aptos Narrow" w:cs="Times New Roman"/>
                <w:b/>
                <w:bCs/>
                <w:color w:val="000000"/>
                <w:sz w:val="18"/>
                <w:szCs w:val="18"/>
                <w:lang w:eastAsia="en-AU"/>
              </w:rPr>
            </w:pPr>
            <w:r w:rsidRPr="00BE450B">
              <w:rPr>
                <w:rFonts w:ascii="Aptos Narrow" w:eastAsia="Times New Roman" w:hAnsi="Aptos Narrow" w:cs="Times New Roman"/>
                <w:b/>
                <w:bCs/>
                <w:color w:val="000000"/>
                <w:sz w:val="18"/>
                <w:szCs w:val="18"/>
                <w:lang w:eastAsia="en-AU"/>
              </w:rPr>
              <w:t>5-yr average</w:t>
            </w:r>
          </w:p>
        </w:tc>
        <w:tc>
          <w:tcPr>
            <w:tcW w:w="1180" w:type="dxa"/>
            <w:tcBorders>
              <w:top w:val="nil"/>
              <w:left w:val="nil"/>
              <w:bottom w:val="nil"/>
              <w:right w:val="nil"/>
            </w:tcBorders>
            <w:shd w:val="clear" w:color="000000" w:fill="FFFFFF"/>
            <w:noWrap/>
            <w:vAlign w:val="bottom"/>
            <w:hideMark/>
          </w:tcPr>
          <w:p w14:paraId="190311AA" w14:textId="77777777" w:rsidR="00BE450B" w:rsidRPr="00BE450B" w:rsidRDefault="00BE450B" w:rsidP="00BE450B">
            <w:pPr>
              <w:spacing w:after="0" w:line="240" w:lineRule="auto"/>
              <w:jc w:val="center"/>
              <w:rPr>
                <w:rFonts w:ascii="Aptos Narrow" w:eastAsia="Times New Roman" w:hAnsi="Aptos Narrow" w:cs="Times New Roman"/>
                <w:b/>
                <w:bCs/>
                <w:color w:val="000000"/>
                <w:sz w:val="18"/>
                <w:szCs w:val="18"/>
                <w:lang w:eastAsia="en-AU"/>
              </w:rPr>
            </w:pPr>
            <w:r w:rsidRPr="00BE450B">
              <w:rPr>
                <w:rFonts w:ascii="Aptos Narrow" w:eastAsia="Times New Roman" w:hAnsi="Aptos Narrow" w:cs="Times New Roman"/>
                <w:b/>
                <w:bCs/>
                <w:color w:val="000000"/>
                <w:sz w:val="18"/>
                <w:szCs w:val="18"/>
                <w:lang w:eastAsia="en-AU"/>
              </w:rPr>
              <w:t>2024-25</w:t>
            </w:r>
          </w:p>
        </w:tc>
      </w:tr>
      <w:tr w:rsidR="00BE450B" w:rsidRPr="00BE450B" w14:paraId="716ACDF4" w14:textId="77777777" w:rsidTr="00BE450B">
        <w:trPr>
          <w:trHeight w:val="300"/>
        </w:trPr>
        <w:tc>
          <w:tcPr>
            <w:tcW w:w="4640" w:type="dxa"/>
            <w:tcBorders>
              <w:top w:val="nil"/>
              <w:left w:val="nil"/>
              <w:bottom w:val="nil"/>
              <w:right w:val="nil"/>
            </w:tcBorders>
            <w:shd w:val="clear" w:color="000000" w:fill="FFFFFF"/>
            <w:noWrap/>
            <w:vAlign w:val="bottom"/>
            <w:hideMark/>
          </w:tcPr>
          <w:p w14:paraId="0AD647DE" w14:textId="77777777" w:rsidR="00BE450B" w:rsidRPr="00BE450B" w:rsidRDefault="00BE450B" w:rsidP="00BE450B">
            <w:pPr>
              <w:spacing w:after="0" w:line="240" w:lineRule="auto"/>
              <w:rPr>
                <w:rFonts w:ascii="Aptos Narrow" w:eastAsia="Times New Roman" w:hAnsi="Aptos Narrow" w:cs="Times New Roman"/>
                <w:b/>
                <w:bCs/>
                <w:color w:val="000000"/>
                <w:sz w:val="18"/>
                <w:szCs w:val="18"/>
                <w:lang w:eastAsia="en-AU"/>
              </w:rPr>
            </w:pPr>
            <w:r w:rsidRPr="00BE450B">
              <w:rPr>
                <w:rFonts w:ascii="Aptos Narrow" w:eastAsia="Times New Roman" w:hAnsi="Aptos Narrow" w:cs="Times New Roman"/>
                <w:b/>
                <w:bCs/>
                <w:color w:val="000000"/>
                <w:sz w:val="18"/>
                <w:szCs w:val="18"/>
                <w:lang w:eastAsia="en-AU"/>
              </w:rPr>
              <w:t>Enterprise income</w:t>
            </w:r>
          </w:p>
        </w:tc>
        <w:tc>
          <w:tcPr>
            <w:tcW w:w="1360" w:type="dxa"/>
            <w:tcBorders>
              <w:top w:val="nil"/>
              <w:left w:val="nil"/>
              <w:bottom w:val="nil"/>
              <w:right w:val="nil"/>
            </w:tcBorders>
            <w:shd w:val="clear" w:color="000000" w:fill="FFFFFF"/>
            <w:noWrap/>
            <w:vAlign w:val="bottom"/>
            <w:hideMark/>
          </w:tcPr>
          <w:p w14:paraId="598FCAC4" w14:textId="77777777" w:rsidR="00BE450B" w:rsidRPr="00BE450B" w:rsidRDefault="00BE450B" w:rsidP="00BE450B">
            <w:pPr>
              <w:spacing w:after="0" w:line="240" w:lineRule="auto"/>
              <w:jc w:val="center"/>
              <w:rPr>
                <w:rFonts w:ascii="Aptos Narrow" w:eastAsia="Times New Roman" w:hAnsi="Aptos Narrow" w:cs="Times New Roman"/>
                <w:b/>
                <w:bCs/>
                <w:color w:val="000000"/>
                <w:sz w:val="18"/>
                <w:szCs w:val="18"/>
                <w:lang w:eastAsia="en-AU"/>
              </w:rPr>
            </w:pPr>
            <w:r w:rsidRPr="00BE450B">
              <w:rPr>
                <w:rFonts w:ascii="Aptos Narrow" w:eastAsia="Times New Roman" w:hAnsi="Aptos Narrow" w:cs="Times New Roman"/>
                <w:b/>
                <w:bCs/>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7C62B29B" w14:textId="77777777" w:rsidR="00BE450B" w:rsidRPr="00BE450B" w:rsidRDefault="00BE450B" w:rsidP="00BE450B">
            <w:pPr>
              <w:spacing w:after="0" w:line="240" w:lineRule="auto"/>
              <w:jc w:val="center"/>
              <w:rPr>
                <w:rFonts w:ascii="Aptos Narrow" w:eastAsia="Times New Roman" w:hAnsi="Aptos Narrow" w:cs="Times New Roman"/>
                <w:b/>
                <w:bCs/>
                <w:color w:val="000000"/>
                <w:sz w:val="18"/>
                <w:szCs w:val="18"/>
                <w:lang w:eastAsia="en-AU"/>
              </w:rPr>
            </w:pPr>
            <w:r w:rsidRPr="00BE450B">
              <w:rPr>
                <w:rFonts w:ascii="Aptos Narrow" w:eastAsia="Times New Roman" w:hAnsi="Aptos Narrow" w:cs="Times New Roman"/>
                <w:b/>
                <w:bCs/>
                <w:color w:val="000000"/>
                <w:sz w:val="18"/>
                <w:szCs w:val="18"/>
                <w:lang w:eastAsia="en-AU"/>
              </w:rPr>
              <w:t> </w:t>
            </w:r>
          </w:p>
        </w:tc>
      </w:tr>
      <w:tr w:rsidR="00BE450B" w:rsidRPr="00BE450B" w14:paraId="7E2B62DF" w14:textId="77777777" w:rsidTr="00BE450B">
        <w:trPr>
          <w:trHeight w:val="300"/>
        </w:trPr>
        <w:tc>
          <w:tcPr>
            <w:tcW w:w="4640" w:type="dxa"/>
            <w:tcBorders>
              <w:top w:val="nil"/>
              <w:left w:val="nil"/>
              <w:bottom w:val="nil"/>
              <w:right w:val="nil"/>
            </w:tcBorders>
            <w:shd w:val="clear" w:color="000000" w:fill="FFFFFF"/>
            <w:noWrap/>
            <w:vAlign w:val="bottom"/>
            <w:hideMark/>
          </w:tcPr>
          <w:p w14:paraId="296C0E57"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Beef income ($/ha)</w:t>
            </w:r>
          </w:p>
        </w:tc>
        <w:tc>
          <w:tcPr>
            <w:tcW w:w="1360" w:type="dxa"/>
            <w:tcBorders>
              <w:top w:val="nil"/>
              <w:left w:val="nil"/>
              <w:bottom w:val="nil"/>
              <w:right w:val="nil"/>
            </w:tcBorders>
            <w:shd w:val="clear" w:color="000000" w:fill="FFFFFF"/>
            <w:noWrap/>
            <w:vAlign w:val="bottom"/>
            <w:hideMark/>
          </w:tcPr>
          <w:p w14:paraId="316EED75" w14:textId="061B8C6C"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1</w:t>
            </w:r>
            <w:r w:rsidR="00493F28">
              <w:rPr>
                <w:rFonts w:ascii="Aptos Narrow" w:eastAsia="Times New Roman" w:hAnsi="Aptos Narrow" w:cs="Times New Roman"/>
                <w:color w:val="000000"/>
                <w:sz w:val="18"/>
                <w:szCs w:val="18"/>
                <w:lang w:eastAsia="en-AU"/>
              </w:rPr>
              <w:t>,</w:t>
            </w:r>
            <w:r w:rsidRPr="00BE450B">
              <w:rPr>
                <w:rFonts w:ascii="Aptos Narrow" w:eastAsia="Times New Roman" w:hAnsi="Aptos Narrow" w:cs="Times New Roman"/>
                <w:color w:val="000000"/>
                <w:sz w:val="18"/>
                <w:szCs w:val="18"/>
                <w:lang w:eastAsia="en-AU"/>
              </w:rPr>
              <w:t>023</w:t>
            </w:r>
          </w:p>
        </w:tc>
        <w:tc>
          <w:tcPr>
            <w:tcW w:w="1180" w:type="dxa"/>
            <w:tcBorders>
              <w:top w:val="nil"/>
              <w:left w:val="nil"/>
              <w:bottom w:val="nil"/>
              <w:right w:val="nil"/>
            </w:tcBorders>
            <w:shd w:val="clear" w:color="000000" w:fill="FFFFFF"/>
            <w:noWrap/>
            <w:vAlign w:val="bottom"/>
            <w:hideMark/>
          </w:tcPr>
          <w:p w14:paraId="079870C8" w14:textId="77777777" w:rsidR="00BE450B" w:rsidRPr="00BE450B" w:rsidRDefault="00BE450B" w:rsidP="00BE450B">
            <w:pPr>
              <w:spacing w:after="0" w:line="240" w:lineRule="auto"/>
              <w:jc w:val="center"/>
              <w:rPr>
                <w:rFonts w:ascii="Aptos Narrow" w:eastAsia="Times New Roman" w:hAnsi="Aptos Narrow" w:cs="Times New Roman"/>
                <w:sz w:val="18"/>
                <w:szCs w:val="18"/>
                <w:lang w:eastAsia="en-AU"/>
              </w:rPr>
            </w:pPr>
            <w:r w:rsidRPr="00BE450B">
              <w:rPr>
                <w:rFonts w:ascii="Aptos Narrow" w:eastAsia="Times New Roman" w:hAnsi="Aptos Narrow" w:cs="Times New Roman"/>
                <w:sz w:val="18"/>
                <w:szCs w:val="18"/>
                <w:lang w:eastAsia="en-AU"/>
              </w:rPr>
              <w:t>881</w:t>
            </w:r>
          </w:p>
        </w:tc>
      </w:tr>
      <w:tr w:rsidR="00BE450B" w:rsidRPr="00BE450B" w14:paraId="2D97EBAB" w14:textId="77777777" w:rsidTr="00BE450B">
        <w:trPr>
          <w:trHeight w:val="300"/>
        </w:trPr>
        <w:tc>
          <w:tcPr>
            <w:tcW w:w="4640" w:type="dxa"/>
            <w:tcBorders>
              <w:top w:val="nil"/>
              <w:left w:val="nil"/>
              <w:bottom w:val="nil"/>
              <w:right w:val="nil"/>
            </w:tcBorders>
            <w:shd w:val="clear" w:color="000000" w:fill="FFFFFF"/>
            <w:noWrap/>
            <w:vAlign w:val="bottom"/>
            <w:hideMark/>
          </w:tcPr>
          <w:p w14:paraId="617D0A62" w14:textId="179A518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xml:space="preserve">Prime </w:t>
            </w:r>
            <w:r w:rsidR="00493F28">
              <w:rPr>
                <w:rFonts w:ascii="Aptos Narrow" w:eastAsia="Times New Roman" w:hAnsi="Aptos Narrow" w:cs="Times New Roman"/>
                <w:color w:val="000000"/>
                <w:sz w:val="18"/>
                <w:szCs w:val="18"/>
                <w:lang w:eastAsia="en-AU"/>
              </w:rPr>
              <w:t>l</w:t>
            </w:r>
            <w:r w:rsidRPr="00BE450B">
              <w:rPr>
                <w:rFonts w:ascii="Aptos Narrow" w:eastAsia="Times New Roman" w:hAnsi="Aptos Narrow" w:cs="Times New Roman"/>
                <w:color w:val="000000"/>
                <w:sz w:val="18"/>
                <w:szCs w:val="18"/>
                <w:lang w:eastAsia="en-AU"/>
              </w:rPr>
              <w:t>amb income ($/ha)</w:t>
            </w:r>
          </w:p>
        </w:tc>
        <w:tc>
          <w:tcPr>
            <w:tcW w:w="1360" w:type="dxa"/>
            <w:tcBorders>
              <w:top w:val="nil"/>
              <w:left w:val="nil"/>
              <w:bottom w:val="nil"/>
              <w:right w:val="nil"/>
            </w:tcBorders>
            <w:shd w:val="clear" w:color="000000" w:fill="FFFFFF"/>
            <w:noWrap/>
            <w:vAlign w:val="bottom"/>
            <w:hideMark/>
          </w:tcPr>
          <w:p w14:paraId="150437BB" w14:textId="77777777" w:rsidR="00BE450B" w:rsidRPr="00BE450B" w:rsidRDefault="00BE450B" w:rsidP="00BE450B">
            <w:pPr>
              <w:spacing w:after="0" w:line="240" w:lineRule="auto"/>
              <w:jc w:val="center"/>
              <w:rPr>
                <w:rFonts w:ascii="Aptos Narrow" w:eastAsia="Times New Roman" w:hAnsi="Aptos Narrow" w:cs="Times New Roman"/>
                <w:sz w:val="18"/>
                <w:szCs w:val="18"/>
                <w:lang w:eastAsia="en-AU"/>
              </w:rPr>
            </w:pPr>
            <w:r w:rsidRPr="00BE450B">
              <w:rPr>
                <w:rFonts w:ascii="Aptos Narrow" w:eastAsia="Times New Roman" w:hAnsi="Aptos Narrow" w:cs="Times New Roman"/>
                <w:sz w:val="18"/>
                <w:szCs w:val="18"/>
                <w:lang w:eastAsia="en-AU"/>
              </w:rPr>
              <w:t>941</w:t>
            </w:r>
          </w:p>
        </w:tc>
        <w:tc>
          <w:tcPr>
            <w:tcW w:w="1180" w:type="dxa"/>
            <w:tcBorders>
              <w:top w:val="nil"/>
              <w:left w:val="nil"/>
              <w:bottom w:val="nil"/>
              <w:right w:val="nil"/>
            </w:tcBorders>
            <w:shd w:val="clear" w:color="000000" w:fill="FFFFFF"/>
            <w:noWrap/>
            <w:vAlign w:val="bottom"/>
            <w:hideMark/>
          </w:tcPr>
          <w:p w14:paraId="5DDACA83" w14:textId="77777777" w:rsidR="00BE450B" w:rsidRPr="00BE450B" w:rsidRDefault="00BE450B" w:rsidP="00BE450B">
            <w:pPr>
              <w:spacing w:after="0" w:line="240" w:lineRule="auto"/>
              <w:jc w:val="center"/>
              <w:rPr>
                <w:rFonts w:ascii="Aptos Narrow" w:eastAsia="Times New Roman" w:hAnsi="Aptos Narrow" w:cs="Times New Roman"/>
                <w:sz w:val="18"/>
                <w:szCs w:val="18"/>
                <w:lang w:eastAsia="en-AU"/>
              </w:rPr>
            </w:pPr>
            <w:r w:rsidRPr="00BE450B">
              <w:rPr>
                <w:rFonts w:ascii="Aptos Narrow" w:eastAsia="Times New Roman" w:hAnsi="Aptos Narrow" w:cs="Times New Roman"/>
                <w:sz w:val="18"/>
                <w:szCs w:val="18"/>
                <w:lang w:eastAsia="en-AU"/>
              </w:rPr>
              <w:t>926</w:t>
            </w:r>
          </w:p>
        </w:tc>
      </w:tr>
      <w:tr w:rsidR="00BE450B" w:rsidRPr="00BE450B" w14:paraId="13872FC4" w14:textId="77777777" w:rsidTr="00BE450B">
        <w:trPr>
          <w:trHeight w:val="300"/>
        </w:trPr>
        <w:tc>
          <w:tcPr>
            <w:tcW w:w="4640" w:type="dxa"/>
            <w:tcBorders>
              <w:top w:val="nil"/>
              <w:left w:val="nil"/>
              <w:bottom w:val="nil"/>
              <w:right w:val="nil"/>
            </w:tcBorders>
            <w:shd w:val="clear" w:color="000000" w:fill="FFFFFF"/>
            <w:noWrap/>
            <w:vAlign w:val="bottom"/>
            <w:hideMark/>
          </w:tcPr>
          <w:p w14:paraId="3838BE10" w14:textId="16366184"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xml:space="preserve">Wool </w:t>
            </w:r>
            <w:r w:rsidR="00493F28">
              <w:rPr>
                <w:rFonts w:ascii="Aptos Narrow" w:eastAsia="Times New Roman" w:hAnsi="Aptos Narrow" w:cs="Times New Roman"/>
                <w:color w:val="000000"/>
                <w:sz w:val="18"/>
                <w:szCs w:val="18"/>
                <w:lang w:eastAsia="en-AU"/>
              </w:rPr>
              <w:t>s</w:t>
            </w:r>
            <w:r w:rsidRPr="00BE450B">
              <w:rPr>
                <w:rFonts w:ascii="Aptos Narrow" w:eastAsia="Times New Roman" w:hAnsi="Aptos Narrow" w:cs="Times New Roman"/>
                <w:color w:val="000000"/>
                <w:sz w:val="18"/>
                <w:szCs w:val="18"/>
                <w:lang w:eastAsia="en-AU"/>
              </w:rPr>
              <w:t>heep income ($/ha)</w:t>
            </w:r>
          </w:p>
        </w:tc>
        <w:tc>
          <w:tcPr>
            <w:tcW w:w="1360" w:type="dxa"/>
            <w:tcBorders>
              <w:top w:val="nil"/>
              <w:left w:val="nil"/>
              <w:bottom w:val="nil"/>
              <w:right w:val="nil"/>
            </w:tcBorders>
            <w:shd w:val="clear" w:color="000000" w:fill="FFFFFF"/>
            <w:noWrap/>
            <w:vAlign w:val="bottom"/>
            <w:hideMark/>
          </w:tcPr>
          <w:p w14:paraId="73E03577"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818</w:t>
            </w:r>
          </w:p>
        </w:tc>
        <w:tc>
          <w:tcPr>
            <w:tcW w:w="1180" w:type="dxa"/>
            <w:tcBorders>
              <w:top w:val="nil"/>
              <w:left w:val="nil"/>
              <w:bottom w:val="nil"/>
              <w:right w:val="nil"/>
            </w:tcBorders>
            <w:shd w:val="clear" w:color="000000" w:fill="FFFFFF"/>
            <w:noWrap/>
            <w:vAlign w:val="bottom"/>
            <w:hideMark/>
          </w:tcPr>
          <w:p w14:paraId="7B700545"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706</w:t>
            </w:r>
          </w:p>
        </w:tc>
      </w:tr>
      <w:tr w:rsidR="00BE450B" w:rsidRPr="00BE450B" w14:paraId="30206335" w14:textId="77777777" w:rsidTr="0042643C">
        <w:trPr>
          <w:trHeight w:val="161"/>
        </w:trPr>
        <w:tc>
          <w:tcPr>
            <w:tcW w:w="4640" w:type="dxa"/>
            <w:tcBorders>
              <w:top w:val="nil"/>
              <w:left w:val="nil"/>
              <w:bottom w:val="nil"/>
              <w:right w:val="nil"/>
            </w:tcBorders>
            <w:shd w:val="clear" w:color="000000" w:fill="FFFFFF"/>
            <w:noWrap/>
            <w:vAlign w:val="bottom"/>
            <w:hideMark/>
          </w:tcPr>
          <w:p w14:paraId="444023E1"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c>
          <w:tcPr>
            <w:tcW w:w="1360" w:type="dxa"/>
            <w:tcBorders>
              <w:top w:val="nil"/>
              <w:left w:val="nil"/>
              <w:bottom w:val="nil"/>
              <w:right w:val="nil"/>
            </w:tcBorders>
            <w:shd w:val="clear" w:color="000000" w:fill="FFFFFF"/>
            <w:noWrap/>
            <w:vAlign w:val="bottom"/>
            <w:hideMark/>
          </w:tcPr>
          <w:p w14:paraId="6BAD58FC"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743BAB1D"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r>
      <w:tr w:rsidR="00BE450B" w:rsidRPr="00BE450B" w14:paraId="7448E818" w14:textId="77777777" w:rsidTr="00BE450B">
        <w:trPr>
          <w:trHeight w:val="300"/>
        </w:trPr>
        <w:tc>
          <w:tcPr>
            <w:tcW w:w="4640" w:type="dxa"/>
            <w:tcBorders>
              <w:top w:val="nil"/>
              <w:left w:val="nil"/>
              <w:bottom w:val="nil"/>
              <w:right w:val="nil"/>
            </w:tcBorders>
            <w:shd w:val="clear" w:color="000000" w:fill="FFFFFF"/>
            <w:noWrap/>
            <w:vAlign w:val="bottom"/>
            <w:hideMark/>
          </w:tcPr>
          <w:p w14:paraId="658AC2D7" w14:textId="77777777" w:rsidR="00BE450B" w:rsidRPr="00BE450B" w:rsidRDefault="00BE450B" w:rsidP="00BE450B">
            <w:pPr>
              <w:spacing w:after="0" w:line="240" w:lineRule="auto"/>
              <w:rPr>
                <w:rFonts w:ascii="Aptos Narrow" w:eastAsia="Times New Roman" w:hAnsi="Aptos Narrow" w:cs="Times New Roman"/>
                <w:b/>
                <w:bCs/>
                <w:color w:val="000000"/>
                <w:sz w:val="18"/>
                <w:szCs w:val="18"/>
                <w:lang w:eastAsia="en-AU"/>
              </w:rPr>
            </w:pPr>
            <w:r w:rsidRPr="00BE450B">
              <w:rPr>
                <w:rFonts w:ascii="Aptos Narrow" w:eastAsia="Times New Roman" w:hAnsi="Aptos Narrow" w:cs="Times New Roman"/>
                <w:b/>
                <w:bCs/>
                <w:color w:val="000000"/>
                <w:sz w:val="18"/>
                <w:szCs w:val="18"/>
                <w:lang w:eastAsia="en-AU"/>
              </w:rPr>
              <w:t>Variable costs</w:t>
            </w:r>
          </w:p>
        </w:tc>
        <w:tc>
          <w:tcPr>
            <w:tcW w:w="1360" w:type="dxa"/>
            <w:tcBorders>
              <w:top w:val="nil"/>
              <w:left w:val="nil"/>
              <w:bottom w:val="nil"/>
              <w:right w:val="nil"/>
            </w:tcBorders>
            <w:shd w:val="clear" w:color="000000" w:fill="FFFFFF"/>
            <w:noWrap/>
            <w:vAlign w:val="bottom"/>
            <w:hideMark/>
          </w:tcPr>
          <w:p w14:paraId="1761A31A"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17BACCA1"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r>
      <w:tr w:rsidR="00BE450B" w:rsidRPr="00BE450B" w14:paraId="411AAC7F" w14:textId="77777777" w:rsidTr="00BE450B">
        <w:trPr>
          <w:trHeight w:val="300"/>
        </w:trPr>
        <w:tc>
          <w:tcPr>
            <w:tcW w:w="4640" w:type="dxa"/>
            <w:tcBorders>
              <w:top w:val="nil"/>
              <w:left w:val="nil"/>
              <w:bottom w:val="nil"/>
              <w:right w:val="nil"/>
            </w:tcBorders>
            <w:shd w:val="clear" w:color="000000" w:fill="FFFFFF"/>
            <w:noWrap/>
            <w:vAlign w:val="bottom"/>
            <w:hideMark/>
          </w:tcPr>
          <w:p w14:paraId="2BFCD5FC"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Beef variable costs ($/ha)</w:t>
            </w:r>
          </w:p>
        </w:tc>
        <w:tc>
          <w:tcPr>
            <w:tcW w:w="1360" w:type="dxa"/>
            <w:tcBorders>
              <w:top w:val="nil"/>
              <w:left w:val="nil"/>
              <w:bottom w:val="nil"/>
              <w:right w:val="nil"/>
            </w:tcBorders>
            <w:shd w:val="clear" w:color="000000" w:fill="FFFFFF"/>
            <w:noWrap/>
            <w:vAlign w:val="bottom"/>
            <w:hideMark/>
          </w:tcPr>
          <w:p w14:paraId="1DA9E25D" w14:textId="77777777" w:rsidR="00BE450B" w:rsidRPr="00BE450B" w:rsidRDefault="00BE450B" w:rsidP="00BE450B">
            <w:pPr>
              <w:spacing w:after="0" w:line="240" w:lineRule="auto"/>
              <w:jc w:val="center"/>
              <w:rPr>
                <w:rFonts w:ascii="Aptos Narrow" w:eastAsia="Times New Roman" w:hAnsi="Aptos Narrow" w:cs="Times New Roman"/>
                <w:sz w:val="18"/>
                <w:szCs w:val="18"/>
                <w:lang w:eastAsia="en-AU"/>
              </w:rPr>
            </w:pPr>
            <w:r w:rsidRPr="00BE450B">
              <w:rPr>
                <w:rFonts w:ascii="Aptos Narrow" w:eastAsia="Times New Roman" w:hAnsi="Aptos Narrow" w:cs="Times New Roman"/>
                <w:sz w:val="18"/>
                <w:szCs w:val="18"/>
                <w:lang w:eastAsia="en-AU"/>
              </w:rPr>
              <w:t>440</w:t>
            </w:r>
          </w:p>
        </w:tc>
        <w:tc>
          <w:tcPr>
            <w:tcW w:w="1180" w:type="dxa"/>
            <w:tcBorders>
              <w:top w:val="nil"/>
              <w:left w:val="nil"/>
              <w:bottom w:val="nil"/>
              <w:right w:val="nil"/>
            </w:tcBorders>
            <w:shd w:val="clear" w:color="000000" w:fill="FFFFFF"/>
            <w:noWrap/>
            <w:vAlign w:val="bottom"/>
            <w:hideMark/>
          </w:tcPr>
          <w:p w14:paraId="195DDE02"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534</w:t>
            </w:r>
          </w:p>
        </w:tc>
      </w:tr>
      <w:tr w:rsidR="00BE450B" w:rsidRPr="00BE450B" w14:paraId="6D3B9625" w14:textId="77777777" w:rsidTr="00BE450B">
        <w:trPr>
          <w:trHeight w:val="300"/>
        </w:trPr>
        <w:tc>
          <w:tcPr>
            <w:tcW w:w="4640" w:type="dxa"/>
            <w:tcBorders>
              <w:top w:val="nil"/>
              <w:left w:val="nil"/>
              <w:bottom w:val="nil"/>
              <w:right w:val="nil"/>
            </w:tcBorders>
            <w:shd w:val="clear" w:color="000000" w:fill="FFFFFF"/>
            <w:noWrap/>
            <w:vAlign w:val="bottom"/>
            <w:hideMark/>
          </w:tcPr>
          <w:p w14:paraId="37585FB3" w14:textId="3F47C4A4"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xml:space="preserve">Prime </w:t>
            </w:r>
            <w:r w:rsidR="00493F28">
              <w:rPr>
                <w:rFonts w:ascii="Aptos Narrow" w:eastAsia="Times New Roman" w:hAnsi="Aptos Narrow" w:cs="Times New Roman"/>
                <w:color w:val="000000"/>
                <w:sz w:val="18"/>
                <w:szCs w:val="18"/>
                <w:lang w:eastAsia="en-AU"/>
              </w:rPr>
              <w:t>l</w:t>
            </w:r>
            <w:r w:rsidRPr="00BE450B">
              <w:rPr>
                <w:rFonts w:ascii="Aptos Narrow" w:eastAsia="Times New Roman" w:hAnsi="Aptos Narrow" w:cs="Times New Roman"/>
                <w:color w:val="000000"/>
                <w:sz w:val="18"/>
                <w:szCs w:val="18"/>
                <w:lang w:eastAsia="en-AU"/>
              </w:rPr>
              <w:t>amb variable costs ($/ha)</w:t>
            </w:r>
          </w:p>
        </w:tc>
        <w:tc>
          <w:tcPr>
            <w:tcW w:w="1360" w:type="dxa"/>
            <w:tcBorders>
              <w:top w:val="nil"/>
              <w:left w:val="nil"/>
              <w:bottom w:val="nil"/>
              <w:right w:val="nil"/>
            </w:tcBorders>
            <w:shd w:val="clear" w:color="000000" w:fill="FFFFFF"/>
            <w:noWrap/>
            <w:vAlign w:val="bottom"/>
            <w:hideMark/>
          </w:tcPr>
          <w:p w14:paraId="545C2E84"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464</w:t>
            </w:r>
          </w:p>
        </w:tc>
        <w:tc>
          <w:tcPr>
            <w:tcW w:w="1180" w:type="dxa"/>
            <w:tcBorders>
              <w:top w:val="nil"/>
              <w:left w:val="nil"/>
              <w:bottom w:val="nil"/>
              <w:right w:val="nil"/>
            </w:tcBorders>
            <w:shd w:val="clear" w:color="000000" w:fill="FFFFFF"/>
            <w:noWrap/>
            <w:vAlign w:val="bottom"/>
            <w:hideMark/>
          </w:tcPr>
          <w:p w14:paraId="6F716BA5"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447</w:t>
            </w:r>
          </w:p>
        </w:tc>
      </w:tr>
      <w:tr w:rsidR="00BE450B" w:rsidRPr="00BE450B" w14:paraId="602B4C3D" w14:textId="77777777" w:rsidTr="00BE450B">
        <w:trPr>
          <w:trHeight w:val="300"/>
        </w:trPr>
        <w:tc>
          <w:tcPr>
            <w:tcW w:w="4640" w:type="dxa"/>
            <w:tcBorders>
              <w:top w:val="nil"/>
              <w:left w:val="nil"/>
              <w:bottom w:val="nil"/>
              <w:right w:val="nil"/>
            </w:tcBorders>
            <w:shd w:val="clear" w:color="000000" w:fill="FFFFFF"/>
            <w:noWrap/>
            <w:vAlign w:val="bottom"/>
            <w:hideMark/>
          </w:tcPr>
          <w:p w14:paraId="21FBF75D" w14:textId="3F4FB08E"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xml:space="preserve">Wool </w:t>
            </w:r>
            <w:r w:rsidR="00493F28">
              <w:rPr>
                <w:rFonts w:ascii="Aptos Narrow" w:eastAsia="Times New Roman" w:hAnsi="Aptos Narrow" w:cs="Times New Roman"/>
                <w:color w:val="000000"/>
                <w:sz w:val="18"/>
                <w:szCs w:val="18"/>
                <w:lang w:eastAsia="en-AU"/>
              </w:rPr>
              <w:t>s</w:t>
            </w:r>
            <w:r w:rsidRPr="00BE450B">
              <w:rPr>
                <w:rFonts w:ascii="Aptos Narrow" w:eastAsia="Times New Roman" w:hAnsi="Aptos Narrow" w:cs="Times New Roman"/>
                <w:color w:val="000000"/>
                <w:sz w:val="18"/>
                <w:szCs w:val="18"/>
                <w:lang w:eastAsia="en-AU"/>
              </w:rPr>
              <w:t>heep variable costs ($/ha)</w:t>
            </w:r>
          </w:p>
        </w:tc>
        <w:tc>
          <w:tcPr>
            <w:tcW w:w="1360" w:type="dxa"/>
            <w:tcBorders>
              <w:top w:val="nil"/>
              <w:left w:val="nil"/>
              <w:bottom w:val="nil"/>
              <w:right w:val="nil"/>
            </w:tcBorders>
            <w:shd w:val="clear" w:color="000000" w:fill="FFFFFF"/>
            <w:noWrap/>
            <w:vAlign w:val="bottom"/>
            <w:hideMark/>
          </w:tcPr>
          <w:p w14:paraId="5A4D703E"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379</w:t>
            </w:r>
          </w:p>
        </w:tc>
        <w:tc>
          <w:tcPr>
            <w:tcW w:w="1180" w:type="dxa"/>
            <w:tcBorders>
              <w:top w:val="nil"/>
              <w:left w:val="nil"/>
              <w:bottom w:val="nil"/>
              <w:right w:val="nil"/>
            </w:tcBorders>
            <w:shd w:val="clear" w:color="000000" w:fill="FFFFFF"/>
            <w:noWrap/>
            <w:vAlign w:val="bottom"/>
            <w:hideMark/>
          </w:tcPr>
          <w:p w14:paraId="67D7E2F9" w14:textId="77777777" w:rsidR="00BE450B" w:rsidRPr="00BE450B" w:rsidRDefault="00BE450B" w:rsidP="00BE450B">
            <w:pPr>
              <w:spacing w:after="0" w:line="240" w:lineRule="auto"/>
              <w:jc w:val="center"/>
              <w:rPr>
                <w:rFonts w:ascii="Aptos Narrow" w:eastAsia="Times New Roman" w:hAnsi="Aptos Narrow" w:cs="Times New Roman"/>
                <w:sz w:val="18"/>
                <w:szCs w:val="18"/>
                <w:lang w:eastAsia="en-AU"/>
              </w:rPr>
            </w:pPr>
            <w:r w:rsidRPr="00BE450B">
              <w:rPr>
                <w:rFonts w:ascii="Aptos Narrow" w:eastAsia="Times New Roman" w:hAnsi="Aptos Narrow" w:cs="Times New Roman"/>
                <w:sz w:val="18"/>
                <w:szCs w:val="18"/>
                <w:lang w:eastAsia="en-AU"/>
              </w:rPr>
              <w:t>507</w:t>
            </w:r>
          </w:p>
        </w:tc>
      </w:tr>
      <w:tr w:rsidR="00BE450B" w:rsidRPr="00BE450B" w14:paraId="1A3DB1BB" w14:textId="77777777" w:rsidTr="0042643C">
        <w:trPr>
          <w:trHeight w:val="80"/>
        </w:trPr>
        <w:tc>
          <w:tcPr>
            <w:tcW w:w="4640" w:type="dxa"/>
            <w:tcBorders>
              <w:top w:val="nil"/>
              <w:left w:val="nil"/>
              <w:bottom w:val="nil"/>
              <w:right w:val="nil"/>
            </w:tcBorders>
            <w:shd w:val="clear" w:color="000000" w:fill="FFFFFF"/>
            <w:noWrap/>
            <w:vAlign w:val="bottom"/>
            <w:hideMark/>
          </w:tcPr>
          <w:p w14:paraId="78189B92"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c>
          <w:tcPr>
            <w:tcW w:w="1360" w:type="dxa"/>
            <w:tcBorders>
              <w:top w:val="nil"/>
              <w:left w:val="nil"/>
              <w:bottom w:val="nil"/>
              <w:right w:val="nil"/>
            </w:tcBorders>
            <w:shd w:val="clear" w:color="000000" w:fill="FFFFFF"/>
            <w:noWrap/>
            <w:vAlign w:val="bottom"/>
            <w:hideMark/>
          </w:tcPr>
          <w:p w14:paraId="631520F4"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3C9E26A7"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r>
      <w:tr w:rsidR="00BE450B" w:rsidRPr="00BE450B" w14:paraId="3C2A41B3" w14:textId="77777777" w:rsidTr="00BE450B">
        <w:trPr>
          <w:trHeight w:val="300"/>
        </w:trPr>
        <w:tc>
          <w:tcPr>
            <w:tcW w:w="4640" w:type="dxa"/>
            <w:tcBorders>
              <w:top w:val="nil"/>
              <w:left w:val="nil"/>
              <w:bottom w:val="nil"/>
              <w:right w:val="nil"/>
            </w:tcBorders>
            <w:shd w:val="clear" w:color="000000" w:fill="FFFFFF"/>
            <w:noWrap/>
            <w:vAlign w:val="bottom"/>
            <w:hideMark/>
          </w:tcPr>
          <w:p w14:paraId="4BD81D56" w14:textId="77777777" w:rsidR="00BE450B" w:rsidRPr="00BE450B" w:rsidRDefault="00BE450B" w:rsidP="00BE450B">
            <w:pPr>
              <w:spacing w:after="0" w:line="240" w:lineRule="auto"/>
              <w:rPr>
                <w:rFonts w:ascii="Aptos Narrow" w:eastAsia="Times New Roman" w:hAnsi="Aptos Narrow" w:cs="Times New Roman"/>
                <w:b/>
                <w:bCs/>
                <w:color w:val="000000"/>
                <w:sz w:val="18"/>
                <w:szCs w:val="18"/>
                <w:lang w:eastAsia="en-AU"/>
              </w:rPr>
            </w:pPr>
            <w:r w:rsidRPr="00BE450B">
              <w:rPr>
                <w:rFonts w:ascii="Aptos Narrow" w:eastAsia="Times New Roman" w:hAnsi="Aptos Narrow" w:cs="Times New Roman"/>
                <w:b/>
                <w:bCs/>
                <w:color w:val="000000"/>
                <w:sz w:val="18"/>
                <w:szCs w:val="18"/>
                <w:lang w:eastAsia="en-AU"/>
              </w:rPr>
              <w:t>Production</w:t>
            </w:r>
          </w:p>
        </w:tc>
        <w:tc>
          <w:tcPr>
            <w:tcW w:w="1360" w:type="dxa"/>
            <w:tcBorders>
              <w:top w:val="nil"/>
              <w:left w:val="nil"/>
              <w:bottom w:val="nil"/>
              <w:right w:val="nil"/>
            </w:tcBorders>
            <w:shd w:val="clear" w:color="000000" w:fill="FFFFFF"/>
            <w:noWrap/>
            <w:vAlign w:val="bottom"/>
            <w:hideMark/>
          </w:tcPr>
          <w:p w14:paraId="3CEA543E" w14:textId="77777777" w:rsidR="00BE450B" w:rsidRPr="00BE450B" w:rsidRDefault="00BE450B" w:rsidP="00BE450B">
            <w:pPr>
              <w:spacing w:after="0" w:line="240" w:lineRule="auto"/>
              <w:jc w:val="center"/>
              <w:rPr>
                <w:rFonts w:ascii="Aptos Narrow" w:eastAsia="Times New Roman" w:hAnsi="Aptos Narrow" w:cs="Times New Roman"/>
                <w:b/>
                <w:bCs/>
                <w:sz w:val="18"/>
                <w:szCs w:val="18"/>
                <w:lang w:eastAsia="en-AU"/>
              </w:rPr>
            </w:pPr>
            <w:r w:rsidRPr="00BE450B">
              <w:rPr>
                <w:rFonts w:ascii="Aptos Narrow" w:eastAsia="Times New Roman" w:hAnsi="Aptos Narrow" w:cs="Times New Roman"/>
                <w:b/>
                <w:bCs/>
                <w:sz w:val="18"/>
                <w:szCs w:val="18"/>
                <w:lang w:eastAsia="en-AU"/>
              </w:rPr>
              <w:t> </w:t>
            </w:r>
          </w:p>
        </w:tc>
        <w:tc>
          <w:tcPr>
            <w:tcW w:w="1180" w:type="dxa"/>
            <w:tcBorders>
              <w:top w:val="nil"/>
              <w:left w:val="nil"/>
              <w:bottom w:val="nil"/>
              <w:right w:val="nil"/>
            </w:tcBorders>
            <w:shd w:val="clear" w:color="000000" w:fill="FFFFFF"/>
            <w:noWrap/>
            <w:vAlign w:val="bottom"/>
            <w:hideMark/>
          </w:tcPr>
          <w:p w14:paraId="04AEACDD" w14:textId="77777777" w:rsidR="00BE450B" w:rsidRPr="00BE450B" w:rsidRDefault="00BE450B" w:rsidP="00BE450B">
            <w:pPr>
              <w:spacing w:after="0" w:line="240" w:lineRule="auto"/>
              <w:jc w:val="center"/>
              <w:rPr>
                <w:rFonts w:ascii="Aptos Narrow" w:eastAsia="Times New Roman" w:hAnsi="Aptos Narrow" w:cs="Times New Roman"/>
                <w:b/>
                <w:bCs/>
                <w:sz w:val="18"/>
                <w:szCs w:val="18"/>
                <w:lang w:eastAsia="en-AU"/>
              </w:rPr>
            </w:pPr>
            <w:r w:rsidRPr="00BE450B">
              <w:rPr>
                <w:rFonts w:ascii="Aptos Narrow" w:eastAsia="Times New Roman" w:hAnsi="Aptos Narrow" w:cs="Times New Roman"/>
                <w:b/>
                <w:bCs/>
                <w:sz w:val="18"/>
                <w:szCs w:val="18"/>
                <w:lang w:eastAsia="en-AU"/>
              </w:rPr>
              <w:t> </w:t>
            </w:r>
          </w:p>
        </w:tc>
      </w:tr>
      <w:tr w:rsidR="00BE450B" w:rsidRPr="00BE450B" w14:paraId="7ADFCD7C" w14:textId="77777777" w:rsidTr="00BE450B">
        <w:trPr>
          <w:trHeight w:val="300"/>
        </w:trPr>
        <w:tc>
          <w:tcPr>
            <w:tcW w:w="4640" w:type="dxa"/>
            <w:tcBorders>
              <w:top w:val="nil"/>
              <w:left w:val="nil"/>
              <w:bottom w:val="nil"/>
              <w:right w:val="nil"/>
            </w:tcBorders>
            <w:shd w:val="clear" w:color="000000" w:fill="FFFFFF"/>
            <w:noWrap/>
            <w:vAlign w:val="bottom"/>
            <w:hideMark/>
          </w:tcPr>
          <w:p w14:paraId="3C273855"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xml:space="preserve">Beef sold (kg </w:t>
            </w:r>
            <w:proofErr w:type="spellStart"/>
            <w:r w:rsidRPr="00BE450B">
              <w:rPr>
                <w:rFonts w:ascii="Aptos Narrow" w:eastAsia="Times New Roman" w:hAnsi="Aptos Narrow" w:cs="Times New Roman"/>
                <w:color w:val="000000"/>
                <w:sz w:val="18"/>
                <w:szCs w:val="18"/>
                <w:lang w:eastAsia="en-AU"/>
              </w:rPr>
              <w:t>lwt</w:t>
            </w:r>
            <w:proofErr w:type="spellEnd"/>
            <w:r w:rsidRPr="00BE450B">
              <w:rPr>
                <w:rFonts w:ascii="Aptos Narrow" w:eastAsia="Times New Roman" w:hAnsi="Aptos Narrow" w:cs="Times New Roman"/>
                <w:color w:val="000000"/>
                <w:sz w:val="18"/>
                <w:szCs w:val="18"/>
                <w:lang w:eastAsia="en-AU"/>
              </w:rPr>
              <w:t>/ha)</w:t>
            </w:r>
          </w:p>
        </w:tc>
        <w:tc>
          <w:tcPr>
            <w:tcW w:w="1360" w:type="dxa"/>
            <w:tcBorders>
              <w:top w:val="nil"/>
              <w:left w:val="nil"/>
              <w:bottom w:val="nil"/>
              <w:right w:val="nil"/>
            </w:tcBorders>
            <w:shd w:val="clear" w:color="000000" w:fill="FFFFFF"/>
            <w:noWrap/>
            <w:vAlign w:val="bottom"/>
            <w:hideMark/>
          </w:tcPr>
          <w:p w14:paraId="47A8F995"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287</w:t>
            </w:r>
          </w:p>
        </w:tc>
        <w:tc>
          <w:tcPr>
            <w:tcW w:w="1180" w:type="dxa"/>
            <w:tcBorders>
              <w:top w:val="nil"/>
              <w:left w:val="nil"/>
              <w:bottom w:val="nil"/>
              <w:right w:val="nil"/>
            </w:tcBorders>
            <w:shd w:val="clear" w:color="000000" w:fill="FFFFFF"/>
            <w:noWrap/>
            <w:vAlign w:val="bottom"/>
            <w:hideMark/>
          </w:tcPr>
          <w:p w14:paraId="387BA7C4"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280</w:t>
            </w:r>
          </w:p>
        </w:tc>
      </w:tr>
      <w:tr w:rsidR="00BE450B" w:rsidRPr="00BE450B" w14:paraId="37E9F85F" w14:textId="77777777" w:rsidTr="00BE450B">
        <w:trPr>
          <w:trHeight w:val="300"/>
        </w:trPr>
        <w:tc>
          <w:tcPr>
            <w:tcW w:w="4640" w:type="dxa"/>
            <w:tcBorders>
              <w:top w:val="nil"/>
              <w:left w:val="nil"/>
              <w:bottom w:val="nil"/>
              <w:right w:val="nil"/>
            </w:tcBorders>
            <w:shd w:val="clear" w:color="000000" w:fill="FFFFFF"/>
            <w:noWrap/>
            <w:vAlign w:val="bottom"/>
            <w:hideMark/>
          </w:tcPr>
          <w:p w14:paraId="76DB1298"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Lamb sold (kg cwt/ha)</w:t>
            </w:r>
          </w:p>
        </w:tc>
        <w:tc>
          <w:tcPr>
            <w:tcW w:w="1360" w:type="dxa"/>
            <w:tcBorders>
              <w:top w:val="nil"/>
              <w:left w:val="nil"/>
              <w:bottom w:val="nil"/>
              <w:right w:val="nil"/>
            </w:tcBorders>
            <w:shd w:val="clear" w:color="000000" w:fill="FFFFFF"/>
            <w:noWrap/>
            <w:vAlign w:val="bottom"/>
            <w:hideMark/>
          </w:tcPr>
          <w:p w14:paraId="4D65377F"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132</w:t>
            </w:r>
          </w:p>
        </w:tc>
        <w:tc>
          <w:tcPr>
            <w:tcW w:w="1180" w:type="dxa"/>
            <w:tcBorders>
              <w:top w:val="nil"/>
              <w:left w:val="nil"/>
              <w:bottom w:val="nil"/>
              <w:right w:val="nil"/>
            </w:tcBorders>
            <w:shd w:val="clear" w:color="000000" w:fill="FFFFFF"/>
            <w:noWrap/>
            <w:vAlign w:val="bottom"/>
            <w:hideMark/>
          </w:tcPr>
          <w:p w14:paraId="3F0EDABA" w14:textId="77777777" w:rsidR="00BE450B" w:rsidRPr="00BE450B" w:rsidRDefault="00BE450B" w:rsidP="00BE450B">
            <w:pPr>
              <w:spacing w:after="0" w:line="240" w:lineRule="auto"/>
              <w:jc w:val="center"/>
              <w:rPr>
                <w:rFonts w:ascii="Aptos Narrow" w:eastAsia="Times New Roman" w:hAnsi="Aptos Narrow" w:cs="Times New Roman"/>
                <w:sz w:val="18"/>
                <w:szCs w:val="18"/>
                <w:lang w:eastAsia="en-AU"/>
              </w:rPr>
            </w:pPr>
            <w:r w:rsidRPr="00BE450B">
              <w:rPr>
                <w:rFonts w:ascii="Aptos Narrow" w:eastAsia="Times New Roman" w:hAnsi="Aptos Narrow" w:cs="Times New Roman"/>
                <w:sz w:val="18"/>
                <w:szCs w:val="18"/>
                <w:lang w:eastAsia="en-AU"/>
              </w:rPr>
              <w:t>108</w:t>
            </w:r>
          </w:p>
        </w:tc>
      </w:tr>
      <w:tr w:rsidR="00BE450B" w:rsidRPr="00BE450B" w14:paraId="58564941" w14:textId="77777777" w:rsidTr="00BE450B">
        <w:trPr>
          <w:trHeight w:val="285"/>
        </w:trPr>
        <w:tc>
          <w:tcPr>
            <w:tcW w:w="4640" w:type="dxa"/>
            <w:tcBorders>
              <w:top w:val="nil"/>
              <w:left w:val="nil"/>
              <w:bottom w:val="nil"/>
              <w:right w:val="nil"/>
            </w:tcBorders>
            <w:shd w:val="clear" w:color="000000" w:fill="FFFFFF"/>
            <w:noWrap/>
            <w:vAlign w:val="bottom"/>
            <w:hideMark/>
          </w:tcPr>
          <w:p w14:paraId="25EA3672"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Wool sheep wool cut (kg Gr./ha)</w:t>
            </w:r>
          </w:p>
        </w:tc>
        <w:tc>
          <w:tcPr>
            <w:tcW w:w="1360" w:type="dxa"/>
            <w:tcBorders>
              <w:top w:val="nil"/>
              <w:left w:val="nil"/>
              <w:bottom w:val="nil"/>
              <w:right w:val="nil"/>
            </w:tcBorders>
            <w:shd w:val="clear" w:color="000000" w:fill="FFFFFF"/>
            <w:noWrap/>
            <w:vAlign w:val="bottom"/>
            <w:hideMark/>
          </w:tcPr>
          <w:p w14:paraId="25377667"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39</w:t>
            </w:r>
          </w:p>
        </w:tc>
        <w:tc>
          <w:tcPr>
            <w:tcW w:w="1180" w:type="dxa"/>
            <w:tcBorders>
              <w:top w:val="nil"/>
              <w:left w:val="nil"/>
              <w:bottom w:val="nil"/>
              <w:right w:val="nil"/>
            </w:tcBorders>
            <w:shd w:val="clear" w:color="000000" w:fill="FFFFFF"/>
            <w:noWrap/>
            <w:vAlign w:val="bottom"/>
            <w:hideMark/>
          </w:tcPr>
          <w:p w14:paraId="5BC60FBA" w14:textId="77777777" w:rsidR="00BE450B" w:rsidRPr="00BE450B" w:rsidRDefault="00BE450B" w:rsidP="00BE450B">
            <w:pPr>
              <w:spacing w:after="0" w:line="240" w:lineRule="auto"/>
              <w:jc w:val="center"/>
              <w:rPr>
                <w:rFonts w:ascii="Aptos Narrow" w:eastAsia="Times New Roman" w:hAnsi="Aptos Narrow" w:cs="Times New Roman"/>
                <w:sz w:val="18"/>
                <w:szCs w:val="18"/>
                <w:lang w:eastAsia="en-AU"/>
              </w:rPr>
            </w:pPr>
            <w:r w:rsidRPr="00BE450B">
              <w:rPr>
                <w:rFonts w:ascii="Aptos Narrow" w:eastAsia="Times New Roman" w:hAnsi="Aptos Narrow" w:cs="Times New Roman"/>
                <w:sz w:val="18"/>
                <w:szCs w:val="18"/>
                <w:lang w:eastAsia="en-AU"/>
              </w:rPr>
              <w:t>43</w:t>
            </w:r>
          </w:p>
        </w:tc>
      </w:tr>
      <w:tr w:rsidR="00BE450B" w:rsidRPr="00BE450B" w14:paraId="7C10BFF2" w14:textId="77777777" w:rsidTr="0042643C">
        <w:trPr>
          <w:trHeight w:val="148"/>
        </w:trPr>
        <w:tc>
          <w:tcPr>
            <w:tcW w:w="4640" w:type="dxa"/>
            <w:tcBorders>
              <w:top w:val="nil"/>
              <w:left w:val="nil"/>
              <w:bottom w:val="nil"/>
              <w:right w:val="nil"/>
            </w:tcBorders>
            <w:shd w:val="clear" w:color="000000" w:fill="FFFFFF"/>
            <w:noWrap/>
            <w:vAlign w:val="bottom"/>
            <w:hideMark/>
          </w:tcPr>
          <w:p w14:paraId="01453808" w14:textId="77777777" w:rsidR="00BE450B" w:rsidRPr="00BE450B" w:rsidRDefault="00BE450B" w:rsidP="00BE450B">
            <w:pPr>
              <w:spacing w:after="0" w:line="240" w:lineRule="auto"/>
              <w:rPr>
                <w:rFonts w:ascii="Aptos Narrow" w:eastAsia="Times New Roman" w:hAnsi="Aptos Narrow" w:cs="Times New Roman"/>
                <w:color w:val="FF0000"/>
                <w:sz w:val="18"/>
                <w:szCs w:val="18"/>
                <w:lang w:eastAsia="en-AU"/>
              </w:rPr>
            </w:pPr>
            <w:r w:rsidRPr="00BE450B">
              <w:rPr>
                <w:rFonts w:ascii="Aptos Narrow" w:eastAsia="Times New Roman" w:hAnsi="Aptos Narrow" w:cs="Times New Roman"/>
                <w:color w:val="FF0000"/>
                <w:sz w:val="18"/>
                <w:szCs w:val="18"/>
                <w:lang w:eastAsia="en-AU"/>
              </w:rPr>
              <w:t> </w:t>
            </w:r>
          </w:p>
        </w:tc>
        <w:tc>
          <w:tcPr>
            <w:tcW w:w="1360" w:type="dxa"/>
            <w:tcBorders>
              <w:top w:val="nil"/>
              <w:left w:val="nil"/>
              <w:bottom w:val="nil"/>
              <w:right w:val="nil"/>
            </w:tcBorders>
            <w:shd w:val="clear" w:color="000000" w:fill="FFFFFF"/>
            <w:noWrap/>
            <w:vAlign w:val="bottom"/>
            <w:hideMark/>
          </w:tcPr>
          <w:p w14:paraId="57833038" w14:textId="77777777" w:rsidR="00BE450B" w:rsidRPr="00BE450B" w:rsidRDefault="00BE450B" w:rsidP="00BE450B">
            <w:pPr>
              <w:spacing w:after="0" w:line="240" w:lineRule="auto"/>
              <w:jc w:val="center"/>
              <w:rPr>
                <w:rFonts w:ascii="Aptos Narrow" w:eastAsia="Times New Roman" w:hAnsi="Aptos Narrow" w:cs="Times New Roman"/>
                <w:color w:val="FF0000"/>
                <w:sz w:val="18"/>
                <w:szCs w:val="18"/>
                <w:lang w:eastAsia="en-AU"/>
              </w:rPr>
            </w:pPr>
            <w:r w:rsidRPr="00BE450B">
              <w:rPr>
                <w:rFonts w:ascii="Aptos Narrow" w:eastAsia="Times New Roman" w:hAnsi="Aptos Narrow" w:cs="Times New Roman"/>
                <w:color w:val="FF0000"/>
                <w:sz w:val="18"/>
                <w:szCs w:val="18"/>
                <w:lang w:eastAsia="en-AU"/>
              </w:rPr>
              <w:t> </w:t>
            </w:r>
          </w:p>
        </w:tc>
        <w:tc>
          <w:tcPr>
            <w:tcW w:w="1180" w:type="dxa"/>
            <w:tcBorders>
              <w:top w:val="nil"/>
              <w:left w:val="nil"/>
              <w:bottom w:val="nil"/>
              <w:right w:val="nil"/>
            </w:tcBorders>
            <w:shd w:val="clear" w:color="000000" w:fill="FFFFFF"/>
            <w:noWrap/>
            <w:vAlign w:val="bottom"/>
            <w:hideMark/>
          </w:tcPr>
          <w:p w14:paraId="5EDDBFB7" w14:textId="77777777" w:rsidR="00BE450B" w:rsidRPr="00BE450B" w:rsidRDefault="00BE450B" w:rsidP="00BE450B">
            <w:pPr>
              <w:spacing w:after="0" w:line="240" w:lineRule="auto"/>
              <w:jc w:val="center"/>
              <w:rPr>
                <w:rFonts w:ascii="Aptos Narrow" w:eastAsia="Times New Roman" w:hAnsi="Aptos Narrow" w:cs="Times New Roman"/>
                <w:color w:val="FF0000"/>
                <w:sz w:val="18"/>
                <w:szCs w:val="18"/>
                <w:lang w:eastAsia="en-AU"/>
              </w:rPr>
            </w:pPr>
            <w:r w:rsidRPr="00BE450B">
              <w:rPr>
                <w:rFonts w:ascii="Aptos Narrow" w:eastAsia="Times New Roman" w:hAnsi="Aptos Narrow" w:cs="Times New Roman"/>
                <w:color w:val="FF0000"/>
                <w:sz w:val="18"/>
                <w:szCs w:val="18"/>
                <w:lang w:eastAsia="en-AU"/>
              </w:rPr>
              <w:t> </w:t>
            </w:r>
          </w:p>
        </w:tc>
      </w:tr>
      <w:tr w:rsidR="00BE450B" w:rsidRPr="00BE450B" w14:paraId="730C9A14" w14:textId="77777777" w:rsidTr="00BE450B">
        <w:trPr>
          <w:trHeight w:val="285"/>
        </w:trPr>
        <w:tc>
          <w:tcPr>
            <w:tcW w:w="4640" w:type="dxa"/>
            <w:tcBorders>
              <w:top w:val="nil"/>
              <w:left w:val="nil"/>
              <w:bottom w:val="nil"/>
              <w:right w:val="nil"/>
            </w:tcBorders>
            <w:shd w:val="clear" w:color="000000" w:fill="FFFFFF"/>
            <w:noWrap/>
            <w:vAlign w:val="bottom"/>
            <w:hideMark/>
          </w:tcPr>
          <w:p w14:paraId="29A09968" w14:textId="77777777" w:rsidR="00BE450B" w:rsidRPr="00BE450B" w:rsidRDefault="00BE450B" w:rsidP="00BE450B">
            <w:pPr>
              <w:spacing w:after="0" w:line="240" w:lineRule="auto"/>
              <w:rPr>
                <w:rFonts w:ascii="Aptos Narrow" w:eastAsia="Times New Roman" w:hAnsi="Aptos Narrow" w:cs="Times New Roman"/>
                <w:b/>
                <w:bCs/>
                <w:color w:val="000000"/>
                <w:sz w:val="18"/>
                <w:szCs w:val="18"/>
                <w:lang w:eastAsia="en-AU"/>
              </w:rPr>
            </w:pPr>
            <w:r w:rsidRPr="00BE450B">
              <w:rPr>
                <w:rFonts w:ascii="Aptos Narrow" w:eastAsia="Times New Roman" w:hAnsi="Aptos Narrow" w:cs="Times New Roman"/>
                <w:b/>
                <w:bCs/>
                <w:color w:val="000000"/>
                <w:sz w:val="18"/>
                <w:szCs w:val="18"/>
                <w:lang w:eastAsia="en-AU"/>
              </w:rPr>
              <w:t>Labour</w:t>
            </w:r>
          </w:p>
        </w:tc>
        <w:tc>
          <w:tcPr>
            <w:tcW w:w="1360" w:type="dxa"/>
            <w:tcBorders>
              <w:top w:val="nil"/>
              <w:left w:val="nil"/>
              <w:bottom w:val="nil"/>
              <w:right w:val="nil"/>
            </w:tcBorders>
            <w:shd w:val="clear" w:color="000000" w:fill="FFFFFF"/>
            <w:noWrap/>
            <w:vAlign w:val="bottom"/>
            <w:hideMark/>
          </w:tcPr>
          <w:p w14:paraId="1129F33D" w14:textId="77777777" w:rsidR="00BE450B" w:rsidRPr="00BE450B" w:rsidRDefault="00BE450B" w:rsidP="00BE450B">
            <w:pPr>
              <w:spacing w:after="0" w:line="240" w:lineRule="auto"/>
              <w:jc w:val="center"/>
              <w:rPr>
                <w:rFonts w:ascii="Aptos Narrow" w:eastAsia="Times New Roman" w:hAnsi="Aptos Narrow" w:cs="Times New Roman"/>
                <w:color w:val="FF0000"/>
                <w:sz w:val="18"/>
                <w:szCs w:val="18"/>
                <w:lang w:eastAsia="en-AU"/>
              </w:rPr>
            </w:pPr>
            <w:r w:rsidRPr="00BE450B">
              <w:rPr>
                <w:rFonts w:ascii="Aptos Narrow" w:eastAsia="Times New Roman" w:hAnsi="Aptos Narrow" w:cs="Times New Roman"/>
                <w:color w:val="FF0000"/>
                <w:sz w:val="18"/>
                <w:szCs w:val="18"/>
                <w:lang w:eastAsia="en-AU"/>
              </w:rPr>
              <w:t> </w:t>
            </w:r>
          </w:p>
        </w:tc>
        <w:tc>
          <w:tcPr>
            <w:tcW w:w="1180" w:type="dxa"/>
            <w:tcBorders>
              <w:top w:val="nil"/>
              <w:left w:val="nil"/>
              <w:bottom w:val="nil"/>
              <w:right w:val="nil"/>
            </w:tcBorders>
            <w:shd w:val="clear" w:color="000000" w:fill="FFFFFF"/>
            <w:noWrap/>
            <w:vAlign w:val="bottom"/>
            <w:hideMark/>
          </w:tcPr>
          <w:p w14:paraId="11653771" w14:textId="77777777" w:rsidR="00BE450B" w:rsidRPr="00BE450B" w:rsidRDefault="00BE450B" w:rsidP="00BE450B">
            <w:pPr>
              <w:spacing w:after="0" w:line="240" w:lineRule="auto"/>
              <w:jc w:val="center"/>
              <w:rPr>
                <w:rFonts w:ascii="Aptos Narrow" w:eastAsia="Times New Roman" w:hAnsi="Aptos Narrow" w:cs="Times New Roman"/>
                <w:color w:val="FF0000"/>
                <w:sz w:val="18"/>
                <w:szCs w:val="18"/>
                <w:lang w:eastAsia="en-AU"/>
              </w:rPr>
            </w:pPr>
            <w:r w:rsidRPr="00BE450B">
              <w:rPr>
                <w:rFonts w:ascii="Aptos Narrow" w:eastAsia="Times New Roman" w:hAnsi="Aptos Narrow" w:cs="Times New Roman"/>
                <w:color w:val="FF0000"/>
                <w:sz w:val="18"/>
                <w:szCs w:val="18"/>
                <w:lang w:eastAsia="en-AU"/>
              </w:rPr>
              <w:t> </w:t>
            </w:r>
          </w:p>
        </w:tc>
      </w:tr>
      <w:tr w:rsidR="00BE450B" w:rsidRPr="00BE450B" w14:paraId="5ACE4EB0" w14:textId="77777777" w:rsidTr="00BE450B">
        <w:trPr>
          <w:trHeight w:val="300"/>
        </w:trPr>
        <w:tc>
          <w:tcPr>
            <w:tcW w:w="4640" w:type="dxa"/>
            <w:tcBorders>
              <w:top w:val="nil"/>
              <w:left w:val="nil"/>
              <w:bottom w:val="nil"/>
              <w:right w:val="nil"/>
            </w:tcBorders>
            <w:shd w:val="clear" w:color="000000" w:fill="FFFFFF"/>
            <w:noWrap/>
            <w:vAlign w:val="bottom"/>
            <w:hideMark/>
          </w:tcPr>
          <w:p w14:paraId="7A1AE94A"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Labour use efficiency (ha/FTE)</w:t>
            </w:r>
          </w:p>
        </w:tc>
        <w:tc>
          <w:tcPr>
            <w:tcW w:w="1360" w:type="dxa"/>
            <w:tcBorders>
              <w:top w:val="nil"/>
              <w:left w:val="nil"/>
              <w:bottom w:val="nil"/>
              <w:right w:val="nil"/>
            </w:tcBorders>
            <w:shd w:val="clear" w:color="000000" w:fill="FFFFFF"/>
            <w:noWrap/>
            <w:vAlign w:val="bottom"/>
            <w:hideMark/>
          </w:tcPr>
          <w:p w14:paraId="7574AA51"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406</w:t>
            </w:r>
          </w:p>
        </w:tc>
        <w:tc>
          <w:tcPr>
            <w:tcW w:w="1180" w:type="dxa"/>
            <w:tcBorders>
              <w:top w:val="nil"/>
              <w:left w:val="nil"/>
              <w:bottom w:val="nil"/>
              <w:right w:val="nil"/>
            </w:tcBorders>
            <w:shd w:val="clear" w:color="000000" w:fill="FFFFFF"/>
            <w:noWrap/>
            <w:vAlign w:val="bottom"/>
            <w:hideMark/>
          </w:tcPr>
          <w:p w14:paraId="17B6CC74"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388</w:t>
            </w:r>
          </w:p>
        </w:tc>
      </w:tr>
      <w:tr w:rsidR="00BE450B" w:rsidRPr="00BE450B" w14:paraId="1727CDDD" w14:textId="77777777" w:rsidTr="00BE450B">
        <w:trPr>
          <w:trHeight w:val="300"/>
        </w:trPr>
        <w:tc>
          <w:tcPr>
            <w:tcW w:w="4640" w:type="dxa"/>
            <w:tcBorders>
              <w:top w:val="nil"/>
              <w:left w:val="nil"/>
              <w:bottom w:val="nil"/>
              <w:right w:val="nil"/>
            </w:tcBorders>
            <w:shd w:val="clear" w:color="000000" w:fill="FFFFFF"/>
            <w:noWrap/>
            <w:vAlign w:val="bottom"/>
            <w:hideMark/>
          </w:tcPr>
          <w:p w14:paraId="37AD99E5"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Labour use efficiency (DSE/FTE)</w:t>
            </w:r>
          </w:p>
        </w:tc>
        <w:tc>
          <w:tcPr>
            <w:tcW w:w="1360" w:type="dxa"/>
            <w:tcBorders>
              <w:top w:val="nil"/>
              <w:left w:val="nil"/>
              <w:bottom w:val="nil"/>
              <w:right w:val="nil"/>
            </w:tcBorders>
            <w:shd w:val="clear" w:color="000000" w:fill="FFFFFF"/>
            <w:noWrap/>
            <w:vAlign w:val="bottom"/>
            <w:hideMark/>
          </w:tcPr>
          <w:p w14:paraId="19F5A582"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4,695</w:t>
            </w:r>
          </w:p>
        </w:tc>
        <w:tc>
          <w:tcPr>
            <w:tcW w:w="1180" w:type="dxa"/>
            <w:tcBorders>
              <w:top w:val="nil"/>
              <w:left w:val="nil"/>
              <w:bottom w:val="nil"/>
              <w:right w:val="nil"/>
            </w:tcBorders>
            <w:shd w:val="clear" w:color="000000" w:fill="FFFFFF"/>
            <w:noWrap/>
            <w:vAlign w:val="bottom"/>
            <w:hideMark/>
          </w:tcPr>
          <w:p w14:paraId="7FDB325B" w14:textId="77777777" w:rsidR="00BE450B" w:rsidRPr="00BE450B" w:rsidRDefault="00BE450B" w:rsidP="00BE450B">
            <w:pPr>
              <w:spacing w:after="0" w:line="240" w:lineRule="auto"/>
              <w:jc w:val="center"/>
              <w:rPr>
                <w:rFonts w:ascii="Aptos Narrow" w:eastAsia="Times New Roman" w:hAnsi="Aptos Narrow" w:cs="Times New Roman"/>
                <w:sz w:val="18"/>
                <w:szCs w:val="18"/>
                <w:lang w:eastAsia="en-AU"/>
              </w:rPr>
            </w:pPr>
            <w:r w:rsidRPr="00BE450B">
              <w:rPr>
                <w:rFonts w:ascii="Aptos Narrow" w:eastAsia="Times New Roman" w:hAnsi="Aptos Narrow" w:cs="Times New Roman"/>
                <w:sz w:val="18"/>
                <w:szCs w:val="18"/>
                <w:lang w:eastAsia="en-AU"/>
              </w:rPr>
              <w:t>4,453</w:t>
            </w:r>
          </w:p>
        </w:tc>
      </w:tr>
      <w:tr w:rsidR="00BE450B" w:rsidRPr="00BE450B" w14:paraId="55A1A24B" w14:textId="77777777" w:rsidTr="0042643C">
        <w:trPr>
          <w:trHeight w:val="97"/>
        </w:trPr>
        <w:tc>
          <w:tcPr>
            <w:tcW w:w="4640" w:type="dxa"/>
            <w:tcBorders>
              <w:top w:val="nil"/>
              <w:left w:val="nil"/>
              <w:bottom w:val="nil"/>
              <w:right w:val="nil"/>
            </w:tcBorders>
            <w:shd w:val="clear" w:color="000000" w:fill="FFFFFF"/>
            <w:noWrap/>
            <w:vAlign w:val="bottom"/>
            <w:hideMark/>
          </w:tcPr>
          <w:p w14:paraId="6D11540D"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c>
          <w:tcPr>
            <w:tcW w:w="1360" w:type="dxa"/>
            <w:tcBorders>
              <w:top w:val="nil"/>
              <w:left w:val="nil"/>
              <w:bottom w:val="nil"/>
              <w:right w:val="nil"/>
            </w:tcBorders>
            <w:shd w:val="clear" w:color="000000" w:fill="FFFFFF"/>
            <w:noWrap/>
            <w:vAlign w:val="bottom"/>
            <w:hideMark/>
          </w:tcPr>
          <w:p w14:paraId="4CD25C7A"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3D328192"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r>
      <w:tr w:rsidR="00BE450B" w:rsidRPr="00BE450B" w14:paraId="2B51C4C2" w14:textId="77777777" w:rsidTr="00BE450B">
        <w:trPr>
          <w:trHeight w:val="300"/>
        </w:trPr>
        <w:tc>
          <w:tcPr>
            <w:tcW w:w="4640" w:type="dxa"/>
            <w:tcBorders>
              <w:top w:val="nil"/>
              <w:left w:val="nil"/>
              <w:bottom w:val="nil"/>
              <w:right w:val="nil"/>
            </w:tcBorders>
            <w:shd w:val="clear" w:color="000000" w:fill="FFFFFF"/>
            <w:noWrap/>
            <w:vAlign w:val="bottom"/>
            <w:hideMark/>
          </w:tcPr>
          <w:p w14:paraId="34DBF26F" w14:textId="77777777" w:rsidR="00BE450B" w:rsidRPr="00BE450B" w:rsidRDefault="00BE450B" w:rsidP="00BE450B">
            <w:pPr>
              <w:spacing w:after="0" w:line="240" w:lineRule="auto"/>
              <w:rPr>
                <w:rFonts w:ascii="Aptos Narrow" w:eastAsia="Times New Roman" w:hAnsi="Aptos Narrow" w:cs="Times New Roman"/>
                <w:b/>
                <w:bCs/>
                <w:color w:val="000000"/>
                <w:sz w:val="18"/>
                <w:szCs w:val="18"/>
                <w:lang w:eastAsia="en-AU"/>
              </w:rPr>
            </w:pPr>
            <w:r w:rsidRPr="00BE450B">
              <w:rPr>
                <w:rFonts w:ascii="Aptos Narrow" w:eastAsia="Times New Roman" w:hAnsi="Aptos Narrow" w:cs="Times New Roman"/>
                <w:b/>
                <w:bCs/>
                <w:color w:val="000000"/>
                <w:sz w:val="18"/>
                <w:szCs w:val="18"/>
                <w:lang w:eastAsia="en-AU"/>
              </w:rPr>
              <w:t>Nutrient application</w:t>
            </w:r>
          </w:p>
        </w:tc>
        <w:tc>
          <w:tcPr>
            <w:tcW w:w="1360" w:type="dxa"/>
            <w:tcBorders>
              <w:top w:val="nil"/>
              <w:left w:val="nil"/>
              <w:bottom w:val="nil"/>
              <w:right w:val="nil"/>
            </w:tcBorders>
            <w:shd w:val="clear" w:color="000000" w:fill="FFFFFF"/>
            <w:noWrap/>
            <w:vAlign w:val="bottom"/>
            <w:hideMark/>
          </w:tcPr>
          <w:p w14:paraId="74F06855"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45DF872E"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r>
      <w:tr w:rsidR="00BE450B" w:rsidRPr="00BE450B" w14:paraId="6E1E9E10" w14:textId="77777777" w:rsidTr="00BE450B">
        <w:trPr>
          <w:trHeight w:val="300"/>
        </w:trPr>
        <w:tc>
          <w:tcPr>
            <w:tcW w:w="4640" w:type="dxa"/>
            <w:tcBorders>
              <w:top w:val="nil"/>
              <w:left w:val="nil"/>
              <w:bottom w:val="nil"/>
              <w:right w:val="nil"/>
            </w:tcBorders>
            <w:shd w:val="clear" w:color="000000" w:fill="FFFFFF"/>
            <w:noWrap/>
            <w:vAlign w:val="bottom"/>
            <w:hideMark/>
          </w:tcPr>
          <w:p w14:paraId="7AF6002B"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Phosphorus applied to pasture (kg/ha)</w:t>
            </w:r>
          </w:p>
        </w:tc>
        <w:tc>
          <w:tcPr>
            <w:tcW w:w="1360" w:type="dxa"/>
            <w:tcBorders>
              <w:top w:val="nil"/>
              <w:left w:val="nil"/>
              <w:bottom w:val="nil"/>
              <w:right w:val="nil"/>
            </w:tcBorders>
            <w:shd w:val="clear" w:color="000000" w:fill="FFFFFF"/>
            <w:noWrap/>
            <w:vAlign w:val="bottom"/>
            <w:hideMark/>
          </w:tcPr>
          <w:p w14:paraId="4A716C94"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9</w:t>
            </w:r>
          </w:p>
        </w:tc>
        <w:tc>
          <w:tcPr>
            <w:tcW w:w="1180" w:type="dxa"/>
            <w:tcBorders>
              <w:top w:val="nil"/>
              <w:left w:val="nil"/>
              <w:bottom w:val="nil"/>
              <w:right w:val="nil"/>
            </w:tcBorders>
            <w:shd w:val="clear" w:color="000000" w:fill="FFFFFF"/>
            <w:noWrap/>
            <w:vAlign w:val="bottom"/>
            <w:hideMark/>
          </w:tcPr>
          <w:p w14:paraId="7C5F4673"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7</w:t>
            </w:r>
          </w:p>
        </w:tc>
      </w:tr>
      <w:tr w:rsidR="00BE450B" w:rsidRPr="00BE450B" w14:paraId="7301B7D5" w14:textId="77777777" w:rsidTr="00BE450B">
        <w:trPr>
          <w:trHeight w:val="300"/>
        </w:trPr>
        <w:tc>
          <w:tcPr>
            <w:tcW w:w="4640" w:type="dxa"/>
            <w:tcBorders>
              <w:top w:val="nil"/>
              <w:left w:val="nil"/>
              <w:bottom w:val="nil"/>
              <w:right w:val="nil"/>
            </w:tcBorders>
            <w:shd w:val="clear" w:color="000000" w:fill="FFFFFF"/>
            <w:noWrap/>
            <w:vAlign w:val="bottom"/>
            <w:hideMark/>
          </w:tcPr>
          <w:p w14:paraId="27A2C86C"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Phosphorus applied to pasture (kg/DSE)</w:t>
            </w:r>
          </w:p>
        </w:tc>
        <w:tc>
          <w:tcPr>
            <w:tcW w:w="1360" w:type="dxa"/>
            <w:tcBorders>
              <w:top w:val="nil"/>
              <w:left w:val="nil"/>
              <w:bottom w:val="nil"/>
              <w:right w:val="nil"/>
            </w:tcBorders>
            <w:shd w:val="clear" w:color="000000" w:fill="FFFFFF"/>
            <w:noWrap/>
            <w:vAlign w:val="bottom"/>
            <w:hideMark/>
          </w:tcPr>
          <w:p w14:paraId="2AEF8D69"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0.6</w:t>
            </w:r>
          </w:p>
        </w:tc>
        <w:tc>
          <w:tcPr>
            <w:tcW w:w="1180" w:type="dxa"/>
            <w:tcBorders>
              <w:top w:val="nil"/>
              <w:left w:val="nil"/>
              <w:bottom w:val="nil"/>
              <w:right w:val="nil"/>
            </w:tcBorders>
            <w:shd w:val="clear" w:color="000000" w:fill="FFFFFF"/>
            <w:noWrap/>
            <w:vAlign w:val="bottom"/>
            <w:hideMark/>
          </w:tcPr>
          <w:p w14:paraId="4310B522"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0.5</w:t>
            </w:r>
          </w:p>
        </w:tc>
      </w:tr>
      <w:tr w:rsidR="00BE450B" w:rsidRPr="00BE450B" w14:paraId="65647994" w14:textId="77777777" w:rsidTr="0042643C">
        <w:trPr>
          <w:trHeight w:val="171"/>
        </w:trPr>
        <w:tc>
          <w:tcPr>
            <w:tcW w:w="4640" w:type="dxa"/>
            <w:tcBorders>
              <w:top w:val="nil"/>
              <w:left w:val="nil"/>
              <w:bottom w:val="nil"/>
              <w:right w:val="nil"/>
            </w:tcBorders>
            <w:shd w:val="clear" w:color="000000" w:fill="FFFFFF"/>
            <w:noWrap/>
            <w:vAlign w:val="bottom"/>
            <w:hideMark/>
          </w:tcPr>
          <w:p w14:paraId="23F66875"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c>
          <w:tcPr>
            <w:tcW w:w="1360" w:type="dxa"/>
            <w:tcBorders>
              <w:top w:val="nil"/>
              <w:left w:val="nil"/>
              <w:bottom w:val="nil"/>
              <w:right w:val="nil"/>
            </w:tcBorders>
            <w:shd w:val="clear" w:color="000000" w:fill="FFFFFF"/>
            <w:noWrap/>
            <w:vAlign w:val="bottom"/>
            <w:hideMark/>
          </w:tcPr>
          <w:p w14:paraId="3F121091"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33127021"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r>
      <w:tr w:rsidR="00BE450B" w:rsidRPr="00BE450B" w14:paraId="52D675B5" w14:textId="77777777" w:rsidTr="00BE450B">
        <w:trPr>
          <w:trHeight w:val="300"/>
        </w:trPr>
        <w:tc>
          <w:tcPr>
            <w:tcW w:w="4640" w:type="dxa"/>
            <w:tcBorders>
              <w:top w:val="nil"/>
              <w:left w:val="nil"/>
              <w:bottom w:val="nil"/>
              <w:right w:val="nil"/>
            </w:tcBorders>
            <w:shd w:val="clear" w:color="000000" w:fill="FFFFFF"/>
            <w:noWrap/>
            <w:vAlign w:val="bottom"/>
            <w:hideMark/>
          </w:tcPr>
          <w:p w14:paraId="5A990991" w14:textId="77777777" w:rsidR="00BE450B" w:rsidRPr="00BE450B" w:rsidRDefault="00BE450B" w:rsidP="00BE450B">
            <w:pPr>
              <w:spacing w:after="0" w:line="240" w:lineRule="auto"/>
              <w:rPr>
                <w:rFonts w:ascii="Aptos Narrow" w:eastAsia="Times New Roman" w:hAnsi="Aptos Narrow" w:cs="Times New Roman"/>
                <w:b/>
                <w:bCs/>
                <w:color w:val="000000"/>
                <w:sz w:val="18"/>
                <w:szCs w:val="18"/>
                <w:lang w:eastAsia="en-AU"/>
              </w:rPr>
            </w:pPr>
            <w:r w:rsidRPr="00BE450B">
              <w:rPr>
                <w:rFonts w:ascii="Aptos Narrow" w:eastAsia="Times New Roman" w:hAnsi="Aptos Narrow" w:cs="Times New Roman"/>
                <w:b/>
                <w:bCs/>
                <w:color w:val="000000"/>
                <w:sz w:val="18"/>
                <w:szCs w:val="18"/>
                <w:lang w:eastAsia="en-AU"/>
              </w:rPr>
              <w:t>Business structure</w:t>
            </w:r>
          </w:p>
        </w:tc>
        <w:tc>
          <w:tcPr>
            <w:tcW w:w="1360" w:type="dxa"/>
            <w:tcBorders>
              <w:top w:val="nil"/>
              <w:left w:val="nil"/>
              <w:bottom w:val="nil"/>
              <w:right w:val="nil"/>
            </w:tcBorders>
            <w:shd w:val="clear" w:color="000000" w:fill="FFFFFF"/>
            <w:noWrap/>
            <w:vAlign w:val="bottom"/>
            <w:hideMark/>
          </w:tcPr>
          <w:p w14:paraId="3C10E19C"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6EABE0A8"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r>
      <w:tr w:rsidR="00BE450B" w:rsidRPr="00BE450B" w14:paraId="5BD4E705" w14:textId="77777777" w:rsidTr="00BE450B">
        <w:trPr>
          <w:trHeight w:val="300"/>
        </w:trPr>
        <w:tc>
          <w:tcPr>
            <w:tcW w:w="4640" w:type="dxa"/>
            <w:tcBorders>
              <w:top w:val="nil"/>
              <w:left w:val="nil"/>
              <w:bottom w:val="nil"/>
              <w:right w:val="nil"/>
            </w:tcBorders>
            <w:shd w:val="clear" w:color="000000" w:fill="FFFFFF"/>
            <w:noWrap/>
            <w:vAlign w:val="bottom"/>
            <w:hideMark/>
          </w:tcPr>
          <w:p w14:paraId="086E7128"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Total assets managed ($/ha)</w:t>
            </w:r>
          </w:p>
        </w:tc>
        <w:tc>
          <w:tcPr>
            <w:tcW w:w="1360" w:type="dxa"/>
            <w:tcBorders>
              <w:top w:val="nil"/>
              <w:left w:val="nil"/>
              <w:bottom w:val="nil"/>
              <w:right w:val="nil"/>
            </w:tcBorders>
            <w:shd w:val="clear" w:color="000000" w:fill="FFFFFF"/>
            <w:noWrap/>
            <w:vAlign w:val="bottom"/>
            <w:hideMark/>
          </w:tcPr>
          <w:p w14:paraId="0FF7BB30"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19,135</w:t>
            </w:r>
          </w:p>
        </w:tc>
        <w:tc>
          <w:tcPr>
            <w:tcW w:w="1180" w:type="dxa"/>
            <w:tcBorders>
              <w:top w:val="nil"/>
              <w:left w:val="nil"/>
              <w:bottom w:val="nil"/>
              <w:right w:val="nil"/>
            </w:tcBorders>
            <w:shd w:val="clear" w:color="000000" w:fill="FFFFFF"/>
            <w:noWrap/>
            <w:vAlign w:val="bottom"/>
            <w:hideMark/>
          </w:tcPr>
          <w:p w14:paraId="2DD4E7FF"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21,378</w:t>
            </w:r>
          </w:p>
        </w:tc>
      </w:tr>
      <w:tr w:rsidR="00BE450B" w:rsidRPr="00BE450B" w14:paraId="551E0790" w14:textId="77777777" w:rsidTr="00BE450B">
        <w:trPr>
          <w:trHeight w:val="300"/>
        </w:trPr>
        <w:tc>
          <w:tcPr>
            <w:tcW w:w="4640" w:type="dxa"/>
            <w:tcBorders>
              <w:top w:val="nil"/>
              <w:left w:val="nil"/>
              <w:bottom w:val="nil"/>
              <w:right w:val="nil"/>
            </w:tcBorders>
            <w:shd w:val="clear" w:color="000000" w:fill="FFFFFF"/>
            <w:noWrap/>
            <w:vAlign w:val="bottom"/>
            <w:hideMark/>
          </w:tcPr>
          <w:p w14:paraId="11AF8C4D"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Total debt ($/ha)</w:t>
            </w:r>
          </w:p>
        </w:tc>
        <w:tc>
          <w:tcPr>
            <w:tcW w:w="1360" w:type="dxa"/>
            <w:tcBorders>
              <w:top w:val="nil"/>
              <w:left w:val="nil"/>
              <w:bottom w:val="nil"/>
              <w:right w:val="nil"/>
            </w:tcBorders>
            <w:shd w:val="clear" w:color="000000" w:fill="FFFFFF"/>
            <w:noWrap/>
            <w:vAlign w:val="bottom"/>
            <w:hideMark/>
          </w:tcPr>
          <w:p w14:paraId="16A62584"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1,514</w:t>
            </w:r>
          </w:p>
        </w:tc>
        <w:tc>
          <w:tcPr>
            <w:tcW w:w="1180" w:type="dxa"/>
            <w:tcBorders>
              <w:top w:val="nil"/>
              <w:left w:val="nil"/>
              <w:bottom w:val="nil"/>
              <w:right w:val="nil"/>
            </w:tcBorders>
            <w:shd w:val="clear" w:color="000000" w:fill="FFFFFF"/>
            <w:noWrap/>
            <w:vAlign w:val="bottom"/>
            <w:hideMark/>
          </w:tcPr>
          <w:p w14:paraId="7EF9EDA0"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2,101</w:t>
            </w:r>
          </w:p>
        </w:tc>
      </w:tr>
      <w:tr w:rsidR="00BE450B" w:rsidRPr="00BE450B" w14:paraId="22232D7E" w14:textId="77777777" w:rsidTr="0042643C">
        <w:trPr>
          <w:trHeight w:val="104"/>
        </w:trPr>
        <w:tc>
          <w:tcPr>
            <w:tcW w:w="4640" w:type="dxa"/>
            <w:tcBorders>
              <w:top w:val="nil"/>
              <w:left w:val="nil"/>
              <w:bottom w:val="nil"/>
              <w:right w:val="nil"/>
            </w:tcBorders>
            <w:shd w:val="clear" w:color="000000" w:fill="FFFFFF"/>
            <w:noWrap/>
            <w:vAlign w:val="bottom"/>
            <w:hideMark/>
          </w:tcPr>
          <w:p w14:paraId="7C1503A3"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c>
          <w:tcPr>
            <w:tcW w:w="1360" w:type="dxa"/>
            <w:tcBorders>
              <w:top w:val="nil"/>
              <w:left w:val="nil"/>
              <w:bottom w:val="nil"/>
              <w:right w:val="nil"/>
            </w:tcBorders>
            <w:shd w:val="clear" w:color="000000" w:fill="FFFFFF"/>
            <w:noWrap/>
            <w:vAlign w:val="bottom"/>
            <w:hideMark/>
          </w:tcPr>
          <w:p w14:paraId="4D398CBC"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c>
          <w:tcPr>
            <w:tcW w:w="1180" w:type="dxa"/>
            <w:tcBorders>
              <w:top w:val="nil"/>
              <w:left w:val="nil"/>
              <w:bottom w:val="nil"/>
              <w:right w:val="nil"/>
            </w:tcBorders>
            <w:shd w:val="clear" w:color="000000" w:fill="FFFFFF"/>
            <w:noWrap/>
            <w:vAlign w:val="bottom"/>
            <w:hideMark/>
          </w:tcPr>
          <w:p w14:paraId="33D8E057"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r>
      <w:tr w:rsidR="00BE450B" w:rsidRPr="00BE450B" w14:paraId="5924F5B8" w14:textId="77777777" w:rsidTr="00BE450B">
        <w:trPr>
          <w:trHeight w:val="300"/>
        </w:trPr>
        <w:tc>
          <w:tcPr>
            <w:tcW w:w="6000" w:type="dxa"/>
            <w:gridSpan w:val="2"/>
            <w:tcBorders>
              <w:top w:val="nil"/>
              <w:left w:val="nil"/>
              <w:bottom w:val="nil"/>
              <w:right w:val="nil"/>
            </w:tcBorders>
            <w:shd w:val="clear" w:color="000000" w:fill="FFFFFF"/>
            <w:noWrap/>
            <w:vAlign w:val="bottom"/>
            <w:hideMark/>
          </w:tcPr>
          <w:p w14:paraId="49FAA0F6" w14:textId="77777777" w:rsidR="00BE450B" w:rsidRPr="00BE450B" w:rsidRDefault="00BE450B" w:rsidP="00BE450B">
            <w:pPr>
              <w:spacing w:after="0" w:line="240" w:lineRule="auto"/>
              <w:rPr>
                <w:rFonts w:ascii="Aptos Narrow" w:eastAsia="Times New Roman" w:hAnsi="Aptos Narrow" w:cs="Times New Roman"/>
                <w:b/>
                <w:bCs/>
                <w:sz w:val="18"/>
                <w:szCs w:val="18"/>
                <w:lang w:eastAsia="en-AU"/>
              </w:rPr>
            </w:pPr>
            <w:r w:rsidRPr="00BE450B">
              <w:rPr>
                <w:rFonts w:ascii="Aptos Narrow" w:eastAsia="Times New Roman" w:hAnsi="Aptos Narrow" w:cs="Times New Roman"/>
                <w:b/>
                <w:bCs/>
                <w:sz w:val="18"/>
                <w:szCs w:val="18"/>
                <w:lang w:eastAsia="en-AU"/>
              </w:rPr>
              <w:lastRenderedPageBreak/>
              <w:t>Top 5 costs (Proportion of total cash operating costs)</w:t>
            </w:r>
          </w:p>
        </w:tc>
        <w:tc>
          <w:tcPr>
            <w:tcW w:w="1180" w:type="dxa"/>
            <w:tcBorders>
              <w:top w:val="nil"/>
              <w:left w:val="nil"/>
              <w:bottom w:val="nil"/>
              <w:right w:val="nil"/>
            </w:tcBorders>
            <w:shd w:val="clear" w:color="000000" w:fill="FFFFFF"/>
            <w:noWrap/>
            <w:vAlign w:val="bottom"/>
            <w:hideMark/>
          </w:tcPr>
          <w:p w14:paraId="2EFDC96C" w14:textId="77777777" w:rsidR="00BE450B" w:rsidRPr="00BE450B" w:rsidRDefault="00BE450B" w:rsidP="00BE450B">
            <w:pPr>
              <w:spacing w:after="0" w:line="240" w:lineRule="auto"/>
              <w:jc w:val="center"/>
              <w:rPr>
                <w:rFonts w:ascii="Aptos Narrow" w:eastAsia="Times New Roman" w:hAnsi="Aptos Narrow" w:cs="Times New Roman"/>
                <w:sz w:val="18"/>
                <w:szCs w:val="18"/>
                <w:lang w:eastAsia="en-AU"/>
              </w:rPr>
            </w:pPr>
            <w:r w:rsidRPr="00BE450B">
              <w:rPr>
                <w:rFonts w:ascii="Aptos Narrow" w:eastAsia="Times New Roman" w:hAnsi="Aptos Narrow" w:cs="Times New Roman"/>
                <w:sz w:val="18"/>
                <w:szCs w:val="18"/>
                <w:lang w:eastAsia="en-AU"/>
              </w:rPr>
              <w:t> </w:t>
            </w:r>
          </w:p>
        </w:tc>
      </w:tr>
      <w:tr w:rsidR="00BE450B" w:rsidRPr="00BE450B" w14:paraId="79ED0648" w14:textId="77777777" w:rsidTr="00BE450B">
        <w:trPr>
          <w:trHeight w:val="300"/>
        </w:trPr>
        <w:tc>
          <w:tcPr>
            <w:tcW w:w="4640" w:type="dxa"/>
            <w:tcBorders>
              <w:top w:val="nil"/>
              <w:left w:val="nil"/>
              <w:bottom w:val="nil"/>
              <w:right w:val="nil"/>
            </w:tcBorders>
            <w:shd w:val="clear" w:color="000000" w:fill="FFFFFF"/>
            <w:noWrap/>
            <w:vAlign w:val="bottom"/>
            <w:hideMark/>
          </w:tcPr>
          <w:p w14:paraId="79F38A9A" w14:textId="77777777" w:rsidR="00BE450B" w:rsidRPr="00BE450B" w:rsidRDefault="00BE450B" w:rsidP="00BE450B">
            <w:pPr>
              <w:spacing w:after="0" w:line="240" w:lineRule="auto"/>
              <w:rPr>
                <w:rFonts w:ascii="Aptos Narrow" w:eastAsia="Times New Roman" w:hAnsi="Aptos Narrow" w:cs="Times New Roman"/>
                <w:sz w:val="18"/>
                <w:szCs w:val="18"/>
                <w:lang w:eastAsia="en-AU"/>
              </w:rPr>
            </w:pPr>
            <w:r w:rsidRPr="00BE450B">
              <w:rPr>
                <w:rFonts w:ascii="Aptos Narrow" w:eastAsia="Times New Roman" w:hAnsi="Aptos Narrow" w:cs="Times New Roman"/>
                <w:sz w:val="18"/>
                <w:szCs w:val="18"/>
                <w:lang w:eastAsia="en-AU"/>
              </w:rPr>
              <w:t>Purchased supplementary grain and pellets (%)</w:t>
            </w:r>
          </w:p>
        </w:tc>
        <w:tc>
          <w:tcPr>
            <w:tcW w:w="1360" w:type="dxa"/>
            <w:tcBorders>
              <w:top w:val="nil"/>
              <w:left w:val="nil"/>
              <w:bottom w:val="nil"/>
              <w:right w:val="nil"/>
            </w:tcBorders>
            <w:shd w:val="clear" w:color="000000" w:fill="FFFFFF"/>
            <w:noWrap/>
            <w:vAlign w:val="bottom"/>
            <w:hideMark/>
          </w:tcPr>
          <w:p w14:paraId="0F193254"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11%</w:t>
            </w:r>
          </w:p>
        </w:tc>
        <w:tc>
          <w:tcPr>
            <w:tcW w:w="1180" w:type="dxa"/>
            <w:tcBorders>
              <w:top w:val="nil"/>
              <w:left w:val="nil"/>
              <w:bottom w:val="nil"/>
              <w:right w:val="nil"/>
            </w:tcBorders>
            <w:shd w:val="clear" w:color="000000" w:fill="FFFFFF"/>
            <w:noWrap/>
            <w:vAlign w:val="bottom"/>
            <w:hideMark/>
          </w:tcPr>
          <w:p w14:paraId="54AC8812"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r>
      <w:tr w:rsidR="00BE450B" w:rsidRPr="00BE450B" w14:paraId="742A53F8" w14:textId="77777777" w:rsidTr="00BE450B">
        <w:trPr>
          <w:trHeight w:val="300"/>
        </w:trPr>
        <w:tc>
          <w:tcPr>
            <w:tcW w:w="4640" w:type="dxa"/>
            <w:tcBorders>
              <w:top w:val="nil"/>
              <w:left w:val="nil"/>
              <w:bottom w:val="nil"/>
              <w:right w:val="nil"/>
            </w:tcBorders>
            <w:shd w:val="clear" w:color="000000" w:fill="FFFFFF"/>
            <w:noWrap/>
            <w:vAlign w:val="bottom"/>
            <w:hideMark/>
          </w:tcPr>
          <w:p w14:paraId="15170001" w14:textId="24558A8F" w:rsidR="00BE450B" w:rsidRPr="00BE450B" w:rsidRDefault="00BE450B" w:rsidP="00BE450B">
            <w:pPr>
              <w:spacing w:after="0" w:line="240" w:lineRule="auto"/>
              <w:rPr>
                <w:rFonts w:ascii="Aptos Narrow" w:eastAsia="Times New Roman" w:hAnsi="Aptos Narrow" w:cs="Times New Roman"/>
                <w:sz w:val="18"/>
                <w:szCs w:val="18"/>
                <w:lang w:eastAsia="en-AU"/>
              </w:rPr>
            </w:pPr>
            <w:r w:rsidRPr="00BE450B">
              <w:rPr>
                <w:rFonts w:ascii="Aptos Narrow" w:eastAsia="Times New Roman" w:hAnsi="Aptos Narrow" w:cs="Times New Roman"/>
                <w:sz w:val="18"/>
                <w:szCs w:val="18"/>
                <w:lang w:eastAsia="en-AU"/>
              </w:rPr>
              <w:t xml:space="preserve">Livestock </w:t>
            </w:r>
            <w:r w:rsidR="00C05880">
              <w:rPr>
                <w:rFonts w:ascii="Aptos Narrow" w:eastAsia="Times New Roman" w:hAnsi="Aptos Narrow" w:cs="Times New Roman"/>
                <w:sz w:val="18"/>
                <w:szCs w:val="18"/>
                <w:lang w:eastAsia="en-AU"/>
              </w:rPr>
              <w:t>s</w:t>
            </w:r>
            <w:r w:rsidRPr="00BE450B">
              <w:rPr>
                <w:rFonts w:ascii="Aptos Narrow" w:eastAsia="Times New Roman" w:hAnsi="Aptos Narrow" w:cs="Times New Roman"/>
                <w:sz w:val="18"/>
                <w:szCs w:val="18"/>
                <w:lang w:eastAsia="en-AU"/>
              </w:rPr>
              <w:t>elling costs (%)</w:t>
            </w:r>
          </w:p>
        </w:tc>
        <w:tc>
          <w:tcPr>
            <w:tcW w:w="1360" w:type="dxa"/>
            <w:tcBorders>
              <w:top w:val="nil"/>
              <w:left w:val="nil"/>
              <w:bottom w:val="nil"/>
              <w:right w:val="nil"/>
            </w:tcBorders>
            <w:shd w:val="clear" w:color="000000" w:fill="FFFFFF"/>
            <w:noWrap/>
            <w:vAlign w:val="bottom"/>
            <w:hideMark/>
          </w:tcPr>
          <w:p w14:paraId="2E67E5FB"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9%</w:t>
            </w:r>
          </w:p>
        </w:tc>
        <w:tc>
          <w:tcPr>
            <w:tcW w:w="1180" w:type="dxa"/>
            <w:tcBorders>
              <w:top w:val="nil"/>
              <w:left w:val="nil"/>
              <w:bottom w:val="nil"/>
              <w:right w:val="nil"/>
            </w:tcBorders>
            <w:shd w:val="clear" w:color="000000" w:fill="FFFFFF"/>
            <w:noWrap/>
            <w:vAlign w:val="bottom"/>
            <w:hideMark/>
          </w:tcPr>
          <w:p w14:paraId="62EE89D3"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r>
      <w:tr w:rsidR="00BE450B" w:rsidRPr="00BE450B" w14:paraId="55576B0B" w14:textId="77777777" w:rsidTr="00BE450B">
        <w:trPr>
          <w:trHeight w:val="300"/>
        </w:trPr>
        <w:tc>
          <w:tcPr>
            <w:tcW w:w="4640" w:type="dxa"/>
            <w:tcBorders>
              <w:top w:val="nil"/>
              <w:left w:val="nil"/>
              <w:bottom w:val="nil"/>
              <w:right w:val="nil"/>
            </w:tcBorders>
            <w:shd w:val="clear" w:color="000000" w:fill="FFFFFF"/>
            <w:noWrap/>
            <w:vAlign w:val="bottom"/>
            <w:hideMark/>
          </w:tcPr>
          <w:p w14:paraId="16E435A6"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Pasture fertiliser costs (%)</w:t>
            </w:r>
          </w:p>
        </w:tc>
        <w:tc>
          <w:tcPr>
            <w:tcW w:w="1360" w:type="dxa"/>
            <w:tcBorders>
              <w:top w:val="nil"/>
              <w:left w:val="nil"/>
              <w:bottom w:val="nil"/>
              <w:right w:val="nil"/>
            </w:tcBorders>
            <w:shd w:val="clear" w:color="000000" w:fill="FFFFFF"/>
            <w:noWrap/>
            <w:vAlign w:val="bottom"/>
            <w:hideMark/>
          </w:tcPr>
          <w:p w14:paraId="4BEAF227"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9%</w:t>
            </w:r>
          </w:p>
        </w:tc>
        <w:tc>
          <w:tcPr>
            <w:tcW w:w="1180" w:type="dxa"/>
            <w:tcBorders>
              <w:top w:val="nil"/>
              <w:left w:val="nil"/>
              <w:bottom w:val="nil"/>
              <w:right w:val="nil"/>
            </w:tcBorders>
            <w:shd w:val="clear" w:color="000000" w:fill="FFFFFF"/>
            <w:noWrap/>
            <w:vAlign w:val="bottom"/>
            <w:hideMark/>
          </w:tcPr>
          <w:p w14:paraId="0F589BA3"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r>
      <w:tr w:rsidR="00BE450B" w:rsidRPr="00BE450B" w14:paraId="46528C79" w14:textId="77777777" w:rsidTr="00BE450B">
        <w:trPr>
          <w:trHeight w:val="300"/>
        </w:trPr>
        <w:tc>
          <w:tcPr>
            <w:tcW w:w="4640" w:type="dxa"/>
            <w:tcBorders>
              <w:top w:val="nil"/>
              <w:left w:val="nil"/>
              <w:bottom w:val="nil"/>
              <w:right w:val="nil"/>
            </w:tcBorders>
            <w:shd w:val="clear" w:color="000000" w:fill="FFFFFF"/>
            <w:noWrap/>
            <w:vAlign w:val="bottom"/>
            <w:hideMark/>
          </w:tcPr>
          <w:p w14:paraId="15B272FE" w14:textId="00B16872"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xml:space="preserve">Animal </w:t>
            </w:r>
            <w:r w:rsidR="00C05880">
              <w:rPr>
                <w:rFonts w:ascii="Aptos Narrow" w:eastAsia="Times New Roman" w:hAnsi="Aptos Narrow" w:cs="Times New Roman"/>
                <w:color w:val="000000"/>
                <w:sz w:val="18"/>
                <w:szCs w:val="18"/>
                <w:lang w:eastAsia="en-AU"/>
              </w:rPr>
              <w:t>h</w:t>
            </w:r>
            <w:r w:rsidRPr="00BE450B">
              <w:rPr>
                <w:rFonts w:ascii="Aptos Narrow" w:eastAsia="Times New Roman" w:hAnsi="Aptos Narrow" w:cs="Times New Roman"/>
                <w:color w:val="000000"/>
                <w:sz w:val="18"/>
                <w:szCs w:val="18"/>
                <w:lang w:eastAsia="en-AU"/>
              </w:rPr>
              <w:t>ealth (%)</w:t>
            </w:r>
          </w:p>
        </w:tc>
        <w:tc>
          <w:tcPr>
            <w:tcW w:w="1360" w:type="dxa"/>
            <w:tcBorders>
              <w:top w:val="nil"/>
              <w:left w:val="nil"/>
              <w:bottom w:val="nil"/>
              <w:right w:val="nil"/>
            </w:tcBorders>
            <w:shd w:val="clear" w:color="000000" w:fill="FFFFFF"/>
            <w:noWrap/>
            <w:vAlign w:val="bottom"/>
            <w:hideMark/>
          </w:tcPr>
          <w:p w14:paraId="79F2469F"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7%</w:t>
            </w:r>
          </w:p>
        </w:tc>
        <w:tc>
          <w:tcPr>
            <w:tcW w:w="1180" w:type="dxa"/>
            <w:tcBorders>
              <w:top w:val="nil"/>
              <w:left w:val="nil"/>
              <w:bottom w:val="nil"/>
              <w:right w:val="nil"/>
            </w:tcBorders>
            <w:shd w:val="clear" w:color="000000" w:fill="FFFFFF"/>
            <w:noWrap/>
            <w:vAlign w:val="bottom"/>
            <w:hideMark/>
          </w:tcPr>
          <w:p w14:paraId="5E8C457C"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r>
      <w:tr w:rsidR="00BE450B" w:rsidRPr="00BE450B" w14:paraId="4A906203" w14:textId="77777777" w:rsidTr="00BE450B">
        <w:trPr>
          <w:trHeight w:val="300"/>
        </w:trPr>
        <w:tc>
          <w:tcPr>
            <w:tcW w:w="4640" w:type="dxa"/>
            <w:tcBorders>
              <w:top w:val="nil"/>
              <w:left w:val="nil"/>
              <w:bottom w:val="nil"/>
              <w:right w:val="nil"/>
            </w:tcBorders>
            <w:shd w:val="clear" w:color="000000" w:fill="FFFFFF"/>
            <w:noWrap/>
            <w:vAlign w:val="bottom"/>
            <w:hideMark/>
          </w:tcPr>
          <w:p w14:paraId="67E3E368" w14:textId="77777777" w:rsidR="00BE450B" w:rsidRPr="00BE450B" w:rsidRDefault="00BE450B" w:rsidP="00BE450B">
            <w:pPr>
              <w:spacing w:after="0" w:line="240" w:lineRule="auto"/>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Purchased supplementary fodder (%)</w:t>
            </w:r>
          </w:p>
        </w:tc>
        <w:tc>
          <w:tcPr>
            <w:tcW w:w="1360" w:type="dxa"/>
            <w:tcBorders>
              <w:top w:val="nil"/>
              <w:left w:val="nil"/>
              <w:bottom w:val="nil"/>
              <w:right w:val="nil"/>
            </w:tcBorders>
            <w:shd w:val="clear" w:color="000000" w:fill="FFFFFF"/>
            <w:noWrap/>
            <w:vAlign w:val="bottom"/>
            <w:hideMark/>
          </w:tcPr>
          <w:p w14:paraId="2C980ABD"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6%</w:t>
            </w:r>
          </w:p>
        </w:tc>
        <w:tc>
          <w:tcPr>
            <w:tcW w:w="1180" w:type="dxa"/>
            <w:tcBorders>
              <w:top w:val="nil"/>
              <w:left w:val="nil"/>
              <w:bottom w:val="nil"/>
              <w:right w:val="nil"/>
            </w:tcBorders>
            <w:shd w:val="clear" w:color="000000" w:fill="FFFFFF"/>
            <w:noWrap/>
            <w:vAlign w:val="bottom"/>
            <w:hideMark/>
          </w:tcPr>
          <w:p w14:paraId="5FE0B519" w14:textId="77777777" w:rsidR="00BE450B" w:rsidRPr="00BE450B" w:rsidRDefault="00BE450B" w:rsidP="00BE450B">
            <w:pPr>
              <w:spacing w:after="0" w:line="240" w:lineRule="auto"/>
              <w:jc w:val="center"/>
              <w:rPr>
                <w:rFonts w:ascii="Aptos Narrow" w:eastAsia="Times New Roman" w:hAnsi="Aptos Narrow" w:cs="Times New Roman"/>
                <w:color w:val="000000"/>
                <w:sz w:val="18"/>
                <w:szCs w:val="18"/>
                <w:lang w:eastAsia="en-AU"/>
              </w:rPr>
            </w:pPr>
            <w:r w:rsidRPr="00BE450B">
              <w:rPr>
                <w:rFonts w:ascii="Aptos Narrow" w:eastAsia="Times New Roman" w:hAnsi="Aptos Narrow" w:cs="Times New Roman"/>
                <w:color w:val="000000"/>
                <w:sz w:val="18"/>
                <w:szCs w:val="18"/>
                <w:lang w:eastAsia="en-AU"/>
              </w:rPr>
              <w:t> </w:t>
            </w:r>
          </w:p>
        </w:tc>
      </w:tr>
    </w:tbl>
    <w:p w14:paraId="23BFE281" w14:textId="77777777" w:rsidR="005B6212" w:rsidRDefault="005B6212" w:rsidP="00D12059"/>
    <w:p w14:paraId="09AB48BB" w14:textId="77777777" w:rsidR="00A81B76" w:rsidRDefault="00A81B76" w:rsidP="00D12059"/>
    <w:p w14:paraId="63819A7E" w14:textId="77777777" w:rsidR="00BE450B" w:rsidRDefault="00BE450B" w:rsidP="00D12059">
      <w:pPr>
        <w:sectPr w:rsidR="00BE450B" w:rsidSect="005B6212">
          <w:type w:val="continuous"/>
          <w:pgSz w:w="11906" w:h="16838"/>
          <w:pgMar w:top="1440" w:right="1440" w:bottom="1440" w:left="1440" w:header="708" w:footer="708" w:gutter="0"/>
          <w:cols w:space="708"/>
          <w:docGrid w:linePitch="360"/>
        </w:sectPr>
      </w:pPr>
    </w:p>
    <w:p w14:paraId="2B6D3DCD" w14:textId="32A41485" w:rsidR="00BA61EE" w:rsidRDefault="00BA61EE">
      <w:pPr>
        <w:rPr>
          <w:rFonts w:cs="VIC-SemiBold"/>
          <w:b/>
          <w:bCs/>
          <w:color w:val="4C7329"/>
          <w:sz w:val="28"/>
          <w:szCs w:val="18"/>
          <w:lang w:val="en-US"/>
        </w:rPr>
      </w:pPr>
      <w:r>
        <w:rPr>
          <w:rFonts w:cs="VIC-SemiBold"/>
          <w:b/>
          <w:bCs/>
          <w:color w:val="4C7329"/>
          <w:sz w:val="28"/>
          <w:szCs w:val="18"/>
          <w:lang w:val="en-US"/>
        </w:rPr>
        <w:br w:type="page"/>
      </w:r>
    </w:p>
    <w:p w14:paraId="5BB3FC7E" w14:textId="77777777" w:rsidR="00A81B76" w:rsidRDefault="00A81B76">
      <w:pPr>
        <w:rPr>
          <w:rFonts w:cs="VIC-SemiBold"/>
          <w:b/>
          <w:bCs/>
          <w:color w:val="4C7329"/>
          <w:sz w:val="28"/>
          <w:szCs w:val="18"/>
          <w:lang w:val="en-US"/>
        </w:rPr>
      </w:pPr>
    </w:p>
    <w:p w14:paraId="119C83C5" w14:textId="7063457A" w:rsidR="00D12059" w:rsidRPr="0064154B" w:rsidRDefault="007179B4" w:rsidP="007E2ECC">
      <w:pPr>
        <w:pStyle w:val="Heading2"/>
        <w:rPr>
          <w:bCs/>
        </w:rPr>
      </w:pPr>
      <w:bookmarkStart w:id="45" w:name="_Toc214610582"/>
      <w:r w:rsidRPr="0064154B">
        <w:rPr>
          <w:bCs/>
        </w:rPr>
        <w:t>South West</w:t>
      </w:r>
      <w:r w:rsidR="001D7E69">
        <w:rPr>
          <w:bCs/>
        </w:rPr>
        <w:t xml:space="preserve"> Victoria</w:t>
      </w:r>
      <w:bookmarkEnd w:id="45"/>
    </w:p>
    <w:p w14:paraId="59B2AAE1" w14:textId="75CFC0BF" w:rsidR="00DA1873" w:rsidRPr="005D010D" w:rsidRDefault="008411B5" w:rsidP="005D010D">
      <w:pPr>
        <w:pStyle w:val="Heading3"/>
        <w:rPr>
          <w:b/>
          <w:bCs/>
        </w:rPr>
      </w:pPr>
      <w:bookmarkStart w:id="46" w:name="_Toc214610583"/>
      <w:r>
        <w:rPr>
          <w:b/>
          <w:bCs/>
        </w:rPr>
        <w:t>Gross margins</w:t>
      </w:r>
      <w:bookmarkEnd w:id="46"/>
    </w:p>
    <w:p w14:paraId="2CF46C45" w14:textId="0556EC6F" w:rsidR="0017500D" w:rsidRPr="0017500D" w:rsidRDefault="00BC5F78" w:rsidP="0017500D">
      <w:r>
        <w:rPr>
          <w:noProof/>
        </w:rPr>
        <w:drawing>
          <wp:inline distT="0" distB="0" distL="0" distR="0" wp14:anchorId="56C5BBAE" wp14:editId="0166633C">
            <wp:extent cx="2714287" cy="1666875"/>
            <wp:effectExtent l="0" t="0" r="0" b="0"/>
            <wp:docPr id="1518398775" name="Picture 1" descr="South west average gross margin ($/ha) for wool sheep, prime lamb and beef (2015-16 to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398775" name="Picture 1" descr="South west average gross margin ($/ha) for wool sheep, prime lamb and beef (2015-16 to 2024-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30497" cy="1676830"/>
                    </a:xfrm>
                    <a:prstGeom prst="rect">
                      <a:avLst/>
                    </a:prstGeom>
                    <a:noFill/>
                  </pic:spPr>
                </pic:pic>
              </a:graphicData>
            </a:graphic>
          </wp:inline>
        </w:drawing>
      </w:r>
    </w:p>
    <w:p w14:paraId="107A571A" w14:textId="3C251D70" w:rsidR="001F0B78" w:rsidRDefault="001F0B78" w:rsidP="001F0B78">
      <w:pPr>
        <w:pStyle w:val="Caption"/>
      </w:pPr>
      <w:bookmarkStart w:id="47" w:name="_Ref148954515"/>
      <w:r>
        <w:t xml:space="preserve">Figure </w:t>
      </w:r>
      <w:r>
        <w:fldChar w:fldCharType="begin"/>
      </w:r>
      <w:r>
        <w:instrText>SEQ Figure \* ARABIC</w:instrText>
      </w:r>
      <w:r>
        <w:fldChar w:fldCharType="separate"/>
      </w:r>
      <w:r w:rsidR="00EF38F6">
        <w:rPr>
          <w:noProof/>
        </w:rPr>
        <w:t>18</w:t>
      </w:r>
      <w:r>
        <w:fldChar w:fldCharType="end"/>
      </w:r>
      <w:bookmarkEnd w:id="47"/>
      <w:r>
        <w:t xml:space="preserve">. </w:t>
      </w:r>
      <w:proofErr w:type="gramStart"/>
      <w:r>
        <w:t xml:space="preserve">South </w:t>
      </w:r>
      <w:r w:rsidR="001D0095">
        <w:t>w</w:t>
      </w:r>
      <w:r>
        <w:t>est</w:t>
      </w:r>
      <w:proofErr w:type="gramEnd"/>
      <w:r w:rsidR="00067D4A">
        <w:t xml:space="preserve"> </w:t>
      </w:r>
      <w:r w:rsidR="00067D4A" w:rsidRPr="00067D4A">
        <w:t>average gross margin</w:t>
      </w:r>
      <w:r w:rsidR="00636FF2">
        <w:t xml:space="preserve"> ($/ha)</w:t>
      </w:r>
      <w:r w:rsidR="00067D4A" w:rsidRPr="00067D4A">
        <w:t xml:space="preserve"> for wool sheep, prime lamb and beef (201</w:t>
      </w:r>
      <w:r w:rsidR="00760F99">
        <w:t>5</w:t>
      </w:r>
      <w:r w:rsidR="00067D4A" w:rsidRPr="00067D4A">
        <w:t>-1</w:t>
      </w:r>
      <w:r w:rsidR="00760F99">
        <w:t>6</w:t>
      </w:r>
      <w:r w:rsidR="00067D4A" w:rsidRPr="00067D4A">
        <w:t xml:space="preserve"> to 202</w:t>
      </w:r>
      <w:r w:rsidR="00760F99">
        <w:t>4</w:t>
      </w:r>
      <w:r w:rsidR="00067D4A" w:rsidRPr="00067D4A">
        <w:t>-2</w:t>
      </w:r>
      <w:r w:rsidR="00760F99">
        <w:t>5</w:t>
      </w:r>
      <w:r w:rsidR="00067D4A" w:rsidRPr="00067D4A">
        <w:t>)</w:t>
      </w:r>
    </w:p>
    <w:p w14:paraId="0E388184" w14:textId="0B51D5CB" w:rsidR="0024463F" w:rsidRDefault="00754FDC" w:rsidP="0024463F">
      <w:pPr>
        <w:rPr>
          <w:color w:val="FF0000"/>
          <w:szCs w:val="20"/>
        </w:rPr>
      </w:pPr>
      <w:r>
        <w:rPr>
          <w:szCs w:val="20"/>
        </w:rPr>
        <w:t>P</w:t>
      </w:r>
      <w:r w:rsidR="00776590">
        <w:rPr>
          <w:szCs w:val="20"/>
        </w:rPr>
        <w:t>rime lamb</w:t>
      </w:r>
      <w:r w:rsidR="00DA1469">
        <w:rPr>
          <w:szCs w:val="20"/>
        </w:rPr>
        <w:t xml:space="preserve">, wool sheep </w:t>
      </w:r>
      <w:r w:rsidR="00776590">
        <w:rPr>
          <w:szCs w:val="20"/>
        </w:rPr>
        <w:t>and</w:t>
      </w:r>
      <w:r>
        <w:rPr>
          <w:szCs w:val="20"/>
        </w:rPr>
        <w:t xml:space="preserve"> beef</w:t>
      </w:r>
      <w:r w:rsidR="00776590">
        <w:rPr>
          <w:szCs w:val="20"/>
        </w:rPr>
        <w:t xml:space="preserve"> gross margins </w:t>
      </w:r>
      <w:r w:rsidR="00DA1469">
        <w:rPr>
          <w:szCs w:val="20"/>
        </w:rPr>
        <w:t>decreased</w:t>
      </w:r>
      <w:r w:rsidR="00776590">
        <w:rPr>
          <w:szCs w:val="20"/>
        </w:rPr>
        <w:t xml:space="preserve"> </w:t>
      </w:r>
      <w:r w:rsidR="00DA1469">
        <w:rPr>
          <w:szCs w:val="20"/>
        </w:rPr>
        <w:t>for the third consecutive year</w:t>
      </w:r>
      <w:r w:rsidR="00C812CC">
        <w:rPr>
          <w:szCs w:val="20"/>
        </w:rPr>
        <w:t xml:space="preserve"> (</w:t>
      </w:r>
      <w:r w:rsidR="00C812CC">
        <w:rPr>
          <w:szCs w:val="20"/>
        </w:rPr>
        <w:fldChar w:fldCharType="begin"/>
      </w:r>
      <w:r w:rsidR="00C812CC">
        <w:rPr>
          <w:szCs w:val="20"/>
        </w:rPr>
        <w:instrText xml:space="preserve"> REF _Ref148954515 \h </w:instrText>
      </w:r>
      <w:r w:rsidR="00C812CC">
        <w:rPr>
          <w:szCs w:val="20"/>
        </w:rPr>
      </w:r>
      <w:r w:rsidR="00C812CC">
        <w:rPr>
          <w:szCs w:val="20"/>
        </w:rPr>
        <w:fldChar w:fldCharType="separate"/>
      </w:r>
      <w:r w:rsidR="00C812CC">
        <w:t xml:space="preserve">Figure </w:t>
      </w:r>
      <w:r w:rsidR="00C812CC">
        <w:rPr>
          <w:noProof/>
        </w:rPr>
        <w:t>18</w:t>
      </w:r>
      <w:r w:rsidR="00C812CC">
        <w:rPr>
          <w:szCs w:val="20"/>
        </w:rPr>
        <w:fldChar w:fldCharType="end"/>
      </w:r>
      <w:r w:rsidR="00C812CC">
        <w:rPr>
          <w:szCs w:val="20"/>
        </w:rPr>
        <w:t>)</w:t>
      </w:r>
      <w:r w:rsidR="00064A68">
        <w:rPr>
          <w:szCs w:val="20"/>
        </w:rPr>
        <w:t xml:space="preserve">. </w:t>
      </w:r>
      <w:r w:rsidR="00D91A1D">
        <w:rPr>
          <w:szCs w:val="20"/>
        </w:rPr>
        <w:t>A lower</w:t>
      </w:r>
      <w:r w:rsidR="00913E46">
        <w:rPr>
          <w:szCs w:val="20"/>
        </w:rPr>
        <w:t xml:space="preserve"> </w:t>
      </w:r>
      <w:r w:rsidR="00CB2524">
        <w:rPr>
          <w:szCs w:val="20"/>
        </w:rPr>
        <w:t xml:space="preserve">wool price and high drought induced costs </w:t>
      </w:r>
      <w:r w:rsidR="00E33793">
        <w:rPr>
          <w:szCs w:val="20"/>
        </w:rPr>
        <w:t>resulted in</w:t>
      </w:r>
      <w:r w:rsidR="00CB2524">
        <w:rPr>
          <w:szCs w:val="20"/>
        </w:rPr>
        <w:t xml:space="preserve"> </w:t>
      </w:r>
      <w:r w:rsidR="00E33793">
        <w:rPr>
          <w:szCs w:val="20"/>
        </w:rPr>
        <w:t>w</w:t>
      </w:r>
      <w:r w:rsidR="00064A68">
        <w:rPr>
          <w:szCs w:val="20"/>
        </w:rPr>
        <w:t>ool sheep gross margins plummet</w:t>
      </w:r>
      <w:r w:rsidR="00E33793">
        <w:rPr>
          <w:szCs w:val="20"/>
        </w:rPr>
        <w:t>ing</w:t>
      </w:r>
      <w:r w:rsidR="00064A68">
        <w:rPr>
          <w:szCs w:val="20"/>
        </w:rPr>
        <w:t xml:space="preserve"> </w:t>
      </w:r>
      <w:r w:rsidR="00624C1C">
        <w:rPr>
          <w:szCs w:val="20"/>
        </w:rPr>
        <w:t>(-88%</w:t>
      </w:r>
      <w:r w:rsidR="004B6F45">
        <w:rPr>
          <w:szCs w:val="20"/>
        </w:rPr>
        <w:t xml:space="preserve"> y</w:t>
      </w:r>
      <w:r w:rsidR="005973E4">
        <w:rPr>
          <w:szCs w:val="20"/>
        </w:rPr>
        <w:t>ear on year</w:t>
      </w:r>
      <w:r w:rsidR="00624C1C">
        <w:rPr>
          <w:szCs w:val="20"/>
        </w:rPr>
        <w:t xml:space="preserve">) </w:t>
      </w:r>
      <w:r w:rsidR="00064A68">
        <w:rPr>
          <w:szCs w:val="20"/>
        </w:rPr>
        <w:t xml:space="preserve">to the lowest result </w:t>
      </w:r>
      <w:r w:rsidR="005C6BAA">
        <w:rPr>
          <w:szCs w:val="20"/>
        </w:rPr>
        <w:t>recorded since</w:t>
      </w:r>
      <w:r w:rsidR="00064A68">
        <w:rPr>
          <w:szCs w:val="20"/>
        </w:rPr>
        <w:t xml:space="preserve"> </w:t>
      </w:r>
      <w:r w:rsidR="007D0F85">
        <w:rPr>
          <w:szCs w:val="20"/>
        </w:rPr>
        <w:t xml:space="preserve">project began in 1972. </w:t>
      </w:r>
      <w:r w:rsidR="001A3353">
        <w:rPr>
          <w:szCs w:val="20"/>
        </w:rPr>
        <w:t>Improved</w:t>
      </w:r>
      <w:r w:rsidR="00014661">
        <w:rPr>
          <w:szCs w:val="20"/>
        </w:rPr>
        <w:t xml:space="preserve"> lamb </w:t>
      </w:r>
      <w:r w:rsidR="00056156">
        <w:rPr>
          <w:szCs w:val="20"/>
        </w:rPr>
        <w:t xml:space="preserve">and beef </w:t>
      </w:r>
      <w:r w:rsidR="00014661">
        <w:rPr>
          <w:szCs w:val="20"/>
        </w:rPr>
        <w:t xml:space="preserve">prices </w:t>
      </w:r>
      <w:r w:rsidR="001A3353">
        <w:rPr>
          <w:szCs w:val="20"/>
        </w:rPr>
        <w:t>i</w:t>
      </w:r>
      <w:r w:rsidR="00014661">
        <w:rPr>
          <w:szCs w:val="20"/>
        </w:rPr>
        <w:t xml:space="preserve">n </w:t>
      </w:r>
      <w:r w:rsidR="00A15E4A">
        <w:rPr>
          <w:szCs w:val="20"/>
        </w:rPr>
        <w:t xml:space="preserve">2024-25 </w:t>
      </w:r>
      <w:r w:rsidR="005973E4">
        <w:rPr>
          <w:szCs w:val="20"/>
        </w:rPr>
        <w:t>were</w:t>
      </w:r>
      <w:r w:rsidR="000A1065">
        <w:rPr>
          <w:szCs w:val="20"/>
        </w:rPr>
        <w:t xml:space="preserve"> offset</w:t>
      </w:r>
      <w:r w:rsidR="00B05BA2">
        <w:rPr>
          <w:szCs w:val="20"/>
        </w:rPr>
        <w:t xml:space="preserve"> by large quantities and costs of supplementary feed</w:t>
      </w:r>
      <w:r w:rsidR="00D91A1D">
        <w:rPr>
          <w:szCs w:val="20"/>
        </w:rPr>
        <w:t>,</w:t>
      </w:r>
      <w:r w:rsidR="001414D1">
        <w:rPr>
          <w:szCs w:val="20"/>
        </w:rPr>
        <w:t xml:space="preserve"> resulting in</w:t>
      </w:r>
      <w:r w:rsidR="000A1065">
        <w:rPr>
          <w:szCs w:val="20"/>
        </w:rPr>
        <w:t xml:space="preserve"> </w:t>
      </w:r>
      <w:r w:rsidR="00A15E4A">
        <w:rPr>
          <w:szCs w:val="20"/>
        </w:rPr>
        <w:t xml:space="preserve">prime lamb </w:t>
      </w:r>
      <w:r w:rsidR="00056156">
        <w:rPr>
          <w:szCs w:val="20"/>
        </w:rPr>
        <w:t xml:space="preserve">and beef </w:t>
      </w:r>
      <w:r w:rsidR="00A15E4A">
        <w:rPr>
          <w:szCs w:val="20"/>
        </w:rPr>
        <w:t xml:space="preserve">gross margins </w:t>
      </w:r>
      <w:r w:rsidR="00326F62">
        <w:rPr>
          <w:szCs w:val="20"/>
        </w:rPr>
        <w:t>dropp</w:t>
      </w:r>
      <w:r w:rsidR="005973E4">
        <w:rPr>
          <w:szCs w:val="20"/>
        </w:rPr>
        <w:t>ing</w:t>
      </w:r>
      <w:r w:rsidR="00326F62">
        <w:rPr>
          <w:szCs w:val="20"/>
        </w:rPr>
        <w:t xml:space="preserve"> to the lowest value</w:t>
      </w:r>
      <w:r w:rsidR="005973E4">
        <w:rPr>
          <w:szCs w:val="20"/>
        </w:rPr>
        <w:t>s</w:t>
      </w:r>
      <w:r w:rsidR="00326F62">
        <w:rPr>
          <w:szCs w:val="20"/>
        </w:rPr>
        <w:t xml:space="preserve"> since </w:t>
      </w:r>
      <w:r w:rsidR="00887EE8">
        <w:rPr>
          <w:szCs w:val="20"/>
        </w:rPr>
        <w:t>the 2006-07 drought</w:t>
      </w:r>
      <w:r w:rsidR="00C812CC">
        <w:rPr>
          <w:szCs w:val="20"/>
        </w:rPr>
        <w:t>.</w:t>
      </w:r>
      <w:r w:rsidR="001E15E2">
        <w:rPr>
          <w:szCs w:val="20"/>
        </w:rPr>
        <w:t xml:space="preserve"> </w:t>
      </w:r>
      <w:r w:rsidR="00312EEC">
        <w:rPr>
          <w:szCs w:val="20"/>
        </w:rPr>
        <w:t xml:space="preserve">In 2024-25, </w:t>
      </w:r>
      <w:proofErr w:type="gramStart"/>
      <w:r w:rsidR="00312EEC">
        <w:rPr>
          <w:szCs w:val="20"/>
        </w:rPr>
        <w:t>s</w:t>
      </w:r>
      <w:r w:rsidR="00E503B4">
        <w:rPr>
          <w:szCs w:val="20"/>
        </w:rPr>
        <w:t>outh west</w:t>
      </w:r>
      <w:proofErr w:type="gramEnd"/>
      <w:r w:rsidR="00E503B4">
        <w:rPr>
          <w:szCs w:val="20"/>
        </w:rPr>
        <w:t xml:space="preserve"> w</w:t>
      </w:r>
      <w:r w:rsidR="00365048">
        <w:rPr>
          <w:szCs w:val="20"/>
        </w:rPr>
        <w:t>o</w:t>
      </w:r>
      <w:r w:rsidR="00D6743D">
        <w:rPr>
          <w:szCs w:val="20"/>
        </w:rPr>
        <w:t>o</w:t>
      </w:r>
      <w:r w:rsidR="00365048">
        <w:rPr>
          <w:szCs w:val="20"/>
        </w:rPr>
        <w:t>l</w:t>
      </w:r>
      <w:r w:rsidR="00E503B4">
        <w:rPr>
          <w:szCs w:val="20"/>
        </w:rPr>
        <w:t xml:space="preserve"> sheep</w:t>
      </w:r>
      <w:r w:rsidR="00312EEC">
        <w:rPr>
          <w:szCs w:val="20"/>
        </w:rPr>
        <w:t xml:space="preserve">, prime lamb and beef gross margins were the lowest </w:t>
      </w:r>
      <w:r w:rsidR="003B0B17">
        <w:rPr>
          <w:szCs w:val="20"/>
        </w:rPr>
        <w:t xml:space="preserve">in </w:t>
      </w:r>
      <w:r w:rsidR="00365048">
        <w:rPr>
          <w:szCs w:val="20"/>
        </w:rPr>
        <w:t>the state</w:t>
      </w:r>
      <w:r w:rsidR="003B0B17">
        <w:rPr>
          <w:szCs w:val="20"/>
        </w:rPr>
        <w:t xml:space="preserve">. </w:t>
      </w:r>
    </w:p>
    <w:p w14:paraId="20AC4377" w14:textId="343301CE" w:rsidR="00AC4A7B" w:rsidRPr="005D010D" w:rsidRDefault="006B682A" w:rsidP="005D010D">
      <w:pPr>
        <w:pStyle w:val="Heading3"/>
        <w:rPr>
          <w:b/>
          <w:bCs/>
          <w:lang w:val="fr-FR"/>
        </w:rPr>
      </w:pPr>
      <w:bookmarkStart w:id="48" w:name="_Toc214610584"/>
      <w:proofErr w:type="spellStart"/>
      <w:r>
        <w:rPr>
          <w:b/>
          <w:bCs/>
          <w:lang w:val="fr-FR"/>
        </w:rPr>
        <w:t>Costs</w:t>
      </w:r>
      <w:bookmarkEnd w:id="48"/>
      <w:proofErr w:type="spellEnd"/>
    </w:p>
    <w:p w14:paraId="461EDAA9" w14:textId="117199C6" w:rsidR="001F0B78" w:rsidRDefault="00275346" w:rsidP="001F0B78">
      <w:pPr>
        <w:pStyle w:val="Caption"/>
      </w:pPr>
      <w:r>
        <w:rPr>
          <w:noProof/>
        </w:rPr>
        <w:drawing>
          <wp:inline distT="0" distB="0" distL="0" distR="0" wp14:anchorId="6B499D64" wp14:editId="752C1629">
            <wp:extent cx="3208499" cy="1828800"/>
            <wp:effectExtent l="0" t="0" r="0" b="0"/>
            <wp:docPr id="1799450387" name="Picture 2" descr="South west farms average expenditure ($/ha) on fertiliser applied to pasture (2019-20 to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50387" name="Picture 2" descr="South west farms average expenditure ($/ha) on fertiliser applied to pasture (2019-20 to 2024-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22268" cy="1836648"/>
                    </a:xfrm>
                    <a:prstGeom prst="rect">
                      <a:avLst/>
                    </a:prstGeom>
                    <a:noFill/>
                  </pic:spPr>
                </pic:pic>
              </a:graphicData>
            </a:graphic>
          </wp:inline>
        </w:drawing>
      </w:r>
    </w:p>
    <w:p w14:paraId="59C94EB9" w14:textId="61B272C2" w:rsidR="002A17A8" w:rsidRDefault="001F0B78" w:rsidP="001F0B78">
      <w:pPr>
        <w:pStyle w:val="Caption"/>
      </w:pPr>
      <w:bookmarkStart w:id="49" w:name="_Ref148983639"/>
      <w:r>
        <w:t xml:space="preserve">Figure </w:t>
      </w:r>
      <w:r>
        <w:fldChar w:fldCharType="begin"/>
      </w:r>
      <w:r>
        <w:instrText xml:space="preserve"> SEQ Figure \* ARABIC </w:instrText>
      </w:r>
      <w:r>
        <w:fldChar w:fldCharType="separate"/>
      </w:r>
      <w:r w:rsidR="00EF38F6">
        <w:rPr>
          <w:noProof/>
        </w:rPr>
        <w:t>19</w:t>
      </w:r>
      <w:r>
        <w:rPr>
          <w:noProof/>
        </w:rPr>
        <w:fldChar w:fldCharType="end"/>
      </w:r>
      <w:bookmarkEnd w:id="49"/>
      <w:r>
        <w:t xml:space="preserve">. </w:t>
      </w:r>
      <w:proofErr w:type="gramStart"/>
      <w:r w:rsidR="008837EB">
        <w:t xml:space="preserve">South </w:t>
      </w:r>
      <w:r w:rsidR="001D0095">
        <w:t>w</w:t>
      </w:r>
      <w:r w:rsidR="008837EB">
        <w:t>est</w:t>
      </w:r>
      <w:proofErr w:type="gramEnd"/>
      <w:r w:rsidR="008837EB">
        <w:t xml:space="preserve"> </w:t>
      </w:r>
      <w:r w:rsidR="008837EB" w:rsidRPr="008837EB">
        <w:t>farms average expenditure</w:t>
      </w:r>
      <w:r w:rsidR="00636FF2">
        <w:t xml:space="preserve"> ($/ha)</w:t>
      </w:r>
      <w:r w:rsidR="008837EB" w:rsidRPr="008837EB">
        <w:t xml:space="preserve"> on fertiliser applied to pasture (2019-20 to 202</w:t>
      </w:r>
      <w:r w:rsidR="00760F99">
        <w:t>4</w:t>
      </w:r>
      <w:r w:rsidR="008837EB" w:rsidRPr="008837EB">
        <w:t>-2</w:t>
      </w:r>
      <w:r w:rsidR="00760F99">
        <w:t>5</w:t>
      </w:r>
      <w:r w:rsidR="008837EB" w:rsidRPr="008837EB">
        <w:t>)</w:t>
      </w:r>
    </w:p>
    <w:p w14:paraId="76089D4D" w14:textId="6F34FD6B" w:rsidR="00BE1D31" w:rsidRDefault="008850D0" w:rsidP="00EF6BE6">
      <w:r w:rsidRPr="008850D0">
        <w:t xml:space="preserve">In 2024–25, </w:t>
      </w:r>
      <w:proofErr w:type="gramStart"/>
      <w:r w:rsidR="001D0095">
        <w:t>s</w:t>
      </w:r>
      <w:r w:rsidRPr="008850D0">
        <w:t xml:space="preserve">outh </w:t>
      </w:r>
      <w:r w:rsidR="001D0095">
        <w:t>w</w:t>
      </w:r>
      <w:r w:rsidRPr="008850D0">
        <w:t>est</w:t>
      </w:r>
      <w:proofErr w:type="gramEnd"/>
      <w:r w:rsidRPr="008850D0">
        <w:t xml:space="preserve"> farms faced very dry conditions for the second consecutive year, with some </w:t>
      </w:r>
      <w:r w:rsidR="00062923">
        <w:t xml:space="preserve">areas </w:t>
      </w:r>
      <w:r w:rsidRPr="008850D0">
        <w:t xml:space="preserve">recording their lowest rainfall on record. In response to the dry conditions, farm managers reduced fertiliser applications and rates, driven by both agronomic and budget considerations. Almost 10% of </w:t>
      </w:r>
      <w:proofErr w:type="gramStart"/>
      <w:r w:rsidR="001D0095">
        <w:t>s</w:t>
      </w:r>
      <w:r w:rsidRPr="008850D0">
        <w:t xml:space="preserve">outh </w:t>
      </w:r>
      <w:r w:rsidR="001D0095">
        <w:t>w</w:t>
      </w:r>
      <w:r w:rsidRPr="008850D0">
        <w:t>est</w:t>
      </w:r>
      <w:proofErr w:type="gramEnd"/>
      <w:r w:rsidRPr="008850D0">
        <w:t xml:space="preserve"> farms did not apply any fertiliser during the year.</w:t>
      </w:r>
      <w:r w:rsidR="00EF6BE6">
        <w:t xml:space="preserve"> </w:t>
      </w:r>
      <w:r w:rsidR="00852DB3">
        <w:t>Average e</w:t>
      </w:r>
      <w:r w:rsidR="00EF6BE6" w:rsidRPr="008850D0">
        <w:t xml:space="preserve">xpenditure on pasture fertiliser fell to its lowest level in six years </w:t>
      </w:r>
      <w:r w:rsidR="735D4BBD">
        <w:t>(</w:t>
      </w:r>
      <w:r>
        <w:fldChar w:fldCharType="begin"/>
      </w:r>
      <w:r>
        <w:instrText xml:space="preserve"> REF _Ref148983639 \h </w:instrText>
      </w:r>
      <w:r>
        <w:fldChar w:fldCharType="separate"/>
      </w:r>
      <w:r w:rsidR="735D4BBD">
        <w:t xml:space="preserve">Figure </w:t>
      </w:r>
      <w:r w:rsidR="735D4BBD" w:rsidRPr="29A9530F">
        <w:rPr>
          <w:noProof/>
        </w:rPr>
        <w:t>19</w:t>
      </w:r>
      <w:r>
        <w:fldChar w:fldCharType="end"/>
      </w:r>
      <w:r w:rsidR="735D4BBD">
        <w:t>).</w:t>
      </w:r>
    </w:p>
    <w:p w14:paraId="7AF5F99F" w14:textId="31007E62" w:rsidR="00933801" w:rsidRPr="004E71FA" w:rsidRDefault="00933801" w:rsidP="00933801">
      <w:pPr>
        <w:rPr>
          <w:szCs w:val="20"/>
        </w:rPr>
      </w:pPr>
      <w:r>
        <w:rPr>
          <w:szCs w:val="20"/>
        </w:rPr>
        <w:t>S</w:t>
      </w:r>
      <w:r w:rsidRPr="004E71FA">
        <w:rPr>
          <w:szCs w:val="20"/>
        </w:rPr>
        <w:t xml:space="preserve">pring 2024 was dry, with farms receiving an average of 82% of long-term spring rainfall, and some as low as 45%. These conditions were compounded by a very dry autumn in 2025, with average rainfall </w:t>
      </w:r>
      <w:r w:rsidR="003637CD">
        <w:rPr>
          <w:szCs w:val="20"/>
        </w:rPr>
        <w:t xml:space="preserve">across participants </w:t>
      </w:r>
      <w:r w:rsidRPr="004E71FA">
        <w:rPr>
          <w:szCs w:val="20"/>
        </w:rPr>
        <w:t>at 47% of the long-term average, and some farms receiving as little as 20%</w:t>
      </w:r>
      <w:r>
        <w:rPr>
          <w:szCs w:val="20"/>
        </w:rPr>
        <w:t xml:space="preserve"> of their long-term average</w:t>
      </w:r>
      <w:r w:rsidRPr="004E71FA">
        <w:rPr>
          <w:szCs w:val="20"/>
        </w:rPr>
        <w:t>.</w:t>
      </w:r>
    </w:p>
    <w:p w14:paraId="44F29BEF" w14:textId="65502E34" w:rsidR="00EF6BE6" w:rsidRDefault="00BE1D31" w:rsidP="00EF6BE6">
      <w:pPr>
        <w:rPr>
          <w:szCs w:val="20"/>
        </w:rPr>
      </w:pPr>
      <w:r w:rsidRPr="00BE1D31">
        <w:t xml:space="preserve">In the </w:t>
      </w:r>
      <w:proofErr w:type="gramStart"/>
      <w:r w:rsidRPr="00BE1D31">
        <w:t>south</w:t>
      </w:r>
      <w:r w:rsidR="00801A99">
        <w:t xml:space="preserve"> </w:t>
      </w:r>
      <w:r w:rsidRPr="00BE1D31">
        <w:t>west</w:t>
      </w:r>
      <w:proofErr w:type="gramEnd"/>
      <w:r w:rsidRPr="00BE1D31">
        <w:t xml:space="preserve">, most lambing in wool and prime lamb enterprises happens in winter, making autumn and spring key seasons. In autumn, farmers focus on building energy reserves in </w:t>
      </w:r>
      <w:r w:rsidR="00692C45">
        <w:t xml:space="preserve">breeding </w:t>
      </w:r>
      <w:r w:rsidRPr="00BE1D31">
        <w:t xml:space="preserve">ewes </w:t>
      </w:r>
      <w:r w:rsidR="00692C45">
        <w:t xml:space="preserve">to </w:t>
      </w:r>
      <w:r w:rsidR="00B83F93">
        <w:t xml:space="preserve">support </w:t>
      </w:r>
      <w:r w:rsidRPr="00BE1D31">
        <w:t xml:space="preserve">late pregnancy and lactation. In spring, fast pasture growth helps meet the feed needs of lactating ewes and supports </w:t>
      </w:r>
      <w:r w:rsidR="00FA198E">
        <w:t xml:space="preserve">sale </w:t>
      </w:r>
      <w:r w:rsidRPr="00BE1D31">
        <w:t xml:space="preserve">lambs reaching </w:t>
      </w:r>
      <w:r w:rsidR="00A86FBE">
        <w:t>target</w:t>
      </w:r>
      <w:r w:rsidRPr="00BE1D31">
        <w:t xml:space="preserve"> weight</w:t>
      </w:r>
      <w:r w:rsidR="00A86FBE">
        <w:t>s</w:t>
      </w:r>
      <w:r w:rsidRPr="00BE1D31">
        <w:t xml:space="preserve"> by early </w:t>
      </w:r>
      <w:proofErr w:type="gramStart"/>
      <w:r w:rsidRPr="00C55FA5">
        <w:t>summer</w:t>
      </w:r>
      <w:r w:rsidR="005C4545">
        <w:rPr>
          <w:szCs w:val="20"/>
        </w:rPr>
        <w:t>.</w:t>
      </w:r>
      <w:r w:rsidR="00EF6BE6" w:rsidRPr="00C55FA5">
        <w:rPr>
          <w:szCs w:val="20"/>
        </w:rPr>
        <w:t>.</w:t>
      </w:r>
      <w:proofErr w:type="gramEnd"/>
    </w:p>
    <w:p w14:paraId="3E382E99" w14:textId="464AC593" w:rsidR="00FA3090" w:rsidRDefault="00EF451B" w:rsidP="00B63E8F">
      <w:pPr>
        <w:rPr>
          <w:szCs w:val="20"/>
        </w:rPr>
      </w:pPr>
      <w:r w:rsidRPr="004E71FA">
        <w:rPr>
          <w:szCs w:val="20"/>
        </w:rPr>
        <w:lastRenderedPageBreak/>
        <w:t>Dry conditions during th</w:t>
      </w:r>
      <w:r w:rsidR="00C71AC7" w:rsidRPr="004E71FA">
        <w:rPr>
          <w:szCs w:val="20"/>
        </w:rPr>
        <w:t>ese</w:t>
      </w:r>
      <w:r w:rsidRPr="004E71FA">
        <w:rPr>
          <w:szCs w:val="20"/>
        </w:rPr>
        <w:t xml:space="preserve"> critical period</w:t>
      </w:r>
      <w:r w:rsidR="00C71AC7" w:rsidRPr="004E71FA">
        <w:rPr>
          <w:szCs w:val="20"/>
        </w:rPr>
        <w:t>s</w:t>
      </w:r>
      <w:r w:rsidRPr="004E71FA">
        <w:rPr>
          <w:szCs w:val="20"/>
        </w:rPr>
        <w:t xml:space="preserve"> resulted</w:t>
      </w:r>
      <w:r w:rsidR="00CE4EF4">
        <w:rPr>
          <w:szCs w:val="20"/>
        </w:rPr>
        <w:t xml:space="preserve"> in</w:t>
      </w:r>
      <w:r w:rsidR="00DD237D" w:rsidRPr="004E71FA">
        <w:rPr>
          <w:szCs w:val="20"/>
        </w:rPr>
        <w:t xml:space="preserve"> </w:t>
      </w:r>
      <w:r w:rsidR="00CE4EF4">
        <w:rPr>
          <w:szCs w:val="20"/>
        </w:rPr>
        <w:t>a</w:t>
      </w:r>
      <w:r w:rsidR="002B21CB" w:rsidRPr="004E71FA">
        <w:rPr>
          <w:szCs w:val="20"/>
        </w:rPr>
        <w:t>nnual g</w:t>
      </w:r>
      <w:r w:rsidR="003E248C" w:rsidRPr="004E71FA">
        <w:rPr>
          <w:szCs w:val="20"/>
        </w:rPr>
        <w:t>razed p</w:t>
      </w:r>
      <w:r w:rsidR="00DD237D" w:rsidRPr="004E71FA">
        <w:rPr>
          <w:szCs w:val="20"/>
        </w:rPr>
        <w:t>asture</w:t>
      </w:r>
      <w:r w:rsidR="003E248C" w:rsidRPr="004E71FA">
        <w:rPr>
          <w:szCs w:val="20"/>
        </w:rPr>
        <w:t xml:space="preserve"> consumption</w:t>
      </w:r>
      <w:r w:rsidR="00DD237D" w:rsidRPr="004E71FA">
        <w:rPr>
          <w:szCs w:val="20"/>
        </w:rPr>
        <w:t xml:space="preserve"> dropp</w:t>
      </w:r>
      <w:r w:rsidR="00CE4EF4">
        <w:rPr>
          <w:szCs w:val="20"/>
        </w:rPr>
        <w:t>ing</w:t>
      </w:r>
      <w:r w:rsidR="00DD237D" w:rsidRPr="004E71FA">
        <w:rPr>
          <w:szCs w:val="20"/>
        </w:rPr>
        <w:t xml:space="preserve"> </w:t>
      </w:r>
      <w:r w:rsidR="00D8317B" w:rsidRPr="004E71FA">
        <w:rPr>
          <w:szCs w:val="20"/>
        </w:rPr>
        <w:t xml:space="preserve">by 23% </w:t>
      </w:r>
      <w:r w:rsidR="009B6854">
        <w:rPr>
          <w:szCs w:val="20"/>
        </w:rPr>
        <w:t xml:space="preserve">year-on-year </w:t>
      </w:r>
      <w:r w:rsidR="00DD237D" w:rsidRPr="004E71FA">
        <w:rPr>
          <w:szCs w:val="20"/>
        </w:rPr>
        <w:t xml:space="preserve">to </w:t>
      </w:r>
      <w:r w:rsidR="009B23BD" w:rsidRPr="004E71FA">
        <w:rPr>
          <w:szCs w:val="20"/>
        </w:rPr>
        <w:t xml:space="preserve">an average of </w:t>
      </w:r>
      <w:r w:rsidR="003E248C" w:rsidRPr="004E71FA">
        <w:rPr>
          <w:szCs w:val="20"/>
        </w:rPr>
        <w:t>3.1</w:t>
      </w:r>
      <w:r w:rsidR="009B23BD" w:rsidRPr="004E71FA">
        <w:rPr>
          <w:szCs w:val="20"/>
        </w:rPr>
        <w:t xml:space="preserve"> tonne of dry matter per hectare</w:t>
      </w:r>
      <w:r w:rsidR="00F056B7" w:rsidRPr="004E71FA">
        <w:rPr>
          <w:szCs w:val="20"/>
        </w:rPr>
        <w:t xml:space="preserve"> (Appendix B2)</w:t>
      </w:r>
      <w:r w:rsidR="009B23BD" w:rsidRPr="004E71FA">
        <w:rPr>
          <w:szCs w:val="20"/>
        </w:rPr>
        <w:t xml:space="preserve">, </w:t>
      </w:r>
      <w:r w:rsidR="00DD237D" w:rsidRPr="004E71FA">
        <w:rPr>
          <w:szCs w:val="20"/>
        </w:rPr>
        <w:t xml:space="preserve">the lowest </w:t>
      </w:r>
      <w:r w:rsidR="009B23BD" w:rsidRPr="004E71FA">
        <w:rPr>
          <w:szCs w:val="20"/>
        </w:rPr>
        <w:t>level</w:t>
      </w:r>
      <w:r w:rsidR="00FA3090" w:rsidRPr="004E71FA">
        <w:rPr>
          <w:szCs w:val="20"/>
        </w:rPr>
        <w:t xml:space="preserve"> for the region</w:t>
      </w:r>
      <w:r w:rsidR="009B23BD" w:rsidRPr="004E71FA">
        <w:rPr>
          <w:szCs w:val="20"/>
        </w:rPr>
        <w:t xml:space="preserve"> in </w:t>
      </w:r>
      <w:r w:rsidR="00CB6EBE" w:rsidRPr="004E71FA">
        <w:rPr>
          <w:szCs w:val="20"/>
        </w:rPr>
        <w:t>6</w:t>
      </w:r>
      <w:r w:rsidR="009B23BD" w:rsidRPr="004E71FA">
        <w:rPr>
          <w:szCs w:val="20"/>
        </w:rPr>
        <w:t xml:space="preserve"> years</w:t>
      </w:r>
      <w:r w:rsidR="00FA3090" w:rsidRPr="004E71FA">
        <w:rPr>
          <w:szCs w:val="20"/>
        </w:rPr>
        <w:t xml:space="preserve"> and the lowest </w:t>
      </w:r>
      <w:r w:rsidR="00CB6EBE" w:rsidRPr="004E71FA">
        <w:rPr>
          <w:szCs w:val="20"/>
        </w:rPr>
        <w:t>recorded for</w:t>
      </w:r>
      <w:r w:rsidR="00FA3090" w:rsidRPr="004E71FA">
        <w:rPr>
          <w:szCs w:val="20"/>
        </w:rPr>
        <w:t xml:space="preserve"> the state. </w:t>
      </w:r>
    </w:p>
    <w:p w14:paraId="281886BE" w14:textId="777C4648" w:rsidR="00FE2913" w:rsidRPr="00435819" w:rsidRDefault="00D05FB1" w:rsidP="00B63E8F">
      <w:pPr>
        <w:rPr>
          <w:szCs w:val="20"/>
        </w:rPr>
      </w:pPr>
      <w:r>
        <w:rPr>
          <w:szCs w:val="20"/>
        </w:rPr>
        <w:t xml:space="preserve">Low pasture </w:t>
      </w:r>
      <w:r w:rsidR="009A782D">
        <w:rPr>
          <w:szCs w:val="20"/>
        </w:rPr>
        <w:t>growth</w:t>
      </w:r>
      <w:r>
        <w:rPr>
          <w:szCs w:val="20"/>
        </w:rPr>
        <w:t xml:space="preserve"> </w:t>
      </w:r>
      <w:r w:rsidR="009A782D">
        <w:rPr>
          <w:szCs w:val="20"/>
        </w:rPr>
        <w:t xml:space="preserve">created a gap in </w:t>
      </w:r>
      <w:r w:rsidR="003F60DB">
        <w:rPr>
          <w:szCs w:val="20"/>
        </w:rPr>
        <w:t xml:space="preserve">stock </w:t>
      </w:r>
      <w:r w:rsidR="009A782D">
        <w:rPr>
          <w:szCs w:val="20"/>
        </w:rPr>
        <w:t>feed require</w:t>
      </w:r>
      <w:r w:rsidR="004E5199">
        <w:rPr>
          <w:szCs w:val="20"/>
        </w:rPr>
        <w:t xml:space="preserve">ments on </w:t>
      </w:r>
      <w:proofErr w:type="gramStart"/>
      <w:r w:rsidR="004E5199">
        <w:rPr>
          <w:szCs w:val="20"/>
        </w:rPr>
        <w:t>south west</w:t>
      </w:r>
      <w:proofErr w:type="gramEnd"/>
      <w:r w:rsidR="004E5199">
        <w:rPr>
          <w:szCs w:val="20"/>
        </w:rPr>
        <w:t xml:space="preserve"> farms</w:t>
      </w:r>
      <w:r w:rsidR="00AC05B8">
        <w:rPr>
          <w:szCs w:val="20"/>
        </w:rPr>
        <w:t xml:space="preserve"> that was filled by</w:t>
      </w:r>
      <w:r w:rsidR="009A782D">
        <w:rPr>
          <w:szCs w:val="20"/>
        </w:rPr>
        <w:t xml:space="preserve"> </w:t>
      </w:r>
      <w:r w:rsidR="00AC05B8">
        <w:rPr>
          <w:szCs w:val="20"/>
        </w:rPr>
        <w:t xml:space="preserve">purchased and </w:t>
      </w:r>
      <w:r w:rsidR="001C3626">
        <w:rPr>
          <w:szCs w:val="20"/>
        </w:rPr>
        <w:t xml:space="preserve">homegrown </w:t>
      </w:r>
      <w:r w:rsidR="009A782D">
        <w:rPr>
          <w:szCs w:val="20"/>
        </w:rPr>
        <w:t>s</w:t>
      </w:r>
      <w:r w:rsidR="00EC0FC0">
        <w:rPr>
          <w:szCs w:val="20"/>
        </w:rPr>
        <w:t>upplementary feed</w:t>
      </w:r>
      <w:r w:rsidR="00AC05B8">
        <w:rPr>
          <w:szCs w:val="20"/>
        </w:rPr>
        <w:t>.</w:t>
      </w:r>
      <w:r w:rsidR="00A725FC">
        <w:rPr>
          <w:szCs w:val="20"/>
        </w:rPr>
        <w:t xml:space="preserve"> </w:t>
      </w:r>
      <w:r w:rsidR="00FE2913" w:rsidRPr="00435819">
        <w:rPr>
          <w:szCs w:val="20"/>
        </w:rPr>
        <w:t xml:space="preserve">Prime lamb enterprises were most reliant on supplementary feed, with supplementary feed making up </w:t>
      </w:r>
      <w:r w:rsidR="00D7496F" w:rsidRPr="00435819">
        <w:rPr>
          <w:szCs w:val="20"/>
        </w:rPr>
        <w:t>30</w:t>
      </w:r>
      <w:r w:rsidR="00FE2913" w:rsidRPr="00435819">
        <w:rPr>
          <w:szCs w:val="20"/>
        </w:rPr>
        <w:t xml:space="preserve">% of all feed consumed </w:t>
      </w:r>
      <w:r w:rsidR="00121B93" w:rsidRPr="00435819">
        <w:rPr>
          <w:szCs w:val="20"/>
        </w:rPr>
        <w:t xml:space="preserve">in </w:t>
      </w:r>
      <w:proofErr w:type="gramStart"/>
      <w:r w:rsidR="00121B93" w:rsidRPr="00435819">
        <w:rPr>
          <w:szCs w:val="20"/>
        </w:rPr>
        <w:t>south west</w:t>
      </w:r>
      <w:proofErr w:type="gramEnd"/>
      <w:r w:rsidR="00FE2913" w:rsidRPr="00435819">
        <w:rPr>
          <w:szCs w:val="20"/>
        </w:rPr>
        <w:t xml:space="preserve"> prime lamb enterprises. </w:t>
      </w:r>
    </w:p>
    <w:p w14:paraId="38B4AF0A" w14:textId="63E12A88" w:rsidR="00A0455D" w:rsidRPr="00CB5AF3" w:rsidRDefault="00A0455D" w:rsidP="00A0455D">
      <w:pPr>
        <w:rPr>
          <w:szCs w:val="20"/>
        </w:rPr>
      </w:pPr>
      <w:r w:rsidRPr="00CB5AF3">
        <w:rPr>
          <w:szCs w:val="20"/>
        </w:rPr>
        <w:t xml:space="preserve">Spending on purchased supplementary feed increased by 62% in 2024-25, to be the highest level in </w:t>
      </w:r>
      <w:r w:rsidR="00B56775" w:rsidRPr="00CB5AF3">
        <w:rPr>
          <w:szCs w:val="20"/>
        </w:rPr>
        <w:t>6</w:t>
      </w:r>
      <w:r w:rsidRPr="00CB5AF3">
        <w:rPr>
          <w:szCs w:val="20"/>
        </w:rPr>
        <w:t xml:space="preserve"> years (</w:t>
      </w:r>
      <w:r w:rsidRPr="00CB5AF3">
        <w:rPr>
          <w:szCs w:val="20"/>
        </w:rPr>
        <w:fldChar w:fldCharType="begin"/>
      </w:r>
      <w:r w:rsidRPr="00CB5AF3">
        <w:rPr>
          <w:szCs w:val="20"/>
        </w:rPr>
        <w:instrText xml:space="preserve"> REF _Ref148954209 \h </w:instrText>
      </w:r>
      <w:r w:rsidRPr="00CB5AF3">
        <w:rPr>
          <w:szCs w:val="20"/>
        </w:rPr>
      </w:r>
      <w:r w:rsidRPr="00CB5AF3">
        <w:rPr>
          <w:szCs w:val="20"/>
        </w:rPr>
        <w:fldChar w:fldCharType="separate"/>
      </w:r>
      <w:r w:rsidRPr="00CB5AF3">
        <w:t xml:space="preserve">Figure </w:t>
      </w:r>
      <w:r w:rsidRPr="00CB5AF3">
        <w:rPr>
          <w:noProof/>
        </w:rPr>
        <w:t>20</w:t>
      </w:r>
      <w:r w:rsidRPr="00CB5AF3">
        <w:rPr>
          <w:szCs w:val="20"/>
        </w:rPr>
        <w:fldChar w:fldCharType="end"/>
      </w:r>
      <w:r w:rsidRPr="00CB5AF3">
        <w:rPr>
          <w:szCs w:val="20"/>
        </w:rPr>
        <w:t xml:space="preserve">). Purchased supplementary feed was the largest cost item </w:t>
      </w:r>
      <w:r w:rsidR="00D91A1D">
        <w:rPr>
          <w:szCs w:val="20"/>
        </w:rPr>
        <w:t>for</w:t>
      </w:r>
      <w:r w:rsidRPr="00CB5AF3">
        <w:rPr>
          <w:szCs w:val="20"/>
        </w:rPr>
        <w:t xml:space="preserve"> </w:t>
      </w:r>
      <w:proofErr w:type="gramStart"/>
      <w:r w:rsidR="001D0095">
        <w:rPr>
          <w:szCs w:val="20"/>
        </w:rPr>
        <w:t>s</w:t>
      </w:r>
      <w:r w:rsidRPr="00CB5AF3">
        <w:rPr>
          <w:szCs w:val="20"/>
        </w:rPr>
        <w:t xml:space="preserve">outh </w:t>
      </w:r>
      <w:r w:rsidR="001D0095">
        <w:rPr>
          <w:szCs w:val="20"/>
        </w:rPr>
        <w:t>w</w:t>
      </w:r>
      <w:r w:rsidRPr="00CB5AF3">
        <w:rPr>
          <w:szCs w:val="20"/>
        </w:rPr>
        <w:t>est</w:t>
      </w:r>
      <w:proofErr w:type="gramEnd"/>
      <w:r w:rsidRPr="00CB5AF3">
        <w:rPr>
          <w:szCs w:val="20"/>
        </w:rPr>
        <w:t xml:space="preserve"> farms in 2023-24, making up </w:t>
      </w:r>
      <w:r w:rsidR="00F76694" w:rsidRPr="00CB5AF3">
        <w:rPr>
          <w:szCs w:val="20"/>
        </w:rPr>
        <w:t>29</w:t>
      </w:r>
      <w:r w:rsidRPr="00CB5AF3">
        <w:rPr>
          <w:szCs w:val="20"/>
        </w:rPr>
        <w:t xml:space="preserve">% of average farm cash operating costs. </w:t>
      </w:r>
    </w:p>
    <w:p w14:paraId="2E4C2C96" w14:textId="29CAB34C" w:rsidR="007F066A" w:rsidRPr="000350AC" w:rsidRDefault="00115CD8" w:rsidP="00B63E8F">
      <w:pPr>
        <w:rPr>
          <w:szCs w:val="20"/>
        </w:rPr>
      </w:pPr>
      <w:r w:rsidRPr="000350AC">
        <w:rPr>
          <w:szCs w:val="20"/>
        </w:rPr>
        <w:t xml:space="preserve">The increased cost of drought feeding led to </w:t>
      </w:r>
      <w:r w:rsidR="007D04B0" w:rsidRPr="000350AC">
        <w:rPr>
          <w:szCs w:val="20"/>
        </w:rPr>
        <w:t xml:space="preserve">the regional average variable </w:t>
      </w:r>
      <w:r w:rsidR="00A0455D" w:rsidRPr="000350AC">
        <w:rPr>
          <w:szCs w:val="20"/>
        </w:rPr>
        <w:t xml:space="preserve">costs </w:t>
      </w:r>
      <w:r w:rsidR="007D04B0" w:rsidRPr="000350AC">
        <w:rPr>
          <w:szCs w:val="20"/>
        </w:rPr>
        <w:t xml:space="preserve">increasing to the </w:t>
      </w:r>
      <w:r w:rsidR="00A0455D" w:rsidRPr="000350AC">
        <w:rPr>
          <w:szCs w:val="20"/>
        </w:rPr>
        <w:t>highest recorded</w:t>
      </w:r>
      <w:r w:rsidR="00D545DE" w:rsidRPr="000350AC">
        <w:rPr>
          <w:szCs w:val="20"/>
        </w:rPr>
        <w:t xml:space="preserve"> (</w:t>
      </w:r>
      <w:r w:rsidR="000350AC" w:rsidRPr="000350AC">
        <w:rPr>
          <w:szCs w:val="20"/>
        </w:rPr>
        <w:t>$726/ha)</w:t>
      </w:r>
      <w:r w:rsidR="00A0455D" w:rsidRPr="000350AC">
        <w:rPr>
          <w:szCs w:val="20"/>
        </w:rPr>
        <w:t xml:space="preserve"> in the 5</w:t>
      </w:r>
      <w:r w:rsidR="007D04B0" w:rsidRPr="000350AC">
        <w:rPr>
          <w:szCs w:val="20"/>
        </w:rPr>
        <w:t>5</w:t>
      </w:r>
      <w:r w:rsidR="00A0455D" w:rsidRPr="000350AC">
        <w:rPr>
          <w:szCs w:val="20"/>
        </w:rPr>
        <w:t xml:space="preserve">-year history of the project in the </w:t>
      </w:r>
      <w:proofErr w:type="gramStart"/>
      <w:r w:rsidR="001D0095">
        <w:rPr>
          <w:szCs w:val="20"/>
        </w:rPr>
        <w:t>s</w:t>
      </w:r>
      <w:r w:rsidR="00A0455D" w:rsidRPr="000350AC">
        <w:rPr>
          <w:szCs w:val="20"/>
        </w:rPr>
        <w:t xml:space="preserve">outh </w:t>
      </w:r>
      <w:r w:rsidR="001D0095">
        <w:rPr>
          <w:szCs w:val="20"/>
        </w:rPr>
        <w:t>w</w:t>
      </w:r>
      <w:r w:rsidR="00A0455D" w:rsidRPr="000350AC">
        <w:rPr>
          <w:szCs w:val="20"/>
        </w:rPr>
        <w:t>est</w:t>
      </w:r>
      <w:proofErr w:type="gramEnd"/>
      <w:r w:rsidR="00A0455D" w:rsidRPr="000350AC">
        <w:rPr>
          <w:szCs w:val="20"/>
        </w:rPr>
        <w:t>.</w:t>
      </w:r>
    </w:p>
    <w:p w14:paraId="3D6DF045" w14:textId="13C0F2F6" w:rsidR="00BA011E" w:rsidRPr="00935D30" w:rsidRDefault="00275346" w:rsidP="00E235FA">
      <w:pPr>
        <w:rPr>
          <w:b/>
          <w:bCs/>
          <w:color w:val="FF0000"/>
          <w:szCs w:val="20"/>
        </w:rPr>
      </w:pPr>
      <w:r w:rsidRPr="00935D30">
        <w:rPr>
          <w:b/>
          <w:bCs/>
          <w:noProof/>
          <w:color w:val="FF0000"/>
          <w:szCs w:val="20"/>
        </w:rPr>
        <w:drawing>
          <wp:inline distT="0" distB="0" distL="0" distR="0" wp14:anchorId="134B5171" wp14:editId="5B027580">
            <wp:extent cx="2565400" cy="1542083"/>
            <wp:effectExtent l="0" t="0" r="6350" b="1270"/>
            <wp:docPr id="821526266" name="Picture 3" descr="South west average farm expenditure ($/ha) on purchased supplementary feed (2019-20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26266" name="Picture 3" descr="South west average farm expenditure ($/ha) on purchased supplementary feed (2019-20 to 2023-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73918" cy="1547203"/>
                    </a:xfrm>
                    <a:prstGeom prst="rect">
                      <a:avLst/>
                    </a:prstGeom>
                    <a:noFill/>
                  </pic:spPr>
                </pic:pic>
              </a:graphicData>
            </a:graphic>
          </wp:inline>
        </w:drawing>
      </w:r>
    </w:p>
    <w:p w14:paraId="68D42659" w14:textId="09B3A943" w:rsidR="002339E4" w:rsidRPr="00AB7548" w:rsidRDefault="001F0B78" w:rsidP="001F0B78">
      <w:pPr>
        <w:pStyle w:val="Caption"/>
      </w:pPr>
      <w:bookmarkStart w:id="50" w:name="_Ref148954209"/>
      <w:r w:rsidRPr="00AB7548">
        <w:t xml:space="preserve">Figure </w:t>
      </w:r>
      <w:r w:rsidRPr="00AB7548">
        <w:fldChar w:fldCharType="begin"/>
      </w:r>
      <w:r w:rsidRPr="00AB7548">
        <w:instrText>SEQ Figure \* ARABIC</w:instrText>
      </w:r>
      <w:r w:rsidRPr="00AB7548">
        <w:fldChar w:fldCharType="separate"/>
      </w:r>
      <w:r w:rsidR="00EF38F6" w:rsidRPr="00AB7548">
        <w:rPr>
          <w:noProof/>
        </w:rPr>
        <w:t>20</w:t>
      </w:r>
      <w:r w:rsidRPr="00AB7548">
        <w:fldChar w:fldCharType="end"/>
      </w:r>
      <w:bookmarkEnd w:id="50"/>
      <w:r w:rsidRPr="00AB7548">
        <w:t xml:space="preserve">. </w:t>
      </w:r>
      <w:proofErr w:type="gramStart"/>
      <w:r w:rsidR="00361E67" w:rsidRPr="00AB7548">
        <w:t xml:space="preserve">South </w:t>
      </w:r>
      <w:r w:rsidR="001D0095">
        <w:t>w</w:t>
      </w:r>
      <w:r w:rsidR="00361E67" w:rsidRPr="00AB7548">
        <w:t>est</w:t>
      </w:r>
      <w:proofErr w:type="gramEnd"/>
      <w:r w:rsidR="00361E67" w:rsidRPr="00AB7548">
        <w:t xml:space="preserve"> average farm expenditure</w:t>
      </w:r>
      <w:r w:rsidR="007C209B">
        <w:t xml:space="preserve"> ($/ha)</w:t>
      </w:r>
      <w:r w:rsidR="00361E67" w:rsidRPr="00AB7548">
        <w:t xml:space="preserve"> on purchased supplementary feed (2019-20 to 2023-24).</w:t>
      </w:r>
    </w:p>
    <w:p w14:paraId="374885E4" w14:textId="3F3A693A" w:rsidR="00B66031" w:rsidRPr="005D010D" w:rsidRDefault="008411B5" w:rsidP="005D010D">
      <w:pPr>
        <w:pStyle w:val="Heading3"/>
        <w:rPr>
          <w:b/>
          <w:bCs/>
          <w:color w:val="auto"/>
        </w:rPr>
      </w:pPr>
      <w:bookmarkStart w:id="51" w:name="_Toc214610585"/>
      <w:r w:rsidRPr="00AB7548">
        <w:rPr>
          <w:b/>
          <w:bCs/>
          <w:color w:val="auto"/>
        </w:rPr>
        <w:t>Price received</w:t>
      </w:r>
      <w:bookmarkEnd w:id="51"/>
    </w:p>
    <w:p w14:paraId="6CF5F3AD" w14:textId="3452F288" w:rsidR="004D1163" w:rsidRPr="00935D30" w:rsidRDefault="000D74A9" w:rsidP="004D1163">
      <w:pPr>
        <w:pStyle w:val="Caption"/>
        <w:rPr>
          <w:color w:val="FF0000"/>
        </w:rPr>
      </w:pPr>
      <w:r w:rsidRPr="00935D30">
        <w:rPr>
          <w:noProof/>
          <w:color w:val="FF0000"/>
        </w:rPr>
        <w:drawing>
          <wp:inline distT="0" distB="0" distL="0" distR="0" wp14:anchorId="7660223B" wp14:editId="6CA4839B">
            <wp:extent cx="2820541" cy="1695450"/>
            <wp:effectExtent l="0" t="0" r="0" b="0"/>
            <wp:docPr id="1344028873" name="Picture 4" descr="South west average gross farm income ($/ha) and 10-year average gross farm income (line) (2015-16 to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28873" name="Picture 4" descr="South west average gross farm income ($/ha) and 10-year average gross farm income (line) (2015-16 to 2024-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33855" cy="1703453"/>
                    </a:xfrm>
                    <a:prstGeom prst="rect">
                      <a:avLst/>
                    </a:prstGeom>
                    <a:noFill/>
                  </pic:spPr>
                </pic:pic>
              </a:graphicData>
            </a:graphic>
          </wp:inline>
        </w:drawing>
      </w:r>
    </w:p>
    <w:p w14:paraId="44EDD262" w14:textId="4BEE467E" w:rsidR="004D1163" w:rsidRPr="00F27C01" w:rsidRDefault="004D1163" w:rsidP="004D1163">
      <w:pPr>
        <w:pStyle w:val="Caption"/>
      </w:pPr>
      <w:bookmarkStart w:id="52" w:name="_Ref212199009"/>
      <w:r w:rsidRPr="00F27C01">
        <w:t xml:space="preserve">Figure </w:t>
      </w:r>
      <w:r w:rsidRPr="00F27C01">
        <w:fldChar w:fldCharType="begin"/>
      </w:r>
      <w:r w:rsidRPr="00F27C01">
        <w:instrText xml:space="preserve"> SEQ Figure \* ARABIC </w:instrText>
      </w:r>
      <w:r w:rsidRPr="00F27C01">
        <w:fldChar w:fldCharType="separate"/>
      </w:r>
      <w:r w:rsidRPr="00F27C01">
        <w:rPr>
          <w:noProof/>
        </w:rPr>
        <w:t>21</w:t>
      </w:r>
      <w:r w:rsidRPr="00F27C01">
        <w:rPr>
          <w:noProof/>
        </w:rPr>
        <w:fldChar w:fldCharType="end"/>
      </w:r>
      <w:bookmarkEnd w:id="52"/>
      <w:r w:rsidRPr="00F27C01">
        <w:t xml:space="preserve">. </w:t>
      </w:r>
      <w:proofErr w:type="gramStart"/>
      <w:r w:rsidR="00F27C01" w:rsidRPr="00F27C01">
        <w:t>South west</w:t>
      </w:r>
      <w:proofErr w:type="gramEnd"/>
      <w:r w:rsidR="00F27C01" w:rsidRPr="00F27C01">
        <w:t xml:space="preserve"> average gross farm income ($/ha) and 10-year average gross farm income (line) (2015-16 to 2024-25).</w:t>
      </w:r>
    </w:p>
    <w:p w14:paraId="38646D23" w14:textId="77777777" w:rsidR="00737BAA" w:rsidRPr="001A6E20" w:rsidRDefault="00737BAA" w:rsidP="00737BAA">
      <w:r w:rsidRPr="001A6E20">
        <w:t xml:space="preserve">The dominant source of income on </w:t>
      </w:r>
      <w:proofErr w:type="gramStart"/>
      <w:r w:rsidRPr="001A6E20">
        <w:t>south west</w:t>
      </w:r>
      <w:proofErr w:type="gramEnd"/>
      <w:r w:rsidRPr="001A6E20">
        <w:t xml:space="preserve"> farms was sheep sales (51%) and cattle sales (18%) (Appendix B5). </w:t>
      </w:r>
    </w:p>
    <w:p w14:paraId="703F5084" w14:textId="14E9DF77" w:rsidR="00737BAA" w:rsidRPr="00F27C01" w:rsidRDefault="00E260F0" w:rsidP="005B1D06">
      <w:r w:rsidRPr="00F27C01">
        <w:t>The</w:t>
      </w:r>
      <w:r w:rsidR="00D91A1D">
        <w:t>re was a</w:t>
      </w:r>
      <w:r w:rsidRPr="00F27C01">
        <w:t xml:space="preserve"> small annual increase</w:t>
      </w:r>
      <w:r w:rsidR="0061191E" w:rsidRPr="00F27C01">
        <w:t xml:space="preserve"> (+7%)</w:t>
      </w:r>
      <w:r w:rsidRPr="00F27C01">
        <w:t xml:space="preserve"> in a</w:t>
      </w:r>
      <w:r w:rsidR="005B1D06" w:rsidRPr="00F27C01">
        <w:t xml:space="preserve">verage gross farm income </w:t>
      </w:r>
      <w:r w:rsidR="004D5BEE" w:rsidRPr="00F27C01">
        <w:t>recorded in 2024-25</w:t>
      </w:r>
      <w:r w:rsidR="0061191E" w:rsidRPr="00F27C01">
        <w:t xml:space="preserve"> (</w:t>
      </w:r>
      <w:r w:rsidR="0061191E" w:rsidRPr="00F27C01">
        <w:fldChar w:fldCharType="begin"/>
      </w:r>
      <w:r w:rsidR="0061191E" w:rsidRPr="00F27C01">
        <w:instrText xml:space="preserve"> REF _Ref212199009 \h </w:instrText>
      </w:r>
      <w:r w:rsidR="0061191E" w:rsidRPr="00F27C01">
        <w:fldChar w:fldCharType="separate"/>
      </w:r>
      <w:r w:rsidR="0061191E" w:rsidRPr="00F27C01">
        <w:t xml:space="preserve">Figure </w:t>
      </w:r>
      <w:r w:rsidR="0061191E" w:rsidRPr="00F27C01">
        <w:rPr>
          <w:noProof/>
        </w:rPr>
        <w:t>21</w:t>
      </w:r>
      <w:r w:rsidR="0061191E" w:rsidRPr="00F27C01">
        <w:fldChar w:fldCharType="end"/>
      </w:r>
      <w:r w:rsidR="0061191E" w:rsidRPr="00F27C01">
        <w:t>)</w:t>
      </w:r>
      <w:r w:rsidR="00D91A1D">
        <w:t>. This</w:t>
      </w:r>
      <w:r w:rsidR="004D5BEE" w:rsidRPr="00F27C01">
        <w:t xml:space="preserve"> </w:t>
      </w:r>
      <w:r w:rsidR="0061191E" w:rsidRPr="00F27C01">
        <w:t>was</w:t>
      </w:r>
      <w:r w:rsidR="004D5BEE" w:rsidRPr="00F27C01">
        <w:t xml:space="preserve"> a result of improved red meat </w:t>
      </w:r>
      <w:proofErr w:type="gramStart"/>
      <w:r w:rsidR="004D5BEE" w:rsidRPr="00F27C01">
        <w:t>price</w:t>
      </w:r>
      <w:r w:rsidR="00E42080" w:rsidRPr="00F27C01">
        <w:t>s</w:t>
      </w:r>
      <w:r w:rsidR="00D91A1D">
        <w:t>,</w:t>
      </w:r>
      <w:r w:rsidR="00E42080" w:rsidRPr="00F27C01">
        <w:t xml:space="preserve">  </w:t>
      </w:r>
      <w:r w:rsidR="00265DFD">
        <w:t>tempered</w:t>
      </w:r>
      <w:proofErr w:type="gramEnd"/>
      <w:r w:rsidR="00E42080" w:rsidRPr="00F27C01">
        <w:t xml:space="preserve"> by </w:t>
      </w:r>
      <w:r w:rsidR="001D206F" w:rsidRPr="00F27C01">
        <w:t>decreases</w:t>
      </w:r>
      <w:r w:rsidR="00737BAA" w:rsidRPr="00F27C01">
        <w:t xml:space="preserve"> in inventories of commodities on</w:t>
      </w:r>
      <w:r w:rsidR="001D206F" w:rsidRPr="00F27C01">
        <w:t xml:space="preserve"> </w:t>
      </w:r>
      <w:r w:rsidR="00737BAA" w:rsidRPr="00F27C01">
        <w:t xml:space="preserve">farm (feed, livestock, wool). Dry conditions led farmers across </w:t>
      </w:r>
      <w:r w:rsidR="004D1751" w:rsidRPr="00F27C01">
        <w:t xml:space="preserve">the </w:t>
      </w:r>
      <w:proofErr w:type="gramStart"/>
      <w:r w:rsidR="004D1751" w:rsidRPr="00F27C01">
        <w:t>south west</w:t>
      </w:r>
      <w:proofErr w:type="gramEnd"/>
      <w:r w:rsidR="00737BAA" w:rsidRPr="00F27C01">
        <w:t xml:space="preserve"> to draw down on feed inventories and reduce the number of </w:t>
      </w:r>
      <w:proofErr w:type="gramStart"/>
      <w:r w:rsidR="00737BAA" w:rsidRPr="00F27C01">
        <w:t>stock</w:t>
      </w:r>
      <w:proofErr w:type="gramEnd"/>
      <w:r w:rsidR="00737BAA" w:rsidRPr="00F27C01">
        <w:t xml:space="preserve"> on hand. </w:t>
      </w:r>
    </w:p>
    <w:p w14:paraId="4F5F1C1A" w14:textId="41EF852E" w:rsidR="006C5078" w:rsidRPr="005D010D" w:rsidRDefault="00200075" w:rsidP="005D010D">
      <w:pPr>
        <w:pStyle w:val="Heading3"/>
        <w:rPr>
          <w:b/>
          <w:bCs/>
          <w:color w:val="auto"/>
        </w:rPr>
      </w:pPr>
      <w:bookmarkStart w:id="53" w:name="_Toc214610586"/>
      <w:r w:rsidRPr="005A0B79">
        <w:rPr>
          <w:b/>
          <w:bCs/>
          <w:color w:val="auto"/>
        </w:rPr>
        <w:t>Capital structure</w:t>
      </w:r>
      <w:bookmarkEnd w:id="53"/>
    </w:p>
    <w:p w14:paraId="76955902" w14:textId="0F9EB53C" w:rsidR="00F56CC9" w:rsidRPr="008B1F11" w:rsidRDefault="00E31AB2" w:rsidP="00A26604">
      <w:r w:rsidRPr="008B1F11">
        <w:t>In 202</w:t>
      </w:r>
      <w:r w:rsidR="00303CF5" w:rsidRPr="008B1F11">
        <w:t>4</w:t>
      </w:r>
      <w:r w:rsidRPr="008B1F11">
        <w:t>-2</w:t>
      </w:r>
      <w:r w:rsidR="00303CF5" w:rsidRPr="008B1F11">
        <w:t>5</w:t>
      </w:r>
      <w:r w:rsidRPr="008B1F11">
        <w:t>, t</w:t>
      </w:r>
      <w:r w:rsidR="00BA0DB1" w:rsidRPr="008B1F11">
        <w:t xml:space="preserve">he average amount of farm debt owed </w:t>
      </w:r>
      <w:r w:rsidR="001F3F18" w:rsidRPr="008B1F11">
        <w:t xml:space="preserve">by </w:t>
      </w:r>
      <w:proofErr w:type="gramStart"/>
      <w:r w:rsidR="002B36A3" w:rsidRPr="008B1F11">
        <w:t>s</w:t>
      </w:r>
      <w:r w:rsidR="001F3F18" w:rsidRPr="008B1F11">
        <w:t xml:space="preserve">outh </w:t>
      </w:r>
      <w:r w:rsidR="002B36A3" w:rsidRPr="008B1F11">
        <w:t>w</w:t>
      </w:r>
      <w:r w:rsidR="001F3F18" w:rsidRPr="008B1F11">
        <w:t>est</w:t>
      </w:r>
      <w:proofErr w:type="gramEnd"/>
      <w:r w:rsidR="001F3F18" w:rsidRPr="008B1F11">
        <w:t xml:space="preserve"> farms increased </w:t>
      </w:r>
      <w:r w:rsidR="00303CF5" w:rsidRPr="008B1F11">
        <w:t>by 8</w:t>
      </w:r>
      <w:r w:rsidR="00520477" w:rsidRPr="008B1F11">
        <w:t xml:space="preserve">% </w:t>
      </w:r>
      <w:r w:rsidR="001F3F18" w:rsidRPr="008B1F11">
        <w:t>to</w:t>
      </w:r>
      <w:r w:rsidRPr="008B1F11">
        <w:t xml:space="preserve"> $2</w:t>
      </w:r>
      <w:r w:rsidR="00931D8F" w:rsidRPr="008B1F11">
        <w:t>,</w:t>
      </w:r>
      <w:r w:rsidR="002B36A3" w:rsidRPr="008B1F11">
        <w:t>822</w:t>
      </w:r>
      <w:r w:rsidRPr="008B1F11">
        <w:t>/ha,</w:t>
      </w:r>
      <w:r w:rsidR="001F3F18" w:rsidRPr="008B1F11">
        <w:t xml:space="preserve"> a 10-year high</w:t>
      </w:r>
      <w:r w:rsidRPr="008B1F11">
        <w:t xml:space="preserve">. </w:t>
      </w:r>
      <w:r w:rsidR="00BA0DB1" w:rsidRPr="008B1F11">
        <w:t>Between July 202</w:t>
      </w:r>
      <w:r w:rsidR="002B36A3" w:rsidRPr="008B1F11">
        <w:t>4</w:t>
      </w:r>
      <w:r w:rsidR="00BA0DB1" w:rsidRPr="008B1F11">
        <w:t xml:space="preserve"> and June 202</w:t>
      </w:r>
      <w:r w:rsidR="002B36A3" w:rsidRPr="008B1F11">
        <w:t>5</w:t>
      </w:r>
      <w:r w:rsidR="00BA0DB1" w:rsidRPr="008B1F11">
        <w:t xml:space="preserve">, </w:t>
      </w:r>
      <w:r w:rsidR="00660469" w:rsidRPr="008B1F11">
        <w:t>5</w:t>
      </w:r>
      <w:r w:rsidR="000C5027" w:rsidRPr="008B1F11">
        <w:t>6</w:t>
      </w:r>
      <w:r w:rsidR="00BA0DB1" w:rsidRPr="008B1F11">
        <w:t xml:space="preserve">% of </w:t>
      </w:r>
      <w:proofErr w:type="gramStart"/>
      <w:r w:rsidR="005D4E93" w:rsidRPr="008B1F11">
        <w:t>s</w:t>
      </w:r>
      <w:r w:rsidR="00660469" w:rsidRPr="008B1F11">
        <w:t xml:space="preserve">outh </w:t>
      </w:r>
      <w:r w:rsidR="005D4E93" w:rsidRPr="008B1F11">
        <w:t>w</w:t>
      </w:r>
      <w:r w:rsidR="00660469" w:rsidRPr="008B1F11">
        <w:t>est</w:t>
      </w:r>
      <w:proofErr w:type="gramEnd"/>
      <w:r w:rsidR="00BA0DB1" w:rsidRPr="008B1F11">
        <w:t xml:space="preserve"> farms (</w:t>
      </w:r>
      <w:r w:rsidR="00BA0DB1" w:rsidRPr="008B1F11">
        <w:fldChar w:fldCharType="begin"/>
      </w:r>
      <w:r w:rsidR="00BA0DB1" w:rsidRPr="008B1F11">
        <w:instrText xml:space="preserve"> REF _Ref148966874 \h </w:instrText>
      </w:r>
      <w:r w:rsidR="00BA0DB1" w:rsidRPr="008B1F11">
        <w:fldChar w:fldCharType="separate"/>
      </w:r>
      <w:r w:rsidR="00BA0DB1" w:rsidRPr="008B1F11">
        <w:t xml:space="preserve">Figure </w:t>
      </w:r>
      <w:r w:rsidR="00BA0DB1" w:rsidRPr="008B1F11">
        <w:rPr>
          <w:noProof/>
        </w:rPr>
        <w:t>5</w:t>
      </w:r>
      <w:r w:rsidR="00BA0DB1" w:rsidRPr="008B1F11">
        <w:fldChar w:fldCharType="end"/>
      </w:r>
      <w:r w:rsidR="00BA0DB1" w:rsidRPr="008B1F11">
        <w:t xml:space="preserve">) increased their debt. </w:t>
      </w:r>
    </w:p>
    <w:p w14:paraId="2579B318" w14:textId="52BC80C6" w:rsidR="0032463E" w:rsidRPr="004F071F" w:rsidRDefault="00F50A7D" w:rsidP="00441B18">
      <w:r w:rsidRPr="004F071F">
        <w:rPr>
          <w:szCs w:val="20"/>
        </w:rPr>
        <w:t xml:space="preserve">With farmland values declining across the </w:t>
      </w:r>
      <w:r w:rsidR="00414A03">
        <w:rPr>
          <w:szCs w:val="20"/>
        </w:rPr>
        <w:t>region</w:t>
      </w:r>
      <w:r w:rsidRPr="004F071F">
        <w:rPr>
          <w:szCs w:val="20"/>
        </w:rPr>
        <w:t xml:space="preserve"> and debt levels increasing, equity fell on a large proportion of farms (62%). The regional average equity percentage decreased for the third consecutive year to 82% (Appendix A6). Farm business equity reflects financial risk exposure and has implications for debt servicing and cash flow. Nearly 40% of </w:t>
      </w:r>
      <w:proofErr w:type="gramStart"/>
      <w:r w:rsidR="004A3AE3">
        <w:rPr>
          <w:szCs w:val="20"/>
        </w:rPr>
        <w:t>s</w:t>
      </w:r>
      <w:r w:rsidRPr="004F071F">
        <w:rPr>
          <w:szCs w:val="20"/>
        </w:rPr>
        <w:t xml:space="preserve">outh </w:t>
      </w:r>
      <w:r w:rsidR="004A3AE3">
        <w:rPr>
          <w:szCs w:val="20"/>
        </w:rPr>
        <w:t>w</w:t>
      </w:r>
      <w:r w:rsidRPr="004F071F">
        <w:rPr>
          <w:szCs w:val="20"/>
        </w:rPr>
        <w:t>est</w:t>
      </w:r>
      <w:proofErr w:type="gramEnd"/>
      <w:r w:rsidRPr="004F071F">
        <w:rPr>
          <w:szCs w:val="20"/>
        </w:rPr>
        <w:t xml:space="preserve"> farms </w:t>
      </w:r>
      <w:r w:rsidRPr="004F071F">
        <w:rPr>
          <w:szCs w:val="20"/>
        </w:rPr>
        <w:lastRenderedPageBreak/>
        <w:t xml:space="preserve">had less than 80% equity, meaning management decisions </w:t>
      </w:r>
      <w:r w:rsidR="004F2C58" w:rsidRPr="004F071F">
        <w:rPr>
          <w:szCs w:val="20"/>
        </w:rPr>
        <w:t>on th</w:t>
      </w:r>
      <w:r w:rsidR="00756F52">
        <w:rPr>
          <w:szCs w:val="20"/>
        </w:rPr>
        <w:t>ese</w:t>
      </w:r>
      <w:r w:rsidR="004F2C58" w:rsidRPr="004F071F">
        <w:rPr>
          <w:szCs w:val="20"/>
        </w:rPr>
        <w:t xml:space="preserve"> farms </w:t>
      </w:r>
      <w:r w:rsidRPr="004F071F">
        <w:rPr>
          <w:szCs w:val="20"/>
        </w:rPr>
        <w:t>were shaped not only by seasonal conditions and market prices, but also by the need to maintain cash flow for loan repayments.</w:t>
      </w:r>
    </w:p>
    <w:p w14:paraId="21AB7C68" w14:textId="3D438EEE" w:rsidR="00D12059" w:rsidRPr="00441B18" w:rsidRDefault="00D12059" w:rsidP="00441B18">
      <w:pPr>
        <w:pStyle w:val="Heading3"/>
        <w:rPr>
          <w:b/>
          <w:bCs/>
          <w:color w:val="auto"/>
          <w:szCs w:val="20"/>
        </w:rPr>
      </w:pPr>
      <w:bookmarkStart w:id="54" w:name="_Toc214610587"/>
      <w:r w:rsidRPr="00441B18">
        <w:rPr>
          <w:b/>
          <w:bCs/>
          <w:noProof/>
        </w:rPr>
        <w:t xml:space="preserve">Return on </w:t>
      </w:r>
      <w:r w:rsidR="001B5E52" w:rsidRPr="00441B18">
        <w:rPr>
          <w:b/>
          <w:bCs/>
          <w:noProof/>
        </w:rPr>
        <w:t>a</w:t>
      </w:r>
      <w:r w:rsidRPr="00441B18">
        <w:rPr>
          <w:b/>
          <w:bCs/>
          <w:noProof/>
        </w:rPr>
        <w:t>ssets</w:t>
      </w:r>
      <w:r w:rsidR="00415E1B">
        <w:rPr>
          <w:b/>
          <w:bCs/>
          <w:noProof/>
        </w:rPr>
        <w:t xml:space="preserve"> and equity</w:t>
      </w:r>
      <w:bookmarkEnd w:id="54"/>
    </w:p>
    <w:p w14:paraId="4AD06272" w14:textId="4C7DCF8C" w:rsidR="00D12059" w:rsidRDefault="00065123" w:rsidP="00D12059">
      <w:pPr>
        <w:rPr>
          <w:color w:val="FF0000"/>
          <w:szCs w:val="20"/>
        </w:rPr>
      </w:pPr>
      <w:r>
        <w:rPr>
          <w:noProof/>
          <w:color w:val="FF0000"/>
          <w:szCs w:val="20"/>
        </w:rPr>
        <w:drawing>
          <wp:inline distT="0" distB="0" distL="0" distR="0" wp14:anchorId="7FEDE8BE" wp14:editId="20780894">
            <wp:extent cx="2943226" cy="1771650"/>
            <wp:effectExtent l="0" t="0" r="9525" b="0"/>
            <wp:docPr id="2106409195" name="Picture 5" descr="South West return on assets and equity (2015-16 to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09195" name="Picture 5" descr="South West return on assets and equity (2015-16 to 2024-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952736" cy="1777374"/>
                    </a:xfrm>
                    <a:prstGeom prst="rect">
                      <a:avLst/>
                    </a:prstGeom>
                    <a:noFill/>
                  </pic:spPr>
                </pic:pic>
              </a:graphicData>
            </a:graphic>
          </wp:inline>
        </w:drawing>
      </w:r>
    </w:p>
    <w:p w14:paraId="0798287D" w14:textId="53132DF6" w:rsidR="00B14613" w:rsidRDefault="00B14613" w:rsidP="00B14613">
      <w:pPr>
        <w:pStyle w:val="Caption"/>
      </w:pPr>
      <w:bookmarkStart w:id="55" w:name="_Ref148984101"/>
      <w:r>
        <w:t xml:space="preserve">Figure </w:t>
      </w:r>
      <w:r>
        <w:fldChar w:fldCharType="begin"/>
      </w:r>
      <w:r>
        <w:instrText xml:space="preserve"> SEQ Figure \* ARABIC </w:instrText>
      </w:r>
      <w:r>
        <w:fldChar w:fldCharType="separate"/>
      </w:r>
      <w:r w:rsidR="00EF38F6">
        <w:rPr>
          <w:noProof/>
        </w:rPr>
        <w:t>22</w:t>
      </w:r>
      <w:r>
        <w:rPr>
          <w:noProof/>
        </w:rPr>
        <w:fldChar w:fldCharType="end"/>
      </w:r>
      <w:bookmarkEnd w:id="55"/>
      <w:r>
        <w:t>.</w:t>
      </w:r>
      <w:r w:rsidRPr="00B14613">
        <w:t xml:space="preserve"> </w:t>
      </w:r>
      <w:proofErr w:type="gramStart"/>
      <w:r>
        <w:t>South West</w:t>
      </w:r>
      <w:proofErr w:type="gramEnd"/>
      <w:r>
        <w:t xml:space="preserve"> </w:t>
      </w:r>
      <w:r w:rsidR="00AF4503" w:rsidRPr="00AF4503">
        <w:t>return on assets and equity (201</w:t>
      </w:r>
      <w:r w:rsidR="0070443D">
        <w:t>5</w:t>
      </w:r>
      <w:r w:rsidR="00AF4503" w:rsidRPr="00AF4503">
        <w:t>-1</w:t>
      </w:r>
      <w:r w:rsidR="0070443D">
        <w:t>6</w:t>
      </w:r>
      <w:r w:rsidR="00AF4503" w:rsidRPr="00AF4503">
        <w:t xml:space="preserve"> to 202</w:t>
      </w:r>
      <w:r w:rsidR="0070443D">
        <w:t>4</w:t>
      </w:r>
      <w:r w:rsidR="00AF4503" w:rsidRPr="00AF4503">
        <w:t>-2</w:t>
      </w:r>
      <w:r w:rsidR="0070443D">
        <w:t>5</w:t>
      </w:r>
      <w:r w:rsidR="00AF4503" w:rsidRPr="00AF4503">
        <w:t>)</w:t>
      </w:r>
    </w:p>
    <w:p w14:paraId="0C8DBC7C" w14:textId="626A8465" w:rsidR="004B500F" w:rsidRPr="004A3AE3" w:rsidRDefault="004A3AE3" w:rsidP="004B500F">
      <w:pPr>
        <w:rPr>
          <w:szCs w:val="20"/>
        </w:rPr>
      </w:pPr>
      <w:r w:rsidRPr="004A3AE3">
        <w:rPr>
          <w:szCs w:val="20"/>
        </w:rPr>
        <w:t xml:space="preserve">In just four years, </w:t>
      </w:r>
      <w:proofErr w:type="gramStart"/>
      <w:r w:rsidRPr="004A3AE3">
        <w:rPr>
          <w:szCs w:val="20"/>
        </w:rPr>
        <w:t>south west</w:t>
      </w:r>
      <w:proofErr w:type="gramEnd"/>
      <w:r w:rsidRPr="004A3AE3">
        <w:rPr>
          <w:szCs w:val="20"/>
        </w:rPr>
        <w:t xml:space="preserve"> farm profits have fallen from the highest level in 55 years (2021–22) to the lowest on record in 2024–25. </w:t>
      </w:r>
      <w:proofErr w:type="gramStart"/>
      <w:r w:rsidR="009E5329" w:rsidRPr="004A3AE3">
        <w:rPr>
          <w:szCs w:val="20"/>
        </w:rPr>
        <w:t xml:space="preserve">South </w:t>
      </w:r>
      <w:r w:rsidR="004F071F" w:rsidRPr="004A3AE3">
        <w:rPr>
          <w:szCs w:val="20"/>
        </w:rPr>
        <w:t>w</w:t>
      </w:r>
      <w:r w:rsidR="009E5329" w:rsidRPr="004A3AE3">
        <w:rPr>
          <w:szCs w:val="20"/>
        </w:rPr>
        <w:t>est</w:t>
      </w:r>
      <w:proofErr w:type="gramEnd"/>
      <w:r w:rsidR="009E5329" w:rsidRPr="004A3AE3">
        <w:rPr>
          <w:szCs w:val="20"/>
        </w:rPr>
        <w:t xml:space="preserve"> </w:t>
      </w:r>
      <w:r w:rsidR="004F071F" w:rsidRPr="004A3AE3">
        <w:rPr>
          <w:szCs w:val="20"/>
        </w:rPr>
        <w:t>Victoria</w:t>
      </w:r>
      <w:r w:rsidR="009E5329" w:rsidRPr="004A3AE3">
        <w:rPr>
          <w:szCs w:val="20"/>
        </w:rPr>
        <w:t xml:space="preserve"> recorded the lowest return on assets</w:t>
      </w:r>
      <w:r w:rsidR="000B761E" w:rsidRPr="004A3AE3">
        <w:rPr>
          <w:szCs w:val="20"/>
        </w:rPr>
        <w:t xml:space="preserve"> (</w:t>
      </w:r>
      <w:r w:rsidR="00266C63" w:rsidRPr="004A3AE3">
        <w:rPr>
          <w:szCs w:val="20"/>
        </w:rPr>
        <w:t>-0.1%)</w:t>
      </w:r>
      <w:r w:rsidR="0009171C" w:rsidRPr="004A3AE3">
        <w:rPr>
          <w:szCs w:val="20"/>
        </w:rPr>
        <w:t xml:space="preserve"> </w:t>
      </w:r>
      <w:r w:rsidR="009E5329" w:rsidRPr="004A3AE3">
        <w:rPr>
          <w:szCs w:val="20"/>
        </w:rPr>
        <w:t>since the 1982-83 drought</w:t>
      </w:r>
      <w:r w:rsidR="00C0239B" w:rsidRPr="004A3AE3">
        <w:rPr>
          <w:szCs w:val="20"/>
        </w:rPr>
        <w:t>.</w:t>
      </w:r>
      <w:r w:rsidR="00D02A35" w:rsidRPr="004A3AE3">
        <w:rPr>
          <w:szCs w:val="20"/>
        </w:rPr>
        <w:t xml:space="preserve"> (Appendix B12).</w:t>
      </w:r>
      <w:r w:rsidR="004B500F" w:rsidRPr="004A3AE3">
        <w:rPr>
          <w:szCs w:val="20"/>
        </w:rPr>
        <w:t xml:space="preserve"> Larger interest payments on higher levels of debt worsened farm businesses losses and the average return on equity fell to -2.7%, the lowest returns since 2006-07.</w:t>
      </w:r>
    </w:p>
    <w:p w14:paraId="57055B45" w14:textId="3965DDA5" w:rsidR="00204510" w:rsidRPr="004F071F" w:rsidRDefault="00C52434" w:rsidP="00746E5D">
      <w:pPr>
        <w:rPr>
          <w:color w:val="FF0000"/>
          <w:szCs w:val="20"/>
        </w:rPr>
      </w:pPr>
      <w:r w:rsidRPr="004F071F">
        <w:rPr>
          <w:color w:val="FF0000"/>
          <w:szCs w:val="20"/>
        </w:rPr>
        <w:br w:type="page"/>
      </w:r>
    </w:p>
    <w:p w14:paraId="29E8ED10" w14:textId="5CC0479A" w:rsidR="00436118" w:rsidRPr="00436118" w:rsidRDefault="00436118" w:rsidP="00436118">
      <w:pPr>
        <w:rPr>
          <w:szCs w:val="20"/>
        </w:rPr>
        <w:sectPr w:rsidR="00436118" w:rsidRPr="00436118" w:rsidSect="001F749A">
          <w:type w:val="continuous"/>
          <w:pgSz w:w="11906" w:h="16838"/>
          <w:pgMar w:top="1440" w:right="1440" w:bottom="1440" w:left="1440" w:header="708" w:footer="708" w:gutter="0"/>
          <w:cols w:num="2" w:space="708"/>
          <w:docGrid w:linePitch="360"/>
        </w:sectPr>
      </w:pPr>
      <w:r w:rsidRPr="00842DD0">
        <w:rPr>
          <w:noProof/>
          <w:color w:val="FF0000"/>
        </w:rPr>
        <w:lastRenderedPageBreak/>
        <mc:AlternateContent>
          <mc:Choice Requires="wps">
            <w:drawing>
              <wp:inline distT="0" distB="0" distL="0" distR="0" wp14:anchorId="7CE517FB" wp14:editId="111DE30E">
                <wp:extent cx="6257925" cy="3781425"/>
                <wp:effectExtent l="0" t="0" r="28575" b="2857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781425"/>
                        </a:xfrm>
                        <a:prstGeom prst="rect">
                          <a:avLst/>
                        </a:prstGeom>
                        <a:solidFill>
                          <a:schemeClr val="accent6">
                            <a:lumMod val="20000"/>
                            <a:lumOff val="80000"/>
                          </a:schemeClr>
                        </a:solidFill>
                        <a:ln w="9525">
                          <a:solidFill>
                            <a:srgbClr val="000000"/>
                          </a:solidFill>
                          <a:miter lim="800000"/>
                          <a:headEnd/>
                          <a:tailEnd/>
                        </a:ln>
                      </wps:spPr>
                      <wps:txbx>
                        <w:txbxContent>
                          <w:p w14:paraId="18C4FF25" w14:textId="48AB4BFB" w:rsidR="00436118" w:rsidRPr="00CB4E11" w:rsidRDefault="00436118" w:rsidP="00436118">
                            <w:pPr>
                              <w:pStyle w:val="Caption"/>
                            </w:pPr>
                            <w:r>
                              <w:t xml:space="preserve">South </w:t>
                            </w:r>
                            <w:r w:rsidR="001D0095">
                              <w:t>w</w:t>
                            </w:r>
                            <w:r>
                              <w:t>est Victoria r</w:t>
                            </w:r>
                            <w:r w:rsidRPr="00CB4E11">
                              <w:t xml:space="preserve">egional </w:t>
                            </w:r>
                            <w:r>
                              <w:t>s</w:t>
                            </w:r>
                            <w:r w:rsidRPr="00CB4E11">
                              <w:t>ummary</w:t>
                            </w:r>
                          </w:p>
                          <w:p w14:paraId="1B13F4EA" w14:textId="35D0CC7A" w:rsidR="005B798F" w:rsidRPr="005B798F" w:rsidRDefault="005B798F" w:rsidP="005B798F">
                            <w:pPr>
                              <w:pStyle w:val="ListParagraph"/>
                              <w:numPr>
                                <w:ilvl w:val="0"/>
                                <w:numId w:val="13"/>
                              </w:numPr>
                              <w:rPr>
                                <w:szCs w:val="20"/>
                              </w:rPr>
                            </w:pPr>
                            <w:r w:rsidRPr="005B798F">
                              <w:rPr>
                                <w:szCs w:val="20"/>
                              </w:rPr>
                              <w:t xml:space="preserve">South </w:t>
                            </w:r>
                            <w:r w:rsidR="0085061D">
                              <w:rPr>
                                <w:szCs w:val="20"/>
                              </w:rPr>
                              <w:t>w</w:t>
                            </w:r>
                            <w:r w:rsidRPr="005B798F">
                              <w:rPr>
                                <w:szCs w:val="20"/>
                              </w:rPr>
                              <w:t>est Victoria experienced very dry conditions for the second consecutive year, with some farms recording their lowest rainfall on record</w:t>
                            </w:r>
                            <w:r w:rsidR="00F4415E">
                              <w:rPr>
                                <w:szCs w:val="20"/>
                              </w:rPr>
                              <w:t>.</w:t>
                            </w:r>
                          </w:p>
                          <w:p w14:paraId="6600EF08" w14:textId="74BDB824" w:rsidR="00FE30CA" w:rsidRPr="00FE30CA" w:rsidRDefault="00FE30CA" w:rsidP="00FE30CA">
                            <w:pPr>
                              <w:pStyle w:val="ListParagraph"/>
                              <w:numPr>
                                <w:ilvl w:val="0"/>
                                <w:numId w:val="13"/>
                              </w:numPr>
                              <w:rPr>
                                <w:szCs w:val="20"/>
                              </w:rPr>
                            </w:pPr>
                            <w:r w:rsidRPr="00FE30CA">
                              <w:rPr>
                                <w:szCs w:val="20"/>
                              </w:rPr>
                              <w:t>Spending on purchased supplementary feed increased by 62%</w:t>
                            </w:r>
                            <w:r w:rsidR="001417C6">
                              <w:rPr>
                                <w:szCs w:val="20"/>
                              </w:rPr>
                              <w:t xml:space="preserve"> </w:t>
                            </w:r>
                            <w:r w:rsidRPr="00FE30CA">
                              <w:rPr>
                                <w:szCs w:val="20"/>
                              </w:rPr>
                              <w:t>and became the largest single cost item (29% of farm cash operating costs).</w:t>
                            </w:r>
                          </w:p>
                          <w:p w14:paraId="19122D93" w14:textId="726D3E10" w:rsidR="00FE30CA" w:rsidRDefault="00FE30CA" w:rsidP="00FE30CA">
                            <w:pPr>
                              <w:pStyle w:val="ListParagraph"/>
                              <w:numPr>
                                <w:ilvl w:val="0"/>
                                <w:numId w:val="13"/>
                              </w:numPr>
                              <w:rPr>
                                <w:szCs w:val="20"/>
                              </w:rPr>
                            </w:pPr>
                            <w:r w:rsidRPr="00FE30CA">
                              <w:rPr>
                                <w:szCs w:val="20"/>
                              </w:rPr>
                              <w:t>Variable costs rose to $726/ha</w:t>
                            </w:r>
                            <w:r w:rsidR="00AB6EF3">
                              <w:rPr>
                                <w:szCs w:val="20"/>
                              </w:rPr>
                              <w:t>,</w:t>
                            </w:r>
                            <w:r w:rsidRPr="00FE30CA">
                              <w:rPr>
                                <w:szCs w:val="20"/>
                              </w:rPr>
                              <w:t xml:space="preserve"> the highest in the 55-year history of the project.</w:t>
                            </w:r>
                          </w:p>
                          <w:p w14:paraId="299DAB19" w14:textId="77777777" w:rsidR="00B82A50" w:rsidRPr="00F4415E" w:rsidRDefault="00B82A50" w:rsidP="00B82A50">
                            <w:pPr>
                              <w:pStyle w:val="ListParagraph"/>
                              <w:numPr>
                                <w:ilvl w:val="0"/>
                                <w:numId w:val="13"/>
                              </w:numPr>
                              <w:rPr>
                                <w:szCs w:val="20"/>
                              </w:rPr>
                            </w:pPr>
                            <w:r w:rsidRPr="003A3404">
                              <w:rPr>
                                <w:szCs w:val="20"/>
                              </w:rPr>
                              <w:t>Sheep sales remained the dominant source of income (51%), followed by cattle sales (18%).</w:t>
                            </w:r>
                          </w:p>
                          <w:p w14:paraId="58A71AA2" w14:textId="4FA4816B" w:rsidR="003A3404" w:rsidRPr="00D91A1D" w:rsidRDefault="003A3404" w:rsidP="00D91A1D">
                            <w:pPr>
                              <w:pStyle w:val="ListParagraph"/>
                              <w:numPr>
                                <w:ilvl w:val="0"/>
                                <w:numId w:val="13"/>
                              </w:numPr>
                              <w:rPr>
                                <w:szCs w:val="20"/>
                              </w:rPr>
                            </w:pPr>
                            <w:r w:rsidRPr="00D91A1D">
                              <w:rPr>
                                <w:szCs w:val="20"/>
                              </w:rPr>
                              <w:t>Average gross farm income increased slightly (+7%), supported by improved red meat prices.</w:t>
                            </w:r>
                            <w:r w:rsidR="00D91A1D" w:rsidRPr="00D91A1D">
                              <w:rPr>
                                <w:szCs w:val="20"/>
                              </w:rPr>
                              <w:t xml:space="preserve"> </w:t>
                            </w:r>
                            <w:r w:rsidR="008F083C" w:rsidRPr="00D91A1D">
                              <w:rPr>
                                <w:szCs w:val="20"/>
                              </w:rPr>
                              <w:t>Income g</w:t>
                            </w:r>
                            <w:r w:rsidRPr="00D91A1D">
                              <w:rPr>
                                <w:szCs w:val="20"/>
                              </w:rPr>
                              <w:t xml:space="preserve">ains were </w:t>
                            </w:r>
                            <w:r w:rsidR="00006D2F" w:rsidRPr="00D91A1D">
                              <w:rPr>
                                <w:szCs w:val="20"/>
                              </w:rPr>
                              <w:t xml:space="preserve">tempered </w:t>
                            </w:r>
                            <w:r w:rsidRPr="00D91A1D">
                              <w:rPr>
                                <w:szCs w:val="20"/>
                              </w:rPr>
                              <w:t xml:space="preserve">by </w:t>
                            </w:r>
                            <w:r w:rsidR="007926CA" w:rsidRPr="00D91A1D">
                              <w:rPr>
                                <w:szCs w:val="20"/>
                              </w:rPr>
                              <w:t xml:space="preserve">reductions in </w:t>
                            </w:r>
                            <w:r w:rsidRPr="00D91A1D">
                              <w:rPr>
                                <w:szCs w:val="20"/>
                              </w:rPr>
                              <w:t xml:space="preserve">stock </w:t>
                            </w:r>
                            <w:r w:rsidR="007926CA" w:rsidRPr="00D91A1D">
                              <w:rPr>
                                <w:szCs w:val="20"/>
                              </w:rPr>
                              <w:t>numbers a</w:t>
                            </w:r>
                            <w:r w:rsidRPr="00D91A1D">
                              <w:rPr>
                                <w:szCs w:val="20"/>
                              </w:rPr>
                              <w:t xml:space="preserve">nd </w:t>
                            </w:r>
                            <w:r w:rsidR="007926CA" w:rsidRPr="00D91A1D">
                              <w:rPr>
                                <w:szCs w:val="20"/>
                              </w:rPr>
                              <w:t>f</w:t>
                            </w:r>
                            <w:r w:rsidRPr="00D91A1D">
                              <w:rPr>
                                <w:szCs w:val="20"/>
                              </w:rPr>
                              <w:t>eed inventories due to the dry conditions.</w:t>
                            </w:r>
                          </w:p>
                          <w:p w14:paraId="405FD419" w14:textId="0CB488CC" w:rsidR="004B7389" w:rsidRPr="004B7389" w:rsidRDefault="004B7389" w:rsidP="004B7389">
                            <w:pPr>
                              <w:pStyle w:val="ListParagraph"/>
                              <w:numPr>
                                <w:ilvl w:val="0"/>
                                <w:numId w:val="13"/>
                              </w:numPr>
                              <w:rPr>
                                <w:szCs w:val="20"/>
                              </w:rPr>
                            </w:pPr>
                            <w:r w:rsidRPr="004B7389">
                              <w:rPr>
                                <w:szCs w:val="20"/>
                              </w:rPr>
                              <w:t xml:space="preserve">With declining farmland values and higher debt, equity </w:t>
                            </w:r>
                            <w:r w:rsidR="000848C2">
                              <w:rPr>
                                <w:szCs w:val="20"/>
                              </w:rPr>
                              <w:t xml:space="preserve">decreased </w:t>
                            </w:r>
                            <w:r w:rsidRPr="004B7389">
                              <w:rPr>
                                <w:szCs w:val="20"/>
                              </w:rPr>
                              <w:t>on 62% of farms</w:t>
                            </w:r>
                            <w:r w:rsidR="00006D2F">
                              <w:rPr>
                                <w:szCs w:val="20"/>
                              </w:rPr>
                              <w:t xml:space="preserve"> </w:t>
                            </w:r>
                            <w:r w:rsidRPr="004B7389">
                              <w:rPr>
                                <w:szCs w:val="20"/>
                              </w:rPr>
                              <w:t>and the regional average equity percentage declined for the third consecutive year to 82%.</w:t>
                            </w:r>
                          </w:p>
                          <w:p w14:paraId="57A349F6" w14:textId="37588A31" w:rsidR="004B7389" w:rsidRDefault="004B7389" w:rsidP="004B7389">
                            <w:pPr>
                              <w:pStyle w:val="ListParagraph"/>
                              <w:numPr>
                                <w:ilvl w:val="0"/>
                                <w:numId w:val="13"/>
                              </w:numPr>
                              <w:rPr>
                                <w:szCs w:val="20"/>
                              </w:rPr>
                            </w:pPr>
                            <w:r w:rsidRPr="004B7389">
                              <w:rPr>
                                <w:szCs w:val="20"/>
                              </w:rPr>
                              <w:t>Nearly 40% of farms held less than 80% equity, increasing financial risk and cash flow pressure.</w:t>
                            </w:r>
                          </w:p>
                          <w:p w14:paraId="1FACC8CB" w14:textId="7BFE5CC3" w:rsidR="00912231" w:rsidRPr="00912231" w:rsidRDefault="00912231" w:rsidP="00912231">
                            <w:pPr>
                              <w:pStyle w:val="ListParagraph"/>
                              <w:numPr>
                                <w:ilvl w:val="0"/>
                                <w:numId w:val="13"/>
                              </w:numPr>
                              <w:rPr>
                                <w:szCs w:val="20"/>
                              </w:rPr>
                            </w:pPr>
                            <w:r w:rsidRPr="00912231">
                              <w:rPr>
                                <w:szCs w:val="20"/>
                              </w:rPr>
                              <w:t>Average return on assets fell to –0.1%, the lowest since the 1982–83 drought.</w:t>
                            </w:r>
                          </w:p>
                          <w:p w14:paraId="429855BC" w14:textId="429FE5B8" w:rsidR="008F083C" w:rsidRDefault="00912231" w:rsidP="00912231">
                            <w:pPr>
                              <w:pStyle w:val="ListParagraph"/>
                              <w:numPr>
                                <w:ilvl w:val="0"/>
                                <w:numId w:val="13"/>
                              </w:numPr>
                              <w:rPr>
                                <w:szCs w:val="20"/>
                              </w:rPr>
                            </w:pPr>
                            <w:r w:rsidRPr="00912231">
                              <w:rPr>
                                <w:szCs w:val="20"/>
                              </w:rPr>
                              <w:t>Return on equity dropped to –2.7%, the lowest since 2006–07.</w:t>
                            </w:r>
                          </w:p>
                          <w:p w14:paraId="4BA49458" w14:textId="1867D200" w:rsidR="009E5900" w:rsidRPr="00B82A50" w:rsidRDefault="009E5900" w:rsidP="00912231">
                            <w:pPr>
                              <w:pStyle w:val="ListParagraph"/>
                              <w:numPr>
                                <w:ilvl w:val="0"/>
                                <w:numId w:val="13"/>
                              </w:numPr>
                              <w:rPr>
                                <w:szCs w:val="20"/>
                              </w:rPr>
                            </w:pPr>
                            <w:r w:rsidRPr="009E5900">
                              <w:rPr>
                                <w:szCs w:val="20"/>
                              </w:rPr>
                              <w:t>Within four years,</w:t>
                            </w:r>
                            <w:r w:rsidR="001B0890">
                              <w:rPr>
                                <w:szCs w:val="20"/>
                              </w:rPr>
                              <w:t xml:space="preserve"> average</w:t>
                            </w:r>
                            <w:r w:rsidRPr="009E5900">
                              <w:rPr>
                                <w:szCs w:val="20"/>
                              </w:rPr>
                              <w:t xml:space="preserve"> </w:t>
                            </w:r>
                            <w:r w:rsidR="0085061D">
                              <w:rPr>
                                <w:szCs w:val="20"/>
                              </w:rPr>
                              <w:t>s</w:t>
                            </w:r>
                            <w:r w:rsidRPr="009E5900">
                              <w:rPr>
                                <w:szCs w:val="20"/>
                              </w:rPr>
                              <w:t xml:space="preserve">outh </w:t>
                            </w:r>
                            <w:r w:rsidR="0085061D">
                              <w:rPr>
                                <w:szCs w:val="20"/>
                              </w:rPr>
                              <w:t>w</w:t>
                            </w:r>
                            <w:r w:rsidRPr="009E5900">
                              <w:rPr>
                                <w:szCs w:val="20"/>
                              </w:rPr>
                              <w:t xml:space="preserve">est farm profits have </w:t>
                            </w:r>
                            <w:r w:rsidR="00AB388D">
                              <w:rPr>
                                <w:szCs w:val="20"/>
                              </w:rPr>
                              <w:t>fallen</w:t>
                            </w:r>
                            <w:r w:rsidRPr="009E5900">
                              <w:rPr>
                                <w:szCs w:val="20"/>
                              </w:rPr>
                              <w:t xml:space="preserve"> from the highest levels in 55 years (2021–22) to the lowest on record (2024–25).</w:t>
                            </w:r>
                          </w:p>
                          <w:p w14:paraId="6AAAAE1D" w14:textId="77777777" w:rsidR="00436118" w:rsidRPr="00AD0698" w:rsidRDefault="00436118" w:rsidP="00436118">
                            <w:pPr>
                              <w:ind w:left="360"/>
                              <w:rPr>
                                <w:color w:val="FF0000"/>
                                <w:szCs w:val="20"/>
                              </w:rPr>
                            </w:pPr>
                          </w:p>
                          <w:p w14:paraId="30E68C31" w14:textId="77777777" w:rsidR="00436118" w:rsidRDefault="00436118" w:rsidP="00436118"/>
                        </w:txbxContent>
                      </wps:txbx>
                      <wps:bodyPr rot="0" vert="horz" wrap="square" lIns="91440" tIns="45720" rIns="91440" bIns="45720" anchor="t" anchorCtr="0">
                        <a:noAutofit/>
                      </wps:bodyPr>
                    </wps:wsp>
                  </a:graphicData>
                </a:graphic>
              </wp:inline>
            </w:drawing>
          </mc:Choice>
          <mc:Fallback>
            <w:pict>
              <v:shape w14:anchorId="7CE517FB" id="Text Box 17" o:spid="_x0000_s1029" type="#_x0000_t202" style="width:492.75pt;height:29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hNQIAAGUEAAAOAAAAZHJzL2Uyb0RvYy54bWysVNtu2zAMfR+wfxD0vjjJcjXiFF26DgO6&#10;C9DuA2RZjoVJoiYpsbOvHyU7aba+FXsRRNI6PDwkvbnptCJH4bwEU9DJaEyJMBwqafYF/fF0/25F&#10;iQ/MVEyBEQU9CU9vtm/fbFqbiyk0oCrhCIIYn7e2oE0INs8yzxuhmR+BFQaDNTjNAppun1WOtYiu&#10;VTYdjxdZC66yDrjwHr13fZBuE35dCx6+1bUXgaiCIreQTpfOMp7ZdsPyvWO2kXygwV7BQjNpMOkF&#10;6o4FRg5OvoDSkjvwUIcRB51BXUsuUg1YzWT8TzWPDbMi1YLieHuRyf8/WP71+Gi/OxK6D9BhA1MR&#10;3j4A/+mJgV3DzF7cOgdtI1iFiSdRsqy1Ph+eRql97iNI2X6BCpvMDgESUFc7HVXBOgmiYwNOF9FF&#10;FwhH52I6X66nc0o4xt4vV5MZGjEHy8/PrfPhkwBN4qWgDrua4NnxwYf+0/MnMZsHJat7qVQy4iSJ&#10;nXLkyHAGGOfChEV6rg4a+fZ+nKXxMA3oxpnp3auzG9mkmYxIidtfSZQhbUHXc2T+koDbl5f0Ea7P&#10;EwGveWoZcBGU1AVNSQcyUfWPpkpjGphU/R0fKzO0ISrf9yB0ZUdkhSpG/WJXSqhO2BcH/dzjnuKl&#10;AfebkhZnvqD+14E5QYn6bLC368lsFpckGbP5coqGu46U1xFmOEIVNFDSX3chLVZUwMAtzkAtU3ee&#10;mQyUcZaThsPexWW5ttNXz3+H7R8AAAD//wMAUEsDBBQABgAIAAAAIQDed+mU2gAAAAUBAAAPAAAA&#10;ZHJzL2Rvd25yZXYueG1sTI9LT8NADITvSP0PK1fiRh2QgtKQTVVAPCRO9MF5m3WTiKw3ym7T8O8x&#10;XOBijTXWzOdiNblOjTSE1rOG60UCirjytuVaw277dJWBCtGwNZ1n0vBFAVbl7KIwufVnfqdxE2sl&#10;IRxyo6GJsc8RQ9WQM2Hhe2Lxjn5wJso61GgHc5Zw1+FNktyiMy1LQ2N6emio+tycnIbt+qPn4/Pb&#10;fTJS/bKPGb4+Imp9OZ/Wd6AiTfHvGH7wBR1KYTr4E9ugOg3ySPyd4i2zNAV10JAuRWBZ4H/68hsA&#10;AP//AwBQSwECLQAUAAYACAAAACEAtoM4kv4AAADhAQAAEwAAAAAAAAAAAAAAAAAAAAAAW0NvbnRl&#10;bnRfVHlwZXNdLnhtbFBLAQItABQABgAIAAAAIQA4/SH/1gAAAJQBAAALAAAAAAAAAAAAAAAAAC8B&#10;AABfcmVscy8ucmVsc1BLAQItABQABgAIAAAAIQBDY+jhNQIAAGUEAAAOAAAAAAAAAAAAAAAAAC4C&#10;AABkcnMvZTJvRG9jLnhtbFBLAQItABQABgAIAAAAIQDed+mU2gAAAAUBAAAPAAAAAAAAAAAAAAAA&#10;AI8EAABkcnMvZG93bnJldi54bWxQSwUGAAAAAAQABADzAAAAlgUAAAAA&#10;" fillcolor="#e2efd9 [665]">
                <v:textbox>
                  <w:txbxContent>
                    <w:p w14:paraId="18C4FF25" w14:textId="48AB4BFB" w:rsidR="00436118" w:rsidRPr="00CB4E11" w:rsidRDefault="00436118" w:rsidP="00436118">
                      <w:pPr>
                        <w:pStyle w:val="Caption"/>
                      </w:pPr>
                      <w:r>
                        <w:t xml:space="preserve">South </w:t>
                      </w:r>
                      <w:r w:rsidR="001D0095">
                        <w:t>w</w:t>
                      </w:r>
                      <w:r>
                        <w:t>est Victoria r</w:t>
                      </w:r>
                      <w:r w:rsidRPr="00CB4E11">
                        <w:t xml:space="preserve">egional </w:t>
                      </w:r>
                      <w:r>
                        <w:t>s</w:t>
                      </w:r>
                      <w:r w:rsidRPr="00CB4E11">
                        <w:t>ummary</w:t>
                      </w:r>
                    </w:p>
                    <w:p w14:paraId="1B13F4EA" w14:textId="35D0CC7A" w:rsidR="005B798F" w:rsidRPr="005B798F" w:rsidRDefault="005B798F" w:rsidP="005B798F">
                      <w:pPr>
                        <w:pStyle w:val="ListParagraph"/>
                        <w:numPr>
                          <w:ilvl w:val="0"/>
                          <w:numId w:val="13"/>
                        </w:numPr>
                        <w:rPr>
                          <w:szCs w:val="20"/>
                        </w:rPr>
                      </w:pPr>
                      <w:r w:rsidRPr="005B798F">
                        <w:rPr>
                          <w:szCs w:val="20"/>
                        </w:rPr>
                        <w:t xml:space="preserve">South </w:t>
                      </w:r>
                      <w:r w:rsidR="0085061D">
                        <w:rPr>
                          <w:szCs w:val="20"/>
                        </w:rPr>
                        <w:t>w</w:t>
                      </w:r>
                      <w:r w:rsidRPr="005B798F">
                        <w:rPr>
                          <w:szCs w:val="20"/>
                        </w:rPr>
                        <w:t>est Victoria experienced very dry conditions for the second consecutive year, with some farms recording their lowest rainfall on record</w:t>
                      </w:r>
                      <w:r w:rsidR="00F4415E">
                        <w:rPr>
                          <w:szCs w:val="20"/>
                        </w:rPr>
                        <w:t>.</w:t>
                      </w:r>
                    </w:p>
                    <w:p w14:paraId="6600EF08" w14:textId="74BDB824" w:rsidR="00FE30CA" w:rsidRPr="00FE30CA" w:rsidRDefault="00FE30CA" w:rsidP="00FE30CA">
                      <w:pPr>
                        <w:pStyle w:val="ListParagraph"/>
                        <w:numPr>
                          <w:ilvl w:val="0"/>
                          <w:numId w:val="13"/>
                        </w:numPr>
                        <w:rPr>
                          <w:szCs w:val="20"/>
                        </w:rPr>
                      </w:pPr>
                      <w:r w:rsidRPr="00FE30CA">
                        <w:rPr>
                          <w:szCs w:val="20"/>
                        </w:rPr>
                        <w:t>Spending on purchased supplementary feed increased by 62%</w:t>
                      </w:r>
                      <w:r w:rsidR="001417C6">
                        <w:rPr>
                          <w:szCs w:val="20"/>
                        </w:rPr>
                        <w:t xml:space="preserve"> </w:t>
                      </w:r>
                      <w:r w:rsidRPr="00FE30CA">
                        <w:rPr>
                          <w:szCs w:val="20"/>
                        </w:rPr>
                        <w:t>and became the largest single cost item (29% of farm cash operating costs).</w:t>
                      </w:r>
                    </w:p>
                    <w:p w14:paraId="19122D93" w14:textId="726D3E10" w:rsidR="00FE30CA" w:rsidRDefault="00FE30CA" w:rsidP="00FE30CA">
                      <w:pPr>
                        <w:pStyle w:val="ListParagraph"/>
                        <w:numPr>
                          <w:ilvl w:val="0"/>
                          <w:numId w:val="13"/>
                        </w:numPr>
                        <w:rPr>
                          <w:szCs w:val="20"/>
                        </w:rPr>
                      </w:pPr>
                      <w:r w:rsidRPr="00FE30CA">
                        <w:rPr>
                          <w:szCs w:val="20"/>
                        </w:rPr>
                        <w:t>Variable costs rose to $726/ha</w:t>
                      </w:r>
                      <w:r w:rsidR="00AB6EF3">
                        <w:rPr>
                          <w:szCs w:val="20"/>
                        </w:rPr>
                        <w:t>,</w:t>
                      </w:r>
                      <w:r w:rsidRPr="00FE30CA">
                        <w:rPr>
                          <w:szCs w:val="20"/>
                        </w:rPr>
                        <w:t xml:space="preserve"> the highest in the 55-year history of the project.</w:t>
                      </w:r>
                    </w:p>
                    <w:p w14:paraId="299DAB19" w14:textId="77777777" w:rsidR="00B82A50" w:rsidRPr="00F4415E" w:rsidRDefault="00B82A50" w:rsidP="00B82A50">
                      <w:pPr>
                        <w:pStyle w:val="ListParagraph"/>
                        <w:numPr>
                          <w:ilvl w:val="0"/>
                          <w:numId w:val="13"/>
                        </w:numPr>
                        <w:rPr>
                          <w:szCs w:val="20"/>
                        </w:rPr>
                      </w:pPr>
                      <w:r w:rsidRPr="003A3404">
                        <w:rPr>
                          <w:szCs w:val="20"/>
                        </w:rPr>
                        <w:t>Sheep sales remained the dominant source of income (51%), followed by cattle sales (18%).</w:t>
                      </w:r>
                    </w:p>
                    <w:p w14:paraId="58A71AA2" w14:textId="4FA4816B" w:rsidR="003A3404" w:rsidRPr="00D91A1D" w:rsidRDefault="003A3404" w:rsidP="00D91A1D">
                      <w:pPr>
                        <w:pStyle w:val="ListParagraph"/>
                        <w:numPr>
                          <w:ilvl w:val="0"/>
                          <w:numId w:val="13"/>
                        </w:numPr>
                        <w:rPr>
                          <w:szCs w:val="20"/>
                        </w:rPr>
                      </w:pPr>
                      <w:r w:rsidRPr="00D91A1D">
                        <w:rPr>
                          <w:szCs w:val="20"/>
                        </w:rPr>
                        <w:t>Average gross farm income increased slightly (+7%), supported by improved red meat prices.</w:t>
                      </w:r>
                      <w:r w:rsidR="00D91A1D" w:rsidRPr="00D91A1D">
                        <w:rPr>
                          <w:szCs w:val="20"/>
                        </w:rPr>
                        <w:t xml:space="preserve"> </w:t>
                      </w:r>
                      <w:r w:rsidR="008F083C" w:rsidRPr="00D91A1D">
                        <w:rPr>
                          <w:szCs w:val="20"/>
                        </w:rPr>
                        <w:t>Income g</w:t>
                      </w:r>
                      <w:r w:rsidRPr="00D91A1D">
                        <w:rPr>
                          <w:szCs w:val="20"/>
                        </w:rPr>
                        <w:t xml:space="preserve">ains were </w:t>
                      </w:r>
                      <w:r w:rsidR="00006D2F" w:rsidRPr="00D91A1D">
                        <w:rPr>
                          <w:szCs w:val="20"/>
                        </w:rPr>
                        <w:t xml:space="preserve">tempered </w:t>
                      </w:r>
                      <w:r w:rsidRPr="00D91A1D">
                        <w:rPr>
                          <w:szCs w:val="20"/>
                        </w:rPr>
                        <w:t xml:space="preserve">by </w:t>
                      </w:r>
                      <w:r w:rsidR="007926CA" w:rsidRPr="00D91A1D">
                        <w:rPr>
                          <w:szCs w:val="20"/>
                        </w:rPr>
                        <w:t xml:space="preserve">reductions in </w:t>
                      </w:r>
                      <w:r w:rsidRPr="00D91A1D">
                        <w:rPr>
                          <w:szCs w:val="20"/>
                        </w:rPr>
                        <w:t xml:space="preserve">stock </w:t>
                      </w:r>
                      <w:r w:rsidR="007926CA" w:rsidRPr="00D91A1D">
                        <w:rPr>
                          <w:szCs w:val="20"/>
                        </w:rPr>
                        <w:t>numbers a</w:t>
                      </w:r>
                      <w:r w:rsidRPr="00D91A1D">
                        <w:rPr>
                          <w:szCs w:val="20"/>
                        </w:rPr>
                        <w:t xml:space="preserve">nd </w:t>
                      </w:r>
                      <w:r w:rsidR="007926CA" w:rsidRPr="00D91A1D">
                        <w:rPr>
                          <w:szCs w:val="20"/>
                        </w:rPr>
                        <w:t>f</w:t>
                      </w:r>
                      <w:r w:rsidRPr="00D91A1D">
                        <w:rPr>
                          <w:szCs w:val="20"/>
                        </w:rPr>
                        <w:t>eed inventories due to the dry conditions.</w:t>
                      </w:r>
                    </w:p>
                    <w:p w14:paraId="405FD419" w14:textId="0CB488CC" w:rsidR="004B7389" w:rsidRPr="004B7389" w:rsidRDefault="004B7389" w:rsidP="004B7389">
                      <w:pPr>
                        <w:pStyle w:val="ListParagraph"/>
                        <w:numPr>
                          <w:ilvl w:val="0"/>
                          <w:numId w:val="13"/>
                        </w:numPr>
                        <w:rPr>
                          <w:szCs w:val="20"/>
                        </w:rPr>
                      </w:pPr>
                      <w:r w:rsidRPr="004B7389">
                        <w:rPr>
                          <w:szCs w:val="20"/>
                        </w:rPr>
                        <w:t xml:space="preserve">With declining farmland values and higher debt, equity </w:t>
                      </w:r>
                      <w:r w:rsidR="000848C2">
                        <w:rPr>
                          <w:szCs w:val="20"/>
                        </w:rPr>
                        <w:t xml:space="preserve">decreased </w:t>
                      </w:r>
                      <w:r w:rsidRPr="004B7389">
                        <w:rPr>
                          <w:szCs w:val="20"/>
                        </w:rPr>
                        <w:t>on 62% of farms</w:t>
                      </w:r>
                      <w:r w:rsidR="00006D2F">
                        <w:rPr>
                          <w:szCs w:val="20"/>
                        </w:rPr>
                        <w:t xml:space="preserve"> </w:t>
                      </w:r>
                      <w:r w:rsidRPr="004B7389">
                        <w:rPr>
                          <w:szCs w:val="20"/>
                        </w:rPr>
                        <w:t>and the regional average equity percentage declined for the third consecutive year to 82%.</w:t>
                      </w:r>
                    </w:p>
                    <w:p w14:paraId="57A349F6" w14:textId="37588A31" w:rsidR="004B7389" w:rsidRDefault="004B7389" w:rsidP="004B7389">
                      <w:pPr>
                        <w:pStyle w:val="ListParagraph"/>
                        <w:numPr>
                          <w:ilvl w:val="0"/>
                          <w:numId w:val="13"/>
                        </w:numPr>
                        <w:rPr>
                          <w:szCs w:val="20"/>
                        </w:rPr>
                      </w:pPr>
                      <w:r w:rsidRPr="004B7389">
                        <w:rPr>
                          <w:szCs w:val="20"/>
                        </w:rPr>
                        <w:t>Nearly 40% of farms held less than 80% equity, increasing financial risk and cash flow pressure.</w:t>
                      </w:r>
                    </w:p>
                    <w:p w14:paraId="1FACC8CB" w14:textId="7BFE5CC3" w:rsidR="00912231" w:rsidRPr="00912231" w:rsidRDefault="00912231" w:rsidP="00912231">
                      <w:pPr>
                        <w:pStyle w:val="ListParagraph"/>
                        <w:numPr>
                          <w:ilvl w:val="0"/>
                          <w:numId w:val="13"/>
                        </w:numPr>
                        <w:rPr>
                          <w:szCs w:val="20"/>
                        </w:rPr>
                      </w:pPr>
                      <w:r w:rsidRPr="00912231">
                        <w:rPr>
                          <w:szCs w:val="20"/>
                        </w:rPr>
                        <w:t>Average return on assets fell to –0.1%, the lowest since the 1982–83 drought.</w:t>
                      </w:r>
                    </w:p>
                    <w:p w14:paraId="429855BC" w14:textId="429FE5B8" w:rsidR="008F083C" w:rsidRDefault="00912231" w:rsidP="00912231">
                      <w:pPr>
                        <w:pStyle w:val="ListParagraph"/>
                        <w:numPr>
                          <w:ilvl w:val="0"/>
                          <w:numId w:val="13"/>
                        </w:numPr>
                        <w:rPr>
                          <w:szCs w:val="20"/>
                        </w:rPr>
                      </w:pPr>
                      <w:r w:rsidRPr="00912231">
                        <w:rPr>
                          <w:szCs w:val="20"/>
                        </w:rPr>
                        <w:t>Return on equity dropped to –2.7%, the lowest since 2006–07.</w:t>
                      </w:r>
                    </w:p>
                    <w:p w14:paraId="4BA49458" w14:textId="1867D200" w:rsidR="009E5900" w:rsidRPr="00B82A50" w:rsidRDefault="009E5900" w:rsidP="00912231">
                      <w:pPr>
                        <w:pStyle w:val="ListParagraph"/>
                        <w:numPr>
                          <w:ilvl w:val="0"/>
                          <w:numId w:val="13"/>
                        </w:numPr>
                        <w:rPr>
                          <w:szCs w:val="20"/>
                        </w:rPr>
                      </w:pPr>
                      <w:r w:rsidRPr="009E5900">
                        <w:rPr>
                          <w:szCs w:val="20"/>
                        </w:rPr>
                        <w:t>Within four years,</w:t>
                      </w:r>
                      <w:r w:rsidR="001B0890">
                        <w:rPr>
                          <w:szCs w:val="20"/>
                        </w:rPr>
                        <w:t xml:space="preserve"> average</w:t>
                      </w:r>
                      <w:r w:rsidRPr="009E5900">
                        <w:rPr>
                          <w:szCs w:val="20"/>
                        </w:rPr>
                        <w:t xml:space="preserve"> </w:t>
                      </w:r>
                      <w:r w:rsidR="0085061D">
                        <w:rPr>
                          <w:szCs w:val="20"/>
                        </w:rPr>
                        <w:t>s</w:t>
                      </w:r>
                      <w:r w:rsidRPr="009E5900">
                        <w:rPr>
                          <w:szCs w:val="20"/>
                        </w:rPr>
                        <w:t xml:space="preserve">outh </w:t>
                      </w:r>
                      <w:r w:rsidR="0085061D">
                        <w:rPr>
                          <w:szCs w:val="20"/>
                        </w:rPr>
                        <w:t>w</w:t>
                      </w:r>
                      <w:r w:rsidRPr="009E5900">
                        <w:rPr>
                          <w:szCs w:val="20"/>
                        </w:rPr>
                        <w:t xml:space="preserve">est farm profits have </w:t>
                      </w:r>
                      <w:r w:rsidR="00AB388D">
                        <w:rPr>
                          <w:szCs w:val="20"/>
                        </w:rPr>
                        <w:t>fallen</w:t>
                      </w:r>
                      <w:r w:rsidRPr="009E5900">
                        <w:rPr>
                          <w:szCs w:val="20"/>
                        </w:rPr>
                        <w:t xml:space="preserve"> from the highest levels in 55 years (2021–22) to the lowest on record (2024–25).</w:t>
                      </w:r>
                    </w:p>
                    <w:p w14:paraId="6AAAAE1D" w14:textId="77777777" w:rsidR="00436118" w:rsidRPr="00AD0698" w:rsidRDefault="00436118" w:rsidP="00436118">
                      <w:pPr>
                        <w:ind w:left="360"/>
                        <w:rPr>
                          <w:color w:val="FF0000"/>
                          <w:szCs w:val="20"/>
                        </w:rPr>
                      </w:pPr>
                    </w:p>
                    <w:p w14:paraId="30E68C31" w14:textId="77777777" w:rsidR="00436118" w:rsidRDefault="00436118" w:rsidP="00436118"/>
                  </w:txbxContent>
                </v:textbox>
                <w10:anchorlock/>
              </v:shape>
            </w:pict>
          </mc:Fallback>
        </mc:AlternateContent>
      </w:r>
    </w:p>
    <w:tbl>
      <w:tblPr>
        <w:tblW w:w="6860" w:type="dxa"/>
        <w:tblLook w:val="04A0" w:firstRow="1" w:lastRow="0" w:firstColumn="1" w:lastColumn="0" w:noHBand="0" w:noVBand="1"/>
      </w:tblPr>
      <w:tblGrid>
        <w:gridCol w:w="4160"/>
        <w:gridCol w:w="1520"/>
        <w:gridCol w:w="1180"/>
      </w:tblGrid>
      <w:tr w:rsidR="007F29BA" w:rsidRPr="007F29BA" w14:paraId="130890F6" w14:textId="77777777" w:rsidTr="007F29BA">
        <w:trPr>
          <w:trHeight w:val="300"/>
        </w:trPr>
        <w:tc>
          <w:tcPr>
            <w:tcW w:w="4160" w:type="dxa"/>
            <w:tcBorders>
              <w:top w:val="nil"/>
              <w:left w:val="nil"/>
              <w:bottom w:val="nil"/>
              <w:right w:val="nil"/>
            </w:tcBorders>
            <w:shd w:val="clear" w:color="000000" w:fill="FFFFFF"/>
            <w:noWrap/>
            <w:vAlign w:val="bottom"/>
            <w:hideMark/>
          </w:tcPr>
          <w:p w14:paraId="43261536" w14:textId="77777777" w:rsidR="007F29BA" w:rsidRPr="007F29BA" w:rsidRDefault="007F29BA" w:rsidP="007F29BA">
            <w:pPr>
              <w:spacing w:after="0" w:line="240" w:lineRule="auto"/>
              <w:jc w:val="center"/>
              <w:rPr>
                <w:rFonts w:ascii="Aptos Narrow" w:eastAsia="Times New Roman" w:hAnsi="Aptos Narrow" w:cs="Times New Roman"/>
                <w:b/>
                <w:bCs/>
                <w:color w:val="000000"/>
                <w:sz w:val="16"/>
                <w:szCs w:val="16"/>
                <w:lang w:eastAsia="en-AU"/>
              </w:rPr>
            </w:pPr>
            <w:r w:rsidRPr="007F29BA">
              <w:rPr>
                <w:rFonts w:ascii="Aptos Narrow" w:eastAsia="Times New Roman" w:hAnsi="Aptos Narrow" w:cs="Times New Roman"/>
                <w:b/>
                <w:bCs/>
                <w:color w:val="000000"/>
                <w:sz w:val="16"/>
                <w:szCs w:val="16"/>
                <w:lang w:eastAsia="en-AU"/>
              </w:rPr>
              <w:t> </w:t>
            </w:r>
          </w:p>
        </w:tc>
        <w:tc>
          <w:tcPr>
            <w:tcW w:w="1520" w:type="dxa"/>
            <w:tcBorders>
              <w:top w:val="nil"/>
              <w:left w:val="nil"/>
              <w:bottom w:val="nil"/>
              <w:right w:val="nil"/>
            </w:tcBorders>
            <w:shd w:val="clear" w:color="000000" w:fill="FFFFFF"/>
            <w:noWrap/>
            <w:vAlign w:val="bottom"/>
            <w:hideMark/>
          </w:tcPr>
          <w:p w14:paraId="2708971B" w14:textId="77777777" w:rsidR="007F29BA" w:rsidRPr="007F29BA" w:rsidRDefault="007F29BA" w:rsidP="007F29BA">
            <w:pPr>
              <w:spacing w:after="0" w:line="240" w:lineRule="auto"/>
              <w:jc w:val="center"/>
              <w:rPr>
                <w:rFonts w:ascii="Aptos Narrow" w:eastAsia="Times New Roman" w:hAnsi="Aptos Narrow" w:cs="Times New Roman"/>
                <w:b/>
                <w:bCs/>
                <w:color w:val="000000"/>
                <w:sz w:val="16"/>
                <w:szCs w:val="16"/>
                <w:lang w:eastAsia="en-AU"/>
              </w:rPr>
            </w:pPr>
            <w:r w:rsidRPr="007F29BA">
              <w:rPr>
                <w:rFonts w:ascii="Aptos Narrow" w:eastAsia="Times New Roman" w:hAnsi="Aptos Narrow" w:cs="Times New Roman"/>
                <w:b/>
                <w:bCs/>
                <w:color w:val="000000"/>
                <w:sz w:val="16"/>
                <w:szCs w:val="16"/>
                <w:lang w:eastAsia="en-AU"/>
              </w:rPr>
              <w:t>5-yr average</w:t>
            </w:r>
          </w:p>
        </w:tc>
        <w:tc>
          <w:tcPr>
            <w:tcW w:w="1180" w:type="dxa"/>
            <w:tcBorders>
              <w:top w:val="nil"/>
              <w:left w:val="nil"/>
              <w:bottom w:val="nil"/>
              <w:right w:val="nil"/>
            </w:tcBorders>
            <w:shd w:val="clear" w:color="000000" w:fill="FFFFFF"/>
            <w:noWrap/>
            <w:vAlign w:val="bottom"/>
            <w:hideMark/>
          </w:tcPr>
          <w:p w14:paraId="0F999C29" w14:textId="77777777" w:rsidR="007F29BA" w:rsidRPr="007F29BA" w:rsidRDefault="007F29BA" w:rsidP="007F29BA">
            <w:pPr>
              <w:spacing w:after="0" w:line="240" w:lineRule="auto"/>
              <w:jc w:val="center"/>
              <w:rPr>
                <w:rFonts w:ascii="Aptos Narrow" w:eastAsia="Times New Roman" w:hAnsi="Aptos Narrow" w:cs="Times New Roman"/>
                <w:b/>
                <w:bCs/>
                <w:color w:val="000000"/>
                <w:sz w:val="16"/>
                <w:szCs w:val="16"/>
                <w:lang w:eastAsia="en-AU"/>
              </w:rPr>
            </w:pPr>
            <w:r w:rsidRPr="007F29BA">
              <w:rPr>
                <w:rFonts w:ascii="Aptos Narrow" w:eastAsia="Times New Roman" w:hAnsi="Aptos Narrow" w:cs="Times New Roman"/>
                <w:b/>
                <w:bCs/>
                <w:color w:val="000000"/>
                <w:sz w:val="16"/>
                <w:szCs w:val="16"/>
                <w:lang w:eastAsia="en-AU"/>
              </w:rPr>
              <w:t>2023-24</w:t>
            </w:r>
          </w:p>
        </w:tc>
      </w:tr>
      <w:tr w:rsidR="007F29BA" w:rsidRPr="007F29BA" w14:paraId="1913FA35" w14:textId="77777777" w:rsidTr="007F29BA">
        <w:trPr>
          <w:trHeight w:val="300"/>
        </w:trPr>
        <w:tc>
          <w:tcPr>
            <w:tcW w:w="4160" w:type="dxa"/>
            <w:tcBorders>
              <w:top w:val="nil"/>
              <w:left w:val="nil"/>
              <w:bottom w:val="nil"/>
              <w:right w:val="nil"/>
            </w:tcBorders>
            <w:shd w:val="clear" w:color="000000" w:fill="FFFFFF"/>
            <w:noWrap/>
            <w:vAlign w:val="bottom"/>
            <w:hideMark/>
          </w:tcPr>
          <w:p w14:paraId="58222D3C" w14:textId="77777777" w:rsidR="007F29BA" w:rsidRPr="007F29BA" w:rsidRDefault="007F29BA" w:rsidP="007F29BA">
            <w:pPr>
              <w:spacing w:after="0" w:line="240" w:lineRule="auto"/>
              <w:rPr>
                <w:rFonts w:ascii="Aptos Narrow" w:eastAsia="Times New Roman" w:hAnsi="Aptos Narrow" w:cs="Times New Roman"/>
                <w:b/>
                <w:bCs/>
                <w:color w:val="000000"/>
                <w:sz w:val="16"/>
                <w:szCs w:val="16"/>
                <w:lang w:eastAsia="en-AU"/>
              </w:rPr>
            </w:pPr>
            <w:r w:rsidRPr="007F29BA">
              <w:rPr>
                <w:rFonts w:ascii="Aptos Narrow" w:eastAsia="Times New Roman" w:hAnsi="Aptos Narrow" w:cs="Times New Roman"/>
                <w:b/>
                <w:bCs/>
                <w:color w:val="000000"/>
                <w:sz w:val="16"/>
                <w:szCs w:val="16"/>
                <w:lang w:eastAsia="en-AU"/>
              </w:rPr>
              <w:t>Enterprise income</w:t>
            </w:r>
          </w:p>
        </w:tc>
        <w:tc>
          <w:tcPr>
            <w:tcW w:w="1520" w:type="dxa"/>
            <w:tcBorders>
              <w:top w:val="nil"/>
              <w:left w:val="nil"/>
              <w:bottom w:val="nil"/>
              <w:right w:val="nil"/>
            </w:tcBorders>
            <w:shd w:val="clear" w:color="000000" w:fill="FFFFFF"/>
            <w:noWrap/>
            <w:vAlign w:val="bottom"/>
            <w:hideMark/>
          </w:tcPr>
          <w:p w14:paraId="322E3F79" w14:textId="77777777" w:rsidR="007F29BA" w:rsidRPr="007F29BA" w:rsidRDefault="007F29BA" w:rsidP="007F29BA">
            <w:pPr>
              <w:spacing w:after="0" w:line="240" w:lineRule="auto"/>
              <w:jc w:val="center"/>
              <w:rPr>
                <w:rFonts w:ascii="Aptos Narrow" w:eastAsia="Times New Roman" w:hAnsi="Aptos Narrow" w:cs="Times New Roman"/>
                <w:b/>
                <w:bCs/>
                <w:color w:val="000000"/>
                <w:sz w:val="16"/>
                <w:szCs w:val="16"/>
                <w:lang w:eastAsia="en-AU"/>
              </w:rPr>
            </w:pPr>
            <w:r w:rsidRPr="007F29BA">
              <w:rPr>
                <w:rFonts w:ascii="Aptos Narrow" w:eastAsia="Times New Roman" w:hAnsi="Aptos Narrow" w:cs="Times New Roman"/>
                <w:b/>
                <w:bCs/>
                <w:color w:val="000000"/>
                <w:sz w:val="16"/>
                <w:szCs w:val="16"/>
                <w:lang w:eastAsia="en-AU"/>
              </w:rPr>
              <w:t> </w:t>
            </w:r>
          </w:p>
        </w:tc>
        <w:tc>
          <w:tcPr>
            <w:tcW w:w="1180" w:type="dxa"/>
            <w:tcBorders>
              <w:top w:val="nil"/>
              <w:left w:val="nil"/>
              <w:bottom w:val="nil"/>
              <w:right w:val="nil"/>
            </w:tcBorders>
            <w:shd w:val="clear" w:color="000000" w:fill="FFFFFF"/>
            <w:noWrap/>
            <w:vAlign w:val="bottom"/>
            <w:hideMark/>
          </w:tcPr>
          <w:p w14:paraId="3345D548" w14:textId="77777777" w:rsidR="007F29BA" w:rsidRPr="007F29BA" w:rsidRDefault="007F29BA" w:rsidP="007F29BA">
            <w:pPr>
              <w:spacing w:after="0" w:line="240" w:lineRule="auto"/>
              <w:jc w:val="center"/>
              <w:rPr>
                <w:rFonts w:ascii="Aptos Narrow" w:eastAsia="Times New Roman" w:hAnsi="Aptos Narrow" w:cs="Times New Roman"/>
                <w:b/>
                <w:bCs/>
                <w:color w:val="000000"/>
                <w:sz w:val="16"/>
                <w:szCs w:val="16"/>
                <w:lang w:eastAsia="en-AU"/>
              </w:rPr>
            </w:pPr>
            <w:r w:rsidRPr="007F29BA">
              <w:rPr>
                <w:rFonts w:ascii="Aptos Narrow" w:eastAsia="Times New Roman" w:hAnsi="Aptos Narrow" w:cs="Times New Roman"/>
                <w:b/>
                <w:bCs/>
                <w:color w:val="000000"/>
                <w:sz w:val="16"/>
                <w:szCs w:val="16"/>
                <w:lang w:eastAsia="en-AU"/>
              </w:rPr>
              <w:t> </w:t>
            </w:r>
          </w:p>
        </w:tc>
      </w:tr>
      <w:tr w:rsidR="007F29BA" w:rsidRPr="007F29BA" w14:paraId="7495D6BE" w14:textId="77777777" w:rsidTr="007F29BA">
        <w:trPr>
          <w:trHeight w:val="300"/>
        </w:trPr>
        <w:tc>
          <w:tcPr>
            <w:tcW w:w="4160" w:type="dxa"/>
            <w:tcBorders>
              <w:top w:val="nil"/>
              <w:left w:val="nil"/>
              <w:bottom w:val="nil"/>
              <w:right w:val="nil"/>
            </w:tcBorders>
            <w:shd w:val="clear" w:color="000000" w:fill="FFFFFF"/>
            <w:noWrap/>
            <w:vAlign w:val="bottom"/>
            <w:hideMark/>
          </w:tcPr>
          <w:p w14:paraId="2E728EEF"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Beef income ($/ha)</w:t>
            </w:r>
          </w:p>
        </w:tc>
        <w:tc>
          <w:tcPr>
            <w:tcW w:w="1520" w:type="dxa"/>
            <w:tcBorders>
              <w:top w:val="nil"/>
              <w:left w:val="nil"/>
              <w:bottom w:val="nil"/>
              <w:right w:val="nil"/>
            </w:tcBorders>
            <w:shd w:val="clear" w:color="000000" w:fill="FFFFFF"/>
            <w:noWrap/>
            <w:vAlign w:val="bottom"/>
            <w:hideMark/>
          </w:tcPr>
          <w:p w14:paraId="7BE22BD4" w14:textId="60884E4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1</w:t>
            </w:r>
            <w:r w:rsidR="00720AD7">
              <w:rPr>
                <w:rFonts w:ascii="Aptos Narrow" w:eastAsia="Times New Roman" w:hAnsi="Aptos Narrow" w:cs="Times New Roman"/>
                <w:color w:val="000000"/>
                <w:sz w:val="16"/>
                <w:szCs w:val="16"/>
                <w:lang w:eastAsia="en-AU"/>
              </w:rPr>
              <w:t>,</w:t>
            </w:r>
            <w:r w:rsidRPr="007F29BA">
              <w:rPr>
                <w:rFonts w:ascii="Aptos Narrow" w:eastAsia="Times New Roman" w:hAnsi="Aptos Narrow" w:cs="Times New Roman"/>
                <w:color w:val="000000"/>
                <w:sz w:val="16"/>
                <w:szCs w:val="16"/>
                <w:lang w:eastAsia="en-AU"/>
              </w:rPr>
              <w:t>305</w:t>
            </w:r>
          </w:p>
        </w:tc>
        <w:tc>
          <w:tcPr>
            <w:tcW w:w="1180" w:type="dxa"/>
            <w:tcBorders>
              <w:top w:val="nil"/>
              <w:left w:val="nil"/>
              <w:bottom w:val="nil"/>
              <w:right w:val="nil"/>
            </w:tcBorders>
            <w:shd w:val="clear" w:color="000000" w:fill="FFFFFF"/>
            <w:noWrap/>
            <w:vAlign w:val="bottom"/>
            <w:hideMark/>
          </w:tcPr>
          <w:p w14:paraId="2EB86F62" w14:textId="77777777" w:rsidR="007F29BA" w:rsidRPr="007F29BA" w:rsidRDefault="007F29BA" w:rsidP="007F29BA">
            <w:pPr>
              <w:spacing w:after="0" w:line="240" w:lineRule="auto"/>
              <w:jc w:val="center"/>
              <w:rPr>
                <w:rFonts w:ascii="Aptos Narrow" w:eastAsia="Times New Roman" w:hAnsi="Aptos Narrow" w:cs="Times New Roman"/>
                <w:sz w:val="16"/>
                <w:szCs w:val="16"/>
                <w:lang w:eastAsia="en-AU"/>
              </w:rPr>
            </w:pPr>
            <w:r w:rsidRPr="007F29BA">
              <w:rPr>
                <w:rFonts w:ascii="Aptos Narrow" w:eastAsia="Times New Roman" w:hAnsi="Aptos Narrow" w:cs="Times New Roman"/>
                <w:sz w:val="16"/>
                <w:szCs w:val="16"/>
                <w:lang w:eastAsia="en-AU"/>
              </w:rPr>
              <w:t>925</w:t>
            </w:r>
          </w:p>
        </w:tc>
      </w:tr>
      <w:tr w:rsidR="007F29BA" w:rsidRPr="007F29BA" w14:paraId="5DCBA1D6" w14:textId="77777777" w:rsidTr="007F29BA">
        <w:trPr>
          <w:trHeight w:val="300"/>
        </w:trPr>
        <w:tc>
          <w:tcPr>
            <w:tcW w:w="4160" w:type="dxa"/>
            <w:tcBorders>
              <w:top w:val="nil"/>
              <w:left w:val="nil"/>
              <w:bottom w:val="nil"/>
              <w:right w:val="nil"/>
            </w:tcBorders>
            <w:shd w:val="clear" w:color="000000" w:fill="FFFFFF"/>
            <w:noWrap/>
            <w:vAlign w:val="bottom"/>
            <w:hideMark/>
          </w:tcPr>
          <w:p w14:paraId="335C368D" w14:textId="50096AD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xml:space="preserve">Prime </w:t>
            </w:r>
            <w:r w:rsidR="00AA48A8">
              <w:rPr>
                <w:rFonts w:ascii="Aptos Narrow" w:eastAsia="Times New Roman" w:hAnsi="Aptos Narrow" w:cs="Times New Roman"/>
                <w:color w:val="000000"/>
                <w:sz w:val="16"/>
                <w:szCs w:val="16"/>
                <w:lang w:eastAsia="en-AU"/>
              </w:rPr>
              <w:t>l</w:t>
            </w:r>
            <w:r w:rsidRPr="007F29BA">
              <w:rPr>
                <w:rFonts w:ascii="Aptos Narrow" w:eastAsia="Times New Roman" w:hAnsi="Aptos Narrow" w:cs="Times New Roman"/>
                <w:color w:val="000000"/>
                <w:sz w:val="16"/>
                <w:szCs w:val="16"/>
                <w:lang w:eastAsia="en-AU"/>
              </w:rPr>
              <w:t>amb income ($/ha)</w:t>
            </w:r>
          </w:p>
        </w:tc>
        <w:tc>
          <w:tcPr>
            <w:tcW w:w="1520" w:type="dxa"/>
            <w:tcBorders>
              <w:top w:val="nil"/>
              <w:left w:val="nil"/>
              <w:bottom w:val="nil"/>
              <w:right w:val="nil"/>
            </w:tcBorders>
            <w:shd w:val="clear" w:color="000000" w:fill="FFFFFF"/>
            <w:noWrap/>
            <w:vAlign w:val="bottom"/>
            <w:hideMark/>
          </w:tcPr>
          <w:p w14:paraId="73A59F0E" w14:textId="77777777" w:rsidR="007F29BA" w:rsidRPr="007F29BA" w:rsidRDefault="007F29BA" w:rsidP="007F29BA">
            <w:pPr>
              <w:spacing w:after="0" w:line="240" w:lineRule="auto"/>
              <w:jc w:val="center"/>
              <w:rPr>
                <w:rFonts w:ascii="Aptos Narrow" w:eastAsia="Times New Roman" w:hAnsi="Aptos Narrow" w:cs="Times New Roman"/>
                <w:sz w:val="16"/>
                <w:szCs w:val="16"/>
                <w:lang w:eastAsia="en-AU"/>
              </w:rPr>
            </w:pPr>
            <w:r w:rsidRPr="007F29BA">
              <w:rPr>
                <w:rFonts w:ascii="Aptos Narrow" w:eastAsia="Times New Roman" w:hAnsi="Aptos Narrow" w:cs="Times New Roman"/>
                <w:sz w:val="16"/>
                <w:szCs w:val="16"/>
                <w:lang w:eastAsia="en-AU"/>
              </w:rPr>
              <w:t>1,311</w:t>
            </w:r>
          </w:p>
        </w:tc>
        <w:tc>
          <w:tcPr>
            <w:tcW w:w="1180" w:type="dxa"/>
            <w:tcBorders>
              <w:top w:val="nil"/>
              <w:left w:val="nil"/>
              <w:bottom w:val="nil"/>
              <w:right w:val="nil"/>
            </w:tcBorders>
            <w:shd w:val="clear" w:color="000000" w:fill="FFFFFF"/>
            <w:noWrap/>
            <w:vAlign w:val="bottom"/>
            <w:hideMark/>
          </w:tcPr>
          <w:p w14:paraId="33D3C224" w14:textId="7A565BBE" w:rsidR="007F29BA" w:rsidRPr="007F29BA" w:rsidRDefault="007F29BA" w:rsidP="007F29BA">
            <w:pPr>
              <w:spacing w:after="0" w:line="240" w:lineRule="auto"/>
              <w:jc w:val="center"/>
              <w:rPr>
                <w:rFonts w:ascii="Aptos Narrow" w:eastAsia="Times New Roman" w:hAnsi="Aptos Narrow" w:cs="Times New Roman"/>
                <w:sz w:val="16"/>
                <w:szCs w:val="16"/>
                <w:lang w:eastAsia="en-AU"/>
              </w:rPr>
            </w:pPr>
            <w:r w:rsidRPr="007F29BA">
              <w:rPr>
                <w:rFonts w:ascii="Aptos Narrow" w:eastAsia="Times New Roman" w:hAnsi="Aptos Narrow" w:cs="Times New Roman"/>
                <w:sz w:val="16"/>
                <w:szCs w:val="16"/>
                <w:lang w:eastAsia="en-AU"/>
              </w:rPr>
              <w:t>1</w:t>
            </w:r>
            <w:r w:rsidR="00720AD7">
              <w:rPr>
                <w:rFonts w:ascii="Aptos Narrow" w:eastAsia="Times New Roman" w:hAnsi="Aptos Narrow" w:cs="Times New Roman"/>
                <w:sz w:val="16"/>
                <w:szCs w:val="16"/>
                <w:lang w:eastAsia="en-AU"/>
              </w:rPr>
              <w:t>,</w:t>
            </w:r>
            <w:r w:rsidRPr="007F29BA">
              <w:rPr>
                <w:rFonts w:ascii="Aptos Narrow" w:eastAsia="Times New Roman" w:hAnsi="Aptos Narrow" w:cs="Times New Roman"/>
                <w:sz w:val="16"/>
                <w:szCs w:val="16"/>
                <w:lang w:eastAsia="en-AU"/>
              </w:rPr>
              <w:t>099</w:t>
            </w:r>
          </w:p>
        </w:tc>
      </w:tr>
      <w:tr w:rsidR="007F29BA" w:rsidRPr="007F29BA" w14:paraId="4C69B5E7" w14:textId="77777777" w:rsidTr="007F29BA">
        <w:trPr>
          <w:trHeight w:val="300"/>
        </w:trPr>
        <w:tc>
          <w:tcPr>
            <w:tcW w:w="4160" w:type="dxa"/>
            <w:tcBorders>
              <w:top w:val="nil"/>
              <w:left w:val="nil"/>
              <w:bottom w:val="nil"/>
              <w:right w:val="nil"/>
            </w:tcBorders>
            <w:shd w:val="clear" w:color="000000" w:fill="FFFFFF"/>
            <w:noWrap/>
            <w:vAlign w:val="bottom"/>
            <w:hideMark/>
          </w:tcPr>
          <w:p w14:paraId="680C88E0" w14:textId="14549B71"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xml:space="preserve">Wool </w:t>
            </w:r>
            <w:r w:rsidR="00AA48A8">
              <w:rPr>
                <w:rFonts w:ascii="Aptos Narrow" w:eastAsia="Times New Roman" w:hAnsi="Aptos Narrow" w:cs="Times New Roman"/>
                <w:color w:val="000000"/>
                <w:sz w:val="16"/>
                <w:szCs w:val="16"/>
                <w:lang w:eastAsia="en-AU"/>
              </w:rPr>
              <w:t>s</w:t>
            </w:r>
            <w:r w:rsidRPr="007F29BA">
              <w:rPr>
                <w:rFonts w:ascii="Aptos Narrow" w:eastAsia="Times New Roman" w:hAnsi="Aptos Narrow" w:cs="Times New Roman"/>
                <w:color w:val="000000"/>
                <w:sz w:val="16"/>
                <w:szCs w:val="16"/>
                <w:lang w:eastAsia="en-AU"/>
              </w:rPr>
              <w:t>heep income ($/ha)</w:t>
            </w:r>
          </w:p>
        </w:tc>
        <w:tc>
          <w:tcPr>
            <w:tcW w:w="1520" w:type="dxa"/>
            <w:tcBorders>
              <w:top w:val="nil"/>
              <w:left w:val="nil"/>
              <w:bottom w:val="nil"/>
              <w:right w:val="nil"/>
            </w:tcBorders>
            <w:shd w:val="clear" w:color="000000" w:fill="FFFFFF"/>
            <w:noWrap/>
            <w:vAlign w:val="bottom"/>
            <w:hideMark/>
          </w:tcPr>
          <w:p w14:paraId="43EBD610" w14:textId="2DC3A4A6"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1</w:t>
            </w:r>
            <w:r w:rsidR="00720AD7">
              <w:rPr>
                <w:rFonts w:ascii="Aptos Narrow" w:eastAsia="Times New Roman" w:hAnsi="Aptos Narrow" w:cs="Times New Roman"/>
                <w:color w:val="000000"/>
                <w:sz w:val="16"/>
                <w:szCs w:val="16"/>
                <w:lang w:eastAsia="en-AU"/>
              </w:rPr>
              <w:t>,</w:t>
            </w:r>
            <w:r w:rsidRPr="007F29BA">
              <w:rPr>
                <w:rFonts w:ascii="Aptos Narrow" w:eastAsia="Times New Roman" w:hAnsi="Aptos Narrow" w:cs="Times New Roman"/>
                <w:color w:val="000000"/>
                <w:sz w:val="16"/>
                <w:szCs w:val="16"/>
                <w:lang w:eastAsia="en-AU"/>
              </w:rPr>
              <w:t>001</w:t>
            </w:r>
          </w:p>
        </w:tc>
        <w:tc>
          <w:tcPr>
            <w:tcW w:w="1180" w:type="dxa"/>
            <w:tcBorders>
              <w:top w:val="nil"/>
              <w:left w:val="nil"/>
              <w:bottom w:val="nil"/>
              <w:right w:val="nil"/>
            </w:tcBorders>
            <w:shd w:val="clear" w:color="000000" w:fill="FFFFFF"/>
            <w:noWrap/>
            <w:vAlign w:val="bottom"/>
            <w:hideMark/>
          </w:tcPr>
          <w:p w14:paraId="497FF1BD"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725</w:t>
            </w:r>
          </w:p>
        </w:tc>
      </w:tr>
      <w:tr w:rsidR="007F29BA" w:rsidRPr="007F29BA" w14:paraId="3E1EDE7D" w14:textId="77777777" w:rsidTr="0002613C">
        <w:trPr>
          <w:trHeight w:val="80"/>
        </w:trPr>
        <w:tc>
          <w:tcPr>
            <w:tcW w:w="4160" w:type="dxa"/>
            <w:tcBorders>
              <w:top w:val="nil"/>
              <w:left w:val="nil"/>
              <w:bottom w:val="nil"/>
              <w:right w:val="nil"/>
            </w:tcBorders>
            <w:shd w:val="clear" w:color="000000" w:fill="FFFFFF"/>
            <w:noWrap/>
            <w:vAlign w:val="bottom"/>
            <w:hideMark/>
          </w:tcPr>
          <w:p w14:paraId="0E743B62"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c>
          <w:tcPr>
            <w:tcW w:w="1520" w:type="dxa"/>
            <w:tcBorders>
              <w:top w:val="nil"/>
              <w:left w:val="nil"/>
              <w:bottom w:val="nil"/>
              <w:right w:val="nil"/>
            </w:tcBorders>
            <w:shd w:val="clear" w:color="000000" w:fill="FFFFFF"/>
            <w:noWrap/>
            <w:vAlign w:val="bottom"/>
            <w:hideMark/>
          </w:tcPr>
          <w:p w14:paraId="1C16D7A0"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c>
          <w:tcPr>
            <w:tcW w:w="1180" w:type="dxa"/>
            <w:tcBorders>
              <w:top w:val="nil"/>
              <w:left w:val="nil"/>
              <w:bottom w:val="nil"/>
              <w:right w:val="nil"/>
            </w:tcBorders>
            <w:shd w:val="clear" w:color="000000" w:fill="FFFFFF"/>
            <w:noWrap/>
            <w:vAlign w:val="bottom"/>
            <w:hideMark/>
          </w:tcPr>
          <w:p w14:paraId="335AD15E"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r>
      <w:tr w:rsidR="007F29BA" w:rsidRPr="007F29BA" w14:paraId="1D2157A2" w14:textId="77777777" w:rsidTr="007F29BA">
        <w:trPr>
          <w:trHeight w:val="300"/>
        </w:trPr>
        <w:tc>
          <w:tcPr>
            <w:tcW w:w="4160" w:type="dxa"/>
            <w:tcBorders>
              <w:top w:val="nil"/>
              <w:left w:val="nil"/>
              <w:bottom w:val="nil"/>
              <w:right w:val="nil"/>
            </w:tcBorders>
            <w:shd w:val="clear" w:color="000000" w:fill="FFFFFF"/>
            <w:noWrap/>
            <w:vAlign w:val="bottom"/>
            <w:hideMark/>
          </w:tcPr>
          <w:p w14:paraId="414A24FF" w14:textId="77777777" w:rsidR="007F29BA" w:rsidRPr="007F29BA" w:rsidRDefault="007F29BA" w:rsidP="007F29BA">
            <w:pPr>
              <w:spacing w:after="0" w:line="240" w:lineRule="auto"/>
              <w:rPr>
                <w:rFonts w:ascii="Aptos Narrow" w:eastAsia="Times New Roman" w:hAnsi="Aptos Narrow" w:cs="Times New Roman"/>
                <w:b/>
                <w:bCs/>
                <w:color w:val="000000"/>
                <w:sz w:val="16"/>
                <w:szCs w:val="16"/>
                <w:lang w:eastAsia="en-AU"/>
              </w:rPr>
            </w:pPr>
            <w:r w:rsidRPr="007F29BA">
              <w:rPr>
                <w:rFonts w:ascii="Aptos Narrow" w:eastAsia="Times New Roman" w:hAnsi="Aptos Narrow" w:cs="Times New Roman"/>
                <w:b/>
                <w:bCs/>
                <w:color w:val="000000"/>
                <w:sz w:val="16"/>
                <w:szCs w:val="16"/>
                <w:lang w:eastAsia="en-AU"/>
              </w:rPr>
              <w:t>Variable costs</w:t>
            </w:r>
          </w:p>
        </w:tc>
        <w:tc>
          <w:tcPr>
            <w:tcW w:w="1520" w:type="dxa"/>
            <w:tcBorders>
              <w:top w:val="nil"/>
              <w:left w:val="nil"/>
              <w:bottom w:val="nil"/>
              <w:right w:val="nil"/>
            </w:tcBorders>
            <w:shd w:val="clear" w:color="000000" w:fill="FFFFFF"/>
            <w:noWrap/>
            <w:vAlign w:val="bottom"/>
            <w:hideMark/>
          </w:tcPr>
          <w:p w14:paraId="547A1E55"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c>
          <w:tcPr>
            <w:tcW w:w="1180" w:type="dxa"/>
            <w:tcBorders>
              <w:top w:val="nil"/>
              <w:left w:val="nil"/>
              <w:bottom w:val="nil"/>
              <w:right w:val="nil"/>
            </w:tcBorders>
            <w:shd w:val="clear" w:color="000000" w:fill="FFFFFF"/>
            <w:noWrap/>
            <w:vAlign w:val="bottom"/>
            <w:hideMark/>
          </w:tcPr>
          <w:p w14:paraId="6BEA7898"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r>
      <w:tr w:rsidR="007F29BA" w:rsidRPr="007F29BA" w14:paraId="6B6C7BB2" w14:textId="77777777" w:rsidTr="007F29BA">
        <w:trPr>
          <w:trHeight w:val="300"/>
        </w:trPr>
        <w:tc>
          <w:tcPr>
            <w:tcW w:w="4160" w:type="dxa"/>
            <w:tcBorders>
              <w:top w:val="nil"/>
              <w:left w:val="nil"/>
              <w:bottom w:val="nil"/>
              <w:right w:val="nil"/>
            </w:tcBorders>
            <w:shd w:val="clear" w:color="000000" w:fill="FFFFFF"/>
            <w:noWrap/>
            <w:vAlign w:val="bottom"/>
            <w:hideMark/>
          </w:tcPr>
          <w:p w14:paraId="232B916F"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Beef variable costs ($/ha)</w:t>
            </w:r>
          </w:p>
        </w:tc>
        <w:tc>
          <w:tcPr>
            <w:tcW w:w="1520" w:type="dxa"/>
            <w:tcBorders>
              <w:top w:val="nil"/>
              <w:left w:val="nil"/>
              <w:bottom w:val="nil"/>
              <w:right w:val="nil"/>
            </w:tcBorders>
            <w:shd w:val="clear" w:color="000000" w:fill="FFFFFF"/>
            <w:noWrap/>
            <w:vAlign w:val="bottom"/>
            <w:hideMark/>
          </w:tcPr>
          <w:p w14:paraId="59770FE9" w14:textId="77777777" w:rsidR="007F29BA" w:rsidRPr="007F29BA" w:rsidRDefault="007F29BA" w:rsidP="007F29BA">
            <w:pPr>
              <w:spacing w:after="0" w:line="240" w:lineRule="auto"/>
              <w:jc w:val="center"/>
              <w:rPr>
                <w:rFonts w:ascii="Aptos Narrow" w:eastAsia="Times New Roman" w:hAnsi="Aptos Narrow" w:cs="Times New Roman"/>
                <w:sz w:val="16"/>
                <w:szCs w:val="16"/>
                <w:lang w:eastAsia="en-AU"/>
              </w:rPr>
            </w:pPr>
            <w:r w:rsidRPr="007F29BA">
              <w:rPr>
                <w:rFonts w:ascii="Aptos Narrow" w:eastAsia="Times New Roman" w:hAnsi="Aptos Narrow" w:cs="Times New Roman"/>
                <w:sz w:val="16"/>
                <w:szCs w:val="16"/>
                <w:lang w:eastAsia="en-AU"/>
              </w:rPr>
              <w:t>553</w:t>
            </w:r>
          </w:p>
        </w:tc>
        <w:tc>
          <w:tcPr>
            <w:tcW w:w="1180" w:type="dxa"/>
            <w:tcBorders>
              <w:top w:val="nil"/>
              <w:left w:val="nil"/>
              <w:bottom w:val="nil"/>
              <w:right w:val="nil"/>
            </w:tcBorders>
            <w:shd w:val="clear" w:color="000000" w:fill="FFFFFF"/>
            <w:noWrap/>
            <w:vAlign w:val="bottom"/>
            <w:hideMark/>
          </w:tcPr>
          <w:p w14:paraId="47AA4D83"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653</w:t>
            </w:r>
          </w:p>
        </w:tc>
      </w:tr>
      <w:tr w:rsidR="007F29BA" w:rsidRPr="007F29BA" w14:paraId="7CAFA32F" w14:textId="77777777" w:rsidTr="007F29BA">
        <w:trPr>
          <w:trHeight w:val="300"/>
        </w:trPr>
        <w:tc>
          <w:tcPr>
            <w:tcW w:w="4160" w:type="dxa"/>
            <w:tcBorders>
              <w:top w:val="nil"/>
              <w:left w:val="nil"/>
              <w:bottom w:val="nil"/>
              <w:right w:val="nil"/>
            </w:tcBorders>
            <w:shd w:val="clear" w:color="000000" w:fill="FFFFFF"/>
            <w:noWrap/>
            <w:vAlign w:val="bottom"/>
            <w:hideMark/>
          </w:tcPr>
          <w:p w14:paraId="3BD24517" w14:textId="0CDBEFA8"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xml:space="preserve">Prime </w:t>
            </w:r>
            <w:r w:rsidR="00AA48A8">
              <w:rPr>
                <w:rFonts w:ascii="Aptos Narrow" w:eastAsia="Times New Roman" w:hAnsi="Aptos Narrow" w:cs="Times New Roman"/>
                <w:color w:val="000000"/>
                <w:sz w:val="16"/>
                <w:szCs w:val="16"/>
                <w:lang w:eastAsia="en-AU"/>
              </w:rPr>
              <w:t>l</w:t>
            </w:r>
            <w:r w:rsidRPr="007F29BA">
              <w:rPr>
                <w:rFonts w:ascii="Aptos Narrow" w:eastAsia="Times New Roman" w:hAnsi="Aptos Narrow" w:cs="Times New Roman"/>
                <w:color w:val="000000"/>
                <w:sz w:val="16"/>
                <w:szCs w:val="16"/>
                <w:lang w:eastAsia="en-AU"/>
              </w:rPr>
              <w:t>amb variable costs ($/ha)</w:t>
            </w:r>
          </w:p>
        </w:tc>
        <w:tc>
          <w:tcPr>
            <w:tcW w:w="1520" w:type="dxa"/>
            <w:tcBorders>
              <w:top w:val="nil"/>
              <w:left w:val="nil"/>
              <w:bottom w:val="nil"/>
              <w:right w:val="nil"/>
            </w:tcBorders>
            <w:shd w:val="clear" w:color="000000" w:fill="FFFFFF"/>
            <w:noWrap/>
            <w:vAlign w:val="bottom"/>
            <w:hideMark/>
          </w:tcPr>
          <w:p w14:paraId="0CB14CB7"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698</w:t>
            </w:r>
          </w:p>
        </w:tc>
        <w:tc>
          <w:tcPr>
            <w:tcW w:w="1180" w:type="dxa"/>
            <w:tcBorders>
              <w:top w:val="nil"/>
              <w:left w:val="nil"/>
              <w:bottom w:val="nil"/>
              <w:right w:val="nil"/>
            </w:tcBorders>
            <w:shd w:val="clear" w:color="000000" w:fill="FFFFFF"/>
            <w:noWrap/>
            <w:vAlign w:val="bottom"/>
            <w:hideMark/>
          </w:tcPr>
          <w:p w14:paraId="08D8B54B"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832</w:t>
            </w:r>
          </w:p>
        </w:tc>
      </w:tr>
      <w:tr w:rsidR="007F29BA" w:rsidRPr="007F29BA" w14:paraId="02058006" w14:textId="77777777" w:rsidTr="007F29BA">
        <w:trPr>
          <w:trHeight w:val="300"/>
        </w:trPr>
        <w:tc>
          <w:tcPr>
            <w:tcW w:w="4160" w:type="dxa"/>
            <w:tcBorders>
              <w:top w:val="nil"/>
              <w:left w:val="nil"/>
              <w:bottom w:val="nil"/>
              <w:right w:val="nil"/>
            </w:tcBorders>
            <w:shd w:val="clear" w:color="000000" w:fill="FFFFFF"/>
            <w:noWrap/>
            <w:vAlign w:val="bottom"/>
            <w:hideMark/>
          </w:tcPr>
          <w:p w14:paraId="791430F7" w14:textId="6C85BCF2"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xml:space="preserve">Wool </w:t>
            </w:r>
            <w:r w:rsidR="00AA48A8">
              <w:rPr>
                <w:rFonts w:ascii="Aptos Narrow" w:eastAsia="Times New Roman" w:hAnsi="Aptos Narrow" w:cs="Times New Roman"/>
                <w:color w:val="000000"/>
                <w:sz w:val="16"/>
                <w:szCs w:val="16"/>
                <w:lang w:eastAsia="en-AU"/>
              </w:rPr>
              <w:t>s</w:t>
            </w:r>
            <w:r w:rsidRPr="007F29BA">
              <w:rPr>
                <w:rFonts w:ascii="Aptos Narrow" w:eastAsia="Times New Roman" w:hAnsi="Aptos Narrow" w:cs="Times New Roman"/>
                <w:color w:val="000000"/>
                <w:sz w:val="16"/>
                <w:szCs w:val="16"/>
                <w:lang w:eastAsia="en-AU"/>
              </w:rPr>
              <w:t>heep variable costs ($/ha)</w:t>
            </w:r>
          </w:p>
        </w:tc>
        <w:tc>
          <w:tcPr>
            <w:tcW w:w="1520" w:type="dxa"/>
            <w:tcBorders>
              <w:top w:val="nil"/>
              <w:left w:val="nil"/>
              <w:bottom w:val="nil"/>
              <w:right w:val="nil"/>
            </w:tcBorders>
            <w:shd w:val="clear" w:color="000000" w:fill="FFFFFF"/>
            <w:noWrap/>
            <w:vAlign w:val="bottom"/>
            <w:hideMark/>
          </w:tcPr>
          <w:p w14:paraId="16A76D58"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607</w:t>
            </w:r>
          </w:p>
        </w:tc>
        <w:tc>
          <w:tcPr>
            <w:tcW w:w="1180" w:type="dxa"/>
            <w:tcBorders>
              <w:top w:val="nil"/>
              <w:left w:val="nil"/>
              <w:bottom w:val="nil"/>
              <w:right w:val="nil"/>
            </w:tcBorders>
            <w:shd w:val="clear" w:color="000000" w:fill="FFFFFF"/>
            <w:noWrap/>
            <w:vAlign w:val="bottom"/>
            <w:hideMark/>
          </w:tcPr>
          <w:p w14:paraId="301A74F4" w14:textId="77777777" w:rsidR="007F29BA" w:rsidRPr="007F29BA" w:rsidRDefault="007F29BA" w:rsidP="007F29BA">
            <w:pPr>
              <w:spacing w:after="0" w:line="240" w:lineRule="auto"/>
              <w:jc w:val="center"/>
              <w:rPr>
                <w:rFonts w:ascii="Aptos Narrow" w:eastAsia="Times New Roman" w:hAnsi="Aptos Narrow" w:cs="Times New Roman"/>
                <w:sz w:val="16"/>
                <w:szCs w:val="16"/>
                <w:lang w:eastAsia="en-AU"/>
              </w:rPr>
            </w:pPr>
            <w:r w:rsidRPr="007F29BA">
              <w:rPr>
                <w:rFonts w:ascii="Aptos Narrow" w:eastAsia="Times New Roman" w:hAnsi="Aptos Narrow" w:cs="Times New Roman"/>
                <w:sz w:val="16"/>
                <w:szCs w:val="16"/>
                <w:lang w:eastAsia="en-AU"/>
              </w:rPr>
              <w:t>704</w:t>
            </w:r>
          </w:p>
        </w:tc>
      </w:tr>
      <w:tr w:rsidR="007F29BA" w:rsidRPr="007F29BA" w14:paraId="1C413833" w14:textId="77777777" w:rsidTr="0002613C">
        <w:trPr>
          <w:trHeight w:val="80"/>
        </w:trPr>
        <w:tc>
          <w:tcPr>
            <w:tcW w:w="4160" w:type="dxa"/>
            <w:tcBorders>
              <w:top w:val="nil"/>
              <w:left w:val="nil"/>
              <w:bottom w:val="nil"/>
              <w:right w:val="nil"/>
            </w:tcBorders>
            <w:shd w:val="clear" w:color="000000" w:fill="FFFFFF"/>
            <w:noWrap/>
            <w:vAlign w:val="bottom"/>
            <w:hideMark/>
          </w:tcPr>
          <w:p w14:paraId="280D0F51"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c>
          <w:tcPr>
            <w:tcW w:w="1520" w:type="dxa"/>
            <w:tcBorders>
              <w:top w:val="nil"/>
              <w:left w:val="nil"/>
              <w:bottom w:val="nil"/>
              <w:right w:val="nil"/>
            </w:tcBorders>
            <w:shd w:val="clear" w:color="000000" w:fill="FFFFFF"/>
            <w:noWrap/>
            <w:vAlign w:val="bottom"/>
            <w:hideMark/>
          </w:tcPr>
          <w:p w14:paraId="1811658E"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c>
          <w:tcPr>
            <w:tcW w:w="1180" w:type="dxa"/>
            <w:tcBorders>
              <w:top w:val="nil"/>
              <w:left w:val="nil"/>
              <w:bottom w:val="nil"/>
              <w:right w:val="nil"/>
            </w:tcBorders>
            <w:shd w:val="clear" w:color="000000" w:fill="FFFFFF"/>
            <w:noWrap/>
            <w:vAlign w:val="bottom"/>
            <w:hideMark/>
          </w:tcPr>
          <w:p w14:paraId="6E71BBDE"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r>
      <w:tr w:rsidR="007F29BA" w:rsidRPr="007F29BA" w14:paraId="49697547" w14:textId="77777777" w:rsidTr="007F29BA">
        <w:trPr>
          <w:trHeight w:val="300"/>
        </w:trPr>
        <w:tc>
          <w:tcPr>
            <w:tcW w:w="4160" w:type="dxa"/>
            <w:tcBorders>
              <w:top w:val="nil"/>
              <w:left w:val="nil"/>
              <w:bottom w:val="nil"/>
              <w:right w:val="nil"/>
            </w:tcBorders>
            <w:shd w:val="clear" w:color="000000" w:fill="FFFFFF"/>
            <w:noWrap/>
            <w:vAlign w:val="bottom"/>
            <w:hideMark/>
          </w:tcPr>
          <w:p w14:paraId="0D15BC72" w14:textId="77777777" w:rsidR="007F29BA" w:rsidRPr="007F29BA" w:rsidRDefault="007F29BA" w:rsidP="007F29BA">
            <w:pPr>
              <w:spacing w:after="0" w:line="240" w:lineRule="auto"/>
              <w:rPr>
                <w:rFonts w:ascii="Aptos Narrow" w:eastAsia="Times New Roman" w:hAnsi="Aptos Narrow" w:cs="Times New Roman"/>
                <w:b/>
                <w:bCs/>
                <w:color w:val="000000"/>
                <w:sz w:val="16"/>
                <w:szCs w:val="16"/>
                <w:lang w:eastAsia="en-AU"/>
              </w:rPr>
            </w:pPr>
            <w:r w:rsidRPr="007F29BA">
              <w:rPr>
                <w:rFonts w:ascii="Aptos Narrow" w:eastAsia="Times New Roman" w:hAnsi="Aptos Narrow" w:cs="Times New Roman"/>
                <w:b/>
                <w:bCs/>
                <w:color w:val="000000"/>
                <w:sz w:val="16"/>
                <w:szCs w:val="16"/>
                <w:lang w:eastAsia="en-AU"/>
              </w:rPr>
              <w:t>Production</w:t>
            </w:r>
          </w:p>
        </w:tc>
        <w:tc>
          <w:tcPr>
            <w:tcW w:w="1520" w:type="dxa"/>
            <w:tcBorders>
              <w:top w:val="nil"/>
              <w:left w:val="nil"/>
              <w:bottom w:val="nil"/>
              <w:right w:val="nil"/>
            </w:tcBorders>
            <w:shd w:val="clear" w:color="000000" w:fill="FFFFFF"/>
            <w:noWrap/>
            <w:vAlign w:val="bottom"/>
            <w:hideMark/>
          </w:tcPr>
          <w:p w14:paraId="15EB1292" w14:textId="77777777" w:rsidR="007F29BA" w:rsidRPr="007F29BA" w:rsidRDefault="007F29BA" w:rsidP="007F29BA">
            <w:pPr>
              <w:spacing w:after="0" w:line="240" w:lineRule="auto"/>
              <w:jc w:val="center"/>
              <w:rPr>
                <w:rFonts w:ascii="Aptos Narrow" w:eastAsia="Times New Roman" w:hAnsi="Aptos Narrow" w:cs="Times New Roman"/>
                <w:b/>
                <w:bCs/>
                <w:sz w:val="16"/>
                <w:szCs w:val="16"/>
                <w:lang w:eastAsia="en-AU"/>
              </w:rPr>
            </w:pPr>
            <w:r w:rsidRPr="007F29BA">
              <w:rPr>
                <w:rFonts w:ascii="Aptos Narrow" w:eastAsia="Times New Roman" w:hAnsi="Aptos Narrow" w:cs="Times New Roman"/>
                <w:b/>
                <w:bCs/>
                <w:sz w:val="16"/>
                <w:szCs w:val="16"/>
                <w:lang w:eastAsia="en-AU"/>
              </w:rPr>
              <w:t> </w:t>
            </w:r>
          </w:p>
        </w:tc>
        <w:tc>
          <w:tcPr>
            <w:tcW w:w="1180" w:type="dxa"/>
            <w:tcBorders>
              <w:top w:val="nil"/>
              <w:left w:val="nil"/>
              <w:bottom w:val="nil"/>
              <w:right w:val="nil"/>
            </w:tcBorders>
            <w:shd w:val="clear" w:color="000000" w:fill="FFFFFF"/>
            <w:noWrap/>
            <w:vAlign w:val="bottom"/>
            <w:hideMark/>
          </w:tcPr>
          <w:p w14:paraId="76342482" w14:textId="77777777" w:rsidR="007F29BA" w:rsidRPr="007F29BA" w:rsidRDefault="007F29BA" w:rsidP="007F29BA">
            <w:pPr>
              <w:spacing w:after="0" w:line="240" w:lineRule="auto"/>
              <w:jc w:val="center"/>
              <w:rPr>
                <w:rFonts w:ascii="Aptos Narrow" w:eastAsia="Times New Roman" w:hAnsi="Aptos Narrow" w:cs="Times New Roman"/>
                <w:b/>
                <w:bCs/>
                <w:sz w:val="16"/>
                <w:szCs w:val="16"/>
                <w:lang w:eastAsia="en-AU"/>
              </w:rPr>
            </w:pPr>
            <w:r w:rsidRPr="007F29BA">
              <w:rPr>
                <w:rFonts w:ascii="Aptos Narrow" w:eastAsia="Times New Roman" w:hAnsi="Aptos Narrow" w:cs="Times New Roman"/>
                <w:b/>
                <w:bCs/>
                <w:sz w:val="16"/>
                <w:szCs w:val="16"/>
                <w:lang w:eastAsia="en-AU"/>
              </w:rPr>
              <w:t> </w:t>
            </w:r>
          </w:p>
        </w:tc>
      </w:tr>
      <w:tr w:rsidR="007F29BA" w:rsidRPr="007F29BA" w14:paraId="7A506DDE" w14:textId="77777777" w:rsidTr="007F29BA">
        <w:trPr>
          <w:trHeight w:val="300"/>
        </w:trPr>
        <w:tc>
          <w:tcPr>
            <w:tcW w:w="4160" w:type="dxa"/>
            <w:tcBorders>
              <w:top w:val="nil"/>
              <w:left w:val="nil"/>
              <w:bottom w:val="nil"/>
              <w:right w:val="nil"/>
            </w:tcBorders>
            <w:shd w:val="clear" w:color="000000" w:fill="FFFFFF"/>
            <w:noWrap/>
            <w:vAlign w:val="bottom"/>
            <w:hideMark/>
          </w:tcPr>
          <w:p w14:paraId="6DC50DEA"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xml:space="preserve">Beef sold (kg </w:t>
            </w:r>
            <w:proofErr w:type="spellStart"/>
            <w:r w:rsidRPr="007F29BA">
              <w:rPr>
                <w:rFonts w:ascii="Aptos Narrow" w:eastAsia="Times New Roman" w:hAnsi="Aptos Narrow" w:cs="Times New Roman"/>
                <w:color w:val="000000"/>
                <w:sz w:val="16"/>
                <w:szCs w:val="16"/>
                <w:lang w:eastAsia="en-AU"/>
              </w:rPr>
              <w:t>lwt</w:t>
            </w:r>
            <w:proofErr w:type="spellEnd"/>
            <w:r w:rsidRPr="007F29BA">
              <w:rPr>
                <w:rFonts w:ascii="Aptos Narrow" w:eastAsia="Times New Roman" w:hAnsi="Aptos Narrow" w:cs="Times New Roman"/>
                <w:color w:val="000000"/>
                <w:sz w:val="16"/>
                <w:szCs w:val="16"/>
                <w:lang w:eastAsia="en-AU"/>
              </w:rPr>
              <w:t>/ha)</w:t>
            </w:r>
          </w:p>
        </w:tc>
        <w:tc>
          <w:tcPr>
            <w:tcW w:w="1520" w:type="dxa"/>
            <w:tcBorders>
              <w:top w:val="nil"/>
              <w:left w:val="nil"/>
              <w:bottom w:val="nil"/>
              <w:right w:val="nil"/>
            </w:tcBorders>
            <w:shd w:val="clear" w:color="000000" w:fill="FFFFFF"/>
            <w:noWrap/>
            <w:vAlign w:val="bottom"/>
            <w:hideMark/>
          </w:tcPr>
          <w:p w14:paraId="3BB3C424"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543</w:t>
            </w:r>
          </w:p>
        </w:tc>
        <w:tc>
          <w:tcPr>
            <w:tcW w:w="1180" w:type="dxa"/>
            <w:tcBorders>
              <w:top w:val="nil"/>
              <w:left w:val="nil"/>
              <w:bottom w:val="nil"/>
              <w:right w:val="nil"/>
            </w:tcBorders>
            <w:shd w:val="clear" w:color="000000" w:fill="FFFFFF"/>
            <w:noWrap/>
            <w:vAlign w:val="bottom"/>
            <w:hideMark/>
          </w:tcPr>
          <w:p w14:paraId="7A7875E9"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348</w:t>
            </w:r>
          </w:p>
        </w:tc>
      </w:tr>
      <w:tr w:rsidR="007F29BA" w:rsidRPr="007F29BA" w14:paraId="3ED94AFD" w14:textId="77777777" w:rsidTr="007F29BA">
        <w:trPr>
          <w:trHeight w:val="300"/>
        </w:trPr>
        <w:tc>
          <w:tcPr>
            <w:tcW w:w="4160" w:type="dxa"/>
            <w:tcBorders>
              <w:top w:val="nil"/>
              <w:left w:val="nil"/>
              <w:bottom w:val="nil"/>
              <w:right w:val="nil"/>
            </w:tcBorders>
            <w:shd w:val="clear" w:color="000000" w:fill="FFFFFF"/>
            <w:noWrap/>
            <w:vAlign w:val="bottom"/>
            <w:hideMark/>
          </w:tcPr>
          <w:p w14:paraId="7A93D229"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Lamb sold (kg cwt/ha)</w:t>
            </w:r>
          </w:p>
        </w:tc>
        <w:tc>
          <w:tcPr>
            <w:tcW w:w="1520" w:type="dxa"/>
            <w:tcBorders>
              <w:top w:val="nil"/>
              <w:left w:val="nil"/>
              <w:bottom w:val="nil"/>
              <w:right w:val="nil"/>
            </w:tcBorders>
            <w:shd w:val="clear" w:color="000000" w:fill="FFFFFF"/>
            <w:noWrap/>
            <w:vAlign w:val="bottom"/>
            <w:hideMark/>
          </w:tcPr>
          <w:p w14:paraId="13F25A1F"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126</w:t>
            </w:r>
          </w:p>
        </w:tc>
        <w:tc>
          <w:tcPr>
            <w:tcW w:w="1180" w:type="dxa"/>
            <w:tcBorders>
              <w:top w:val="nil"/>
              <w:left w:val="nil"/>
              <w:bottom w:val="nil"/>
              <w:right w:val="nil"/>
            </w:tcBorders>
            <w:shd w:val="clear" w:color="000000" w:fill="FFFFFF"/>
            <w:noWrap/>
            <w:vAlign w:val="bottom"/>
            <w:hideMark/>
          </w:tcPr>
          <w:p w14:paraId="5378080A" w14:textId="77777777" w:rsidR="007F29BA" w:rsidRPr="007F29BA" w:rsidRDefault="007F29BA" w:rsidP="007F29BA">
            <w:pPr>
              <w:spacing w:after="0" w:line="240" w:lineRule="auto"/>
              <w:jc w:val="center"/>
              <w:rPr>
                <w:rFonts w:ascii="Aptos Narrow" w:eastAsia="Times New Roman" w:hAnsi="Aptos Narrow" w:cs="Times New Roman"/>
                <w:sz w:val="16"/>
                <w:szCs w:val="16"/>
                <w:lang w:eastAsia="en-AU"/>
              </w:rPr>
            </w:pPr>
            <w:r w:rsidRPr="007F29BA">
              <w:rPr>
                <w:rFonts w:ascii="Aptos Narrow" w:eastAsia="Times New Roman" w:hAnsi="Aptos Narrow" w:cs="Times New Roman"/>
                <w:sz w:val="16"/>
                <w:szCs w:val="16"/>
                <w:lang w:eastAsia="en-AU"/>
              </w:rPr>
              <w:t>129</w:t>
            </w:r>
          </w:p>
        </w:tc>
      </w:tr>
      <w:tr w:rsidR="007F29BA" w:rsidRPr="007F29BA" w14:paraId="6675496B" w14:textId="77777777" w:rsidTr="007F29BA">
        <w:trPr>
          <w:trHeight w:val="285"/>
        </w:trPr>
        <w:tc>
          <w:tcPr>
            <w:tcW w:w="4160" w:type="dxa"/>
            <w:tcBorders>
              <w:top w:val="nil"/>
              <w:left w:val="nil"/>
              <w:bottom w:val="nil"/>
              <w:right w:val="nil"/>
            </w:tcBorders>
            <w:shd w:val="clear" w:color="000000" w:fill="FFFFFF"/>
            <w:noWrap/>
            <w:vAlign w:val="bottom"/>
            <w:hideMark/>
          </w:tcPr>
          <w:p w14:paraId="311EA035"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Wool sheep wool cut (kg Gr./ha)</w:t>
            </w:r>
          </w:p>
        </w:tc>
        <w:tc>
          <w:tcPr>
            <w:tcW w:w="1520" w:type="dxa"/>
            <w:tcBorders>
              <w:top w:val="nil"/>
              <w:left w:val="nil"/>
              <w:bottom w:val="nil"/>
              <w:right w:val="nil"/>
            </w:tcBorders>
            <w:shd w:val="clear" w:color="000000" w:fill="FFFFFF"/>
            <w:noWrap/>
            <w:vAlign w:val="bottom"/>
            <w:hideMark/>
          </w:tcPr>
          <w:p w14:paraId="7EF4D1FD"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47</w:t>
            </w:r>
          </w:p>
        </w:tc>
        <w:tc>
          <w:tcPr>
            <w:tcW w:w="1180" w:type="dxa"/>
            <w:tcBorders>
              <w:top w:val="nil"/>
              <w:left w:val="nil"/>
              <w:bottom w:val="nil"/>
              <w:right w:val="nil"/>
            </w:tcBorders>
            <w:shd w:val="clear" w:color="000000" w:fill="FFFFFF"/>
            <w:noWrap/>
            <w:vAlign w:val="bottom"/>
            <w:hideMark/>
          </w:tcPr>
          <w:p w14:paraId="1128D4B8" w14:textId="77777777" w:rsidR="007F29BA" w:rsidRPr="007F29BA" w:rsidRDefault="007F29BA" w:rsidP="007F29BA">
            <w:pPr>
              <w:spacing w:after="0" w:line="240" w:lineRule="auto"/>
              <w:jc w:val="center"/>
              <w:rPr>
                <w:rFonts w:ascii="Aptos Narrow" w:eastAsia="Times New Roman" w:hAnsi="Aptos Narrow" w:cs="Times New Roman"/>
                <w:sz w:val="16"/>
                <w:szCs w:val="16"/>
                <w:lang w:eastAsia="en-AU"/>
              </w:rPr>
            </w:pPr>
            <w:r w:rsidRPr="007F29BA">
              <w:rPr>
                <w:rFonts w:ascii="Aptos Narrow" w:eastAsia="Times New Roman" w:hAnsi="Aptos Narrow" w:cs="Times New Roman"/>
                <w:sz w:val="16"/>
                <w:szCs w:val="16"/>
                <w:lang w:eastAsia="en-AU"/>
              </w:rPr>
              <w:t>41</w:t>
            </w:r>
          </w:p>
        </w:tc>
      </w:tr>
      <w:tr w:rsidR="007F29BA" w:rsidRPr="007F29BA" w14:paraId="4AB2E137" w14:textId="77777777" w:rsidTr="007F29BA">
        <w:trPr>
          <w:trHeight w:val="285"/>
        </w:trPr>
        <w:tc>
          <w:tcPr>
            <w:tcW w:w="4160" w:type="dxa"/>
            <w:tcBorders>
              <w:top w:val="nil"/>
              <w:left w:val="nil"/>
              <w:bottom w:val="nil"/>
              <w:right w:val="nil"/>
            </w:tcBorders>
            <w:shd w:val="clear" w:color="000000" w:fill="FFFFFF"/>
            <w:noWrap/>
            <w:vAlign w:val="bottom"/>
            <w:hideMark/>
          </w:tcPr>
          <w:p w14:paraId="3C8E7F03" w14:textId="77777777" w:rsidR="007F29BA" w:rsidRPr="007F29BA" w:rsidRDefault="007F29BA" w:rsidP="007F29BA">
            <w:pPr>
              <w:spacing w:after="0" w:line="240" w:lineRule="auto"/>
              <w:rPr>
                <w:rFonts w:ascii="Aptos Narrow" w:eastAsia="Times New Roman" w:hAnsi="Aptos Narrow" w:cs="Times New Roman"/>
                <w:color w:val="FF0000"/>
                <w:sz w:val="16"/>
                <w:szCs w:val="16"/>
                <w:lang w:eastAsia="en-AU"/>
              </w:rPr>
            </w:pPr>
            <w:r w:rsidRPr="007F29BA">
              <w:rPr>
                <w:rFonts w:ascii="Aptos Narrow" w:eastAsia="Times New Roman" w:hAnsi="Aptos Narrow" w:cs="Times New Roman"/>
                <w:color w:val="FF0000"/>
                <w:sz w:val="16"/>
                <w:szCs w:val="16"/>
                <w:lang w:eastAsia="en-AU"/>
              </w:rPr>
              <w:t> </w:t>
            </w:r>
          </w:p>
        </w:tc>
        <w:tc>
          <w:tcPr>
            <w:tcW w:w="1520" w:type="dxa"/>
            <w:tcBorders>
              <w:top w:val="nil"/>
              <w:left w:val="nil"/>
              <w:bottom w:val="nil"/>
              <w:right w:val="nil"/>
            </w:tcBorders>
            <w:shd w:val="clear" w:color="000000" w:fill="FFFFFF"/>
            <w:noWrap/>
            <w:vAlign w:val="bottom"/>
            <w:hideMark/>
          </w:tcPr>
          <w:p w14:paraId="41AB7A92" w14:textId="77777777" w:rsidR="007F29BA" w:rsidRPr="007F29BA" w:rsidRDefault="007F29BA" w:rsidP="007F29BA">
            <w:pPr>
              <w:spacing w:after="0" w:line="240" w:lineRule="auto"/>
              <w:jc w:val="center"/>
              <w:rPr>
                <w:rFonts w:ascii="Aptos Narrow" w:eastAsia="Times New Roman" w:hAnsi="Aptos Narrow" w:cs="Times New Roman"/>
                <w:color w:val="FF0000"/>
                <w:sz w:val="16"/>
                <w:szCs w:val="16"/>
                <w:lang w:eastAsia="en-AU"/>
              </w:rPr>
            </w:pPr>
            <w:r w:rsidRPr="007F29BA">
              <w:rPr>
                <w:rFonts w:ascii="Aptos Narrow" w:eastAsia="Times New Roman" w:hAnsi="Aptos Narrow" w:cs="Times New Roman"/>
                <w:color w:val="FF0000"/>
                <w:sz w:val="16"/>
                <w:szCs w:val="16"/>
                <w:lang w:eastAsia="en-AU"/>
              </w:rPr>
              <w:t> </w:t>
            </w:r>
          </w:p>
        </w:tc>
        <w:tc>
          <w:tcPr>
            <w:tcW w:w="1180" w:type="dxa"/>
            <w:tcBorders>
              <w:top w:val="nil"/>
              <w:left w:val="nil"/>
              <w:bottom w:val="nil"/>
              <w:right w:val="nil"/>
            </w:tcBorders>
            <w:shd w:val="clear" w:color="000000" w:fill="FFFFFF"/>
            <w:noWrap/>
            <w:vAlign w:val="bottom"/>
            <w:hideMark/>
          </w:tcPr>
          <w:p w14:paraId="6A89FCC4" w14:textId="77777777" w:rsidR="007F29BA" w:rsidRPr="007F29BA" w:rsidRDefault="007F29BA" w:rsidP="007F29BA">
            <w:pPr>
              <w:spacing w:after="0" w:line="240" w:lineRule="auto"/>
              <w:jc w:val="center"/>
              <w:rPr>
                <w:rFonts w:ascii="Aptos Narrow" w:eastAsia="Times New Roman" w:hAnsi="Aptos Narrow" w:cs="Times New Roman"/>
                <w:color w:val="FF0000"/>
                <w:sz w:val="16"/>
                <w:szCs w:val="16"/>
                <w:lang w:eastAsia="en-AU"/>
              </w:rPr>
            </w:pPr>
            <w:r w:rsidRPr="007F29BA">
              <w:rPr>
                <w:rFonts w:ascii="Aptos Narrow" w:eastAsia="Times New Roman" w:hAnsi="Aptos Narrow" w:cs="Times New Roman"/>
                <w:color w:val="FF0000"/>
                <w:sz w:val="16"/>
                <w:szCs w:val="16"/>
                <w:lang w:eastAsia="en-AU"/>
              </w:rPr>
              <w:t> </w:t>
            </w:r>
          </w:p>
        </w:tc>
      </w:tr>
      <w:tr w:rsidR="007F29BA" w:rsidRPr="007F29BA" w14:paraId="74AAEC6B" w14:textId="77777777" w:rsidTr="007F29BA">
        <w:trPr>
          <w:trHeight w:val="285"/>
        </w:trPr>
        <w:tc>
          <w:tcPr>
            <w:tcW w:w="4160" w:type="dxa"/>
            <w:tcBorders>
              <w:top w:val="nil"/>
              <w:left w:val="nil"/>
              <w:bottom w:val="nil"/>
              <w:right w:val="nil"/>
            </w:tcBorders>
            <w:shd w:val="clear" w:color="000000" w:fill="FFFFFF"/>
            <w:noWrap/>
            <w:vAlign w:val="bottom"/>
            <w:hideMark/>
          </w:tcPr>
          <w:p w14:paraId="4B76D80B" w14:textId="77777777" w:rsidR="007F29BA" w:rsidRPr="007F29BA" w:rsidRDefault="007F29BA" w:rsidP="007F29BA">
            <w:pPr>
              <w:spacing w:after="0" w:line="240" w:lineRule="auto"/>
              <w:rPr>
                <w:rFonts w:ascii="Aptos Narrow" w:eastAsia="Times New Roman" w:hAnsi="Aptos Narrow" w:cs="Times New Roman"/>
                <w:b/>
                <w:bCs/>
                <w:color w:val="000000"/>
                <w:sz w:val="16"/>
                <w:szCs w:val="16"/>
                <w:lang w:eastAsia="en-AU"/>
              </w:rPr>
            </w:pPr>
            <w:r w:rsidRPr="007F29BA">
              <w:rPr>
                <w:rFonts w:ascii="Aptos Narrow" w:eastAsia="Times New Roman" w:hAnsi="Aptos Narrow" w:cs="Times New Roman"/>
                <w:b/>
                <w:bCs/>
                <w:color w:val="000000"/>
                <w:sz w:val="16"/>
                <w:szCs w:val="16"/>
                <w:lang w:eastAsia="en-AU"/>
              </w:rPr>
              <w:t>Labour</w:t>
            </w:r>
          </w:p>
        </w:tc>
        <w:tc>
          <w:tcPr>
            <w:tcW w:w="1520" w:type="dxa"/>
            <w:tcBorders>
              <w:top w:val="nil"/>
              <w:left w:val="nil"/>
              <w:bottom w:val="nil"/>
              <w:right w:val="nil"/>
            </w:tcBorders>
            <w:shd w:val="clear" w:color="000000" w:fill="FFFFFF"/>
            <w:noWrap/>
            <w:vAlign w:val="bottom"/>
            <w:hideMark/>
          </w:tcPr>
          <w:p w14:paraId="294AE867" w14:textId="77777777" w:rsidR="007F29BA" w:rsidRPr="007F29BA" w:rsidRDefault="007F29BA" w:rsidP="007F29BA">
            <w:pPr>
              <w:spacing w:after="0" w:line="240" w:lineRule="auto"/>
              <w:jc w:val="center"/>
              <w:rPr>
                <w:rFonts w:ascii="Aptos Narrow" w:eastAsia="Times New Roman" w:hAnsi="Aptos Narrow" w:cs="Times New Roman"/>
                <w:color w:val="FF0000"/>
                <w:sz w:val="16"/>
                <w:szCs w:val="16"/>
                <w:lang w:eastAsia="en-AU"/>
              </w:rPr>
            </w:pPr>
            <w:r w:rsidRPr="007F29BA">
              <w:rPr>
                <w:rFonts w:ascii="Aptos Narrow" w:eastAsia="Times New Roman" w:hAnsi="Aptos Narrow" w:cs="Times New Roman"/>
                <w:color w:val="FF0000"/>
                <w:sz w:val="16"/>
                <w:szCs w:val="16"/>
                <w:lang w:eastAsia="en-AU"/>
              </w:rPr>
              <w:t> </w:t>
            </w:r>
          </w:p>
        </w:tc>
        <w:tc>
          <w:tcPr>
            <w:tcW w:w="1180" w:type="dxa"/>
            <w:tcBorders>
              <w:top w:val="nil"/>
              <w:left w:val="nil"/>
              <w:bottom w:val="nil"/>
              <w:right w:val="nil"/>
            </w:tcBorders>
            <w:shd w:val="clear" w:color="000000" w:fill="FFFFFF"/>
            <w:noWrap/>
            <w:vAlign w:val="bottom"/>
            <w:hideMark/>
          </w:tcPr>
          <w:p w14:paraId="39C2790E" w14:textId="77777777" w:rsidR="007F29BA" w:rsidRPr="007F29BA" w:rsidRDefault="007F29BA" w:rsidP="007F29BA">
            <w:pPr>
              <w:spacing w:after="0" w:line="240" w:lineRule="auto"/>
              <w:jc w:val="center"/>
              <w:rPr>
                <w:rFonts w:ascii="Aptos Narrow" w:eastAsia="Times New Roman" w:hAnsi="Aptos Narrow" w:cs="Times New Roman"/>
                <w:color w:val="FF0000"/>
                <w:sz w:val="16"/>
                <w:szCs w:val="16"/>
                <w:lang w:eastAsia="en-AU"/>
              </w:rPr>
            </w:pPr>
            <w:r w:rsidRPr="007F29BA">
              <w:rPr>
                <w:rFonts w:ascii="Aptos Narrow" w:eastAsia="Times New Roman" w:hAnsi="Aptos Narrow" w:cs="Times New Roman"/>
                <w:color w:val="FF0000"/>
                <w:sz w:val="16"/>
                <w:szCs w:val="16"/>
                <w:lang w:eastAsia="en-AU"/>
              </w:rPr>
              <w:t> </w:t>
            </w:r>
          </w:p>
        </w:tc>
      </w:tr>
      <w:tr w:rsidR="007F29BA" w:rsidRPr="007F29BA" w14:paraId="018AF4A8" w14:textId="77777777" w:rsidTr="007F29BA">
        <w:trPr>
          <w:trHeight w:val="300"/>
        </w:trPr>
        <w:tc>
          <w:tcPr>
            <w:tcW w:w="4160" w:type="dxa"/>
            <w:tcBorders>
              <w:top w:val="nil"/>
              <w:left w:val="nil"/>
              <w:bottom w:val="nil"/>
              <w:right w:val="nil"/>
            </w:tcBorders>
            <w:shd w:val="clear" w:color="000000" w:fill="FFFFFF"/>
            <w:noWrap/>
            <w:vAlign w:val="bottom"/>
            <w:hideMark/>
          </w:tcPr>
          <w:p w14:paraId="308D0635"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Labour use efficiency (ha/FTE)</w:t>
            </w:r>
          </w:p>
        </w:tc>
        <w:tc>
          <w:tcPr>
            <w:tcW w:w="1520" w:type="dxa"/>
            <w:tcBorders>
              <w:top w:val="nil"/>
              <w:left w:val="nil"/>
              <w:bottom w:val="nil"/>
              <w:right w:val="nil"/>
            </w:tcBorders>
            <w:shd w:val="clear" w:color="000000" w:fill="FFFFFF"/>
            <w:noWrap/>
            <w:vAlign w:val="bottom"/>
            <w:hideMark/>
          </w:tcPr>
          <w:p w14:paraId="2D33F666"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420</w:t>
            </w:r>
          </w:p>
        </w:tc>
        <w:tc>
          <w:tcPr>
            <w:tcW w:w="1180" w:type="dxa"/>
            <w:tcBorders>
              <w:top w:val="nil"/>
              <w:left w:val="nil"/>
              <w:bottom w:val="nil"/>
              <w:right w:val="nil"/>
            </w:tcBorders>
            <w:shd w:val="clear" w:color="000000" w:fill="FFFFFF"/>
            <w:noWrap/>
            <w:vAlign w:val="bottom"/>
            <w:hideMark/>
          </w:tcPr>
          <w:p w14:paraId="3D80640C"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423</w:t>
            </w:r>
          </w:p>
        </w:tc>
      </w:tr>
      <w:tr w:rsidR="007F29BA" w:rsidRPr="007F29BA" w14:paraId="0C8EA252" w14:textId="77777777" w:rsidTr="007F29BA">
        <w:trPr>
          <w:trHeight w:val="300"/>
        </w:trPr>
        <w:tc>
          <w:tcPr>
            <w:tcW w:w="4160" w:type="dxa"/>
            <w:tcBorders>
              <w:top w:val="nil"/>
              <w:left w:val="nil"/>
              <w:bottom w:val="nil"/>
              <w:right w:val="nil"/>
            </w:tcBorders>
            <w:shd w:val="clear" w:color="000000" w:fill="FFFFFF"/>
            <w:noWrap/>
            <w:vAlign w:val="bottom"/>
            <w:hideMark/>
          </w:tcPr>
          <w:p w14:paraId="4AD891C5"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Labour use efficiency (DSE/FTE)</w:t>
            </w:r>
          </w:p>
        </w:tc>
        <w:tc>
          <w:tcPr>
            <w:tcW w:w="1520" w:type="dxa"/>
            <w:tcBorders>
              <w:top w:val="nil"/>
              <w:left w:val="nil"/>
              <w:bottom w:val="nil"/>
              <w:right w:val="nil"/>
            </w:tcBorders>
            <w:shd w:val="clear" w:color="000000" w:fill="FFFFFF"/>
            <w:noWrap/>
            <w:vAlign w:val="bottom"/>
            <w:hideMark/>
          </w:tcPr>
          <w:p w14:paraId="715D0A02"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5,917</w:t>
            </w:r>
          </w:p>
        </w:tc>
        <w:tc>
          <w:tcPr>
            <w:tcW w:w="1180" w:type="dxa"/>
            <w:tcBorders>
              <w:top w:val="nil"/>
              <w:left w:val="nil"/>
              <w:bottom w:val="nil"/>
              <w:right w:val="nil"/>
            </w:tcBorders>
            <w:shd w:val="clear" w:color="000000" w:fill="FFFFFF"/>
            <w:noWrap/>
            <w:vAlign w:val="bottom"/>
            <w:hideMark/>
          </w:tcPr>
          <w:p w14:paraId="1955D30F" w14:textId="77777777" w:rsidR="007F29BA" w:rsidRPr="007F29BA" w:rsidRDefault="007F29BA" w:rsidP="007F29BA">
            <w:pPr>
              <w:spacing w:after="0" w:line="240" w:lineRule="auto"/>
              <w:jc w:val="center"/>
              <w:rPr>
                <w:rFonts w:ascii="Aptos Narrow" w:eastAsia="Times New Roman" w:hAnsi="Aptos Narrow" w:cs="Times New Roman"/>
                <w:sz w:val="16"/>
                <w:szCs w:val="16"/>
                <w:lang w:eastAsia="en-AU"/>
              </w:rPr>
            </w:pPr>
            <w:r w:rsidRPr="007F29BA">
              <w:rPr>
                <w:rFonts w:ascii="Aptos Narrow" w:eastAsia="Times New Roman" w:hAnsi="Aptos Narrow" w:cs="Times New Roman"/>
                <w:sz w:val="16"/>
                <w:szCs w:val="16"/>
                <w:lang w:eastAsia="en-AU"/>
              </w:rPr>
              <w:t>4,922</w:t>
            </w:r>
          </w:p>
        </w:tc>
      </w:tr>
      <w:tr w:rsidR="007F29BA" w:rsidRPr="007F29BA" w14:paraId="132C8D84" w14:textId="77777777" w:rsidTr="007F29BA">
        <w:trPr>
          <w:trHeight w:val="300"/>
        </w:trPr>
        <w:tc>
          <w:tcPr>
            <w:tcW w:w="4160" w:type="dxa"/>
            <w:tcBorders>
              <w:top w:val="nil"/>
              <w:left w:val="nil"/>
              <w:bottom w:val="nil"/>
              <w:right w:val="nil"/>
            </w:tcBorders>
            <w:shd w:val="clear" w:color="000000" w:fill="FFFFFF"/>
            <w:noWrap/>
            <w:vAlign w:val="bottom"/>
            <w:hideMark/>
          </w:tcPr>
          <w:p w14:paraId="56F5DC49"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c>
          <w:tcPr>
            <w:tcW w:w="1520" w:type="dxa"/>
            <w:tcBorders>
              <w:top w:val="nil"/>
              <w:left w:val="nil"/>
              <w:bottom w:val="nil"/>
              <w:right w:val="nil"/>
            </w:tcBorders>
            <w:shd w:val="clear" w:color="000000" w:fill="FFFFFF"/>
            <w:noWrap/>
            <w:vAlign w:val="bottom"/>
            <w:hideMark/>
          </w:tcPr>
          <w:p w14:paraId="3110B4B6"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c>
          <w:tcPr>
            <w:tcW w:w="1180" w:type="dxa"/>
            <w:tcBorders>
              <w:top w:val="nil"/>
              <w:left w:val="nil"/>
              <w:bottom w:val="nil"/>
              <w:right w:val="nil"/>
            </w:tcBorders>
            <w:shd w:val="clear" w:color="000000" w:fill="FFFFFF"/>
            <w:noWrap/>
            <w:vAlign w:val="bottom"/>
            <w:hideMark/>
          </w:tcPr>
          <w:p w14:paraId="68F17BF0"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r>
      <w:tr w:rsidR="007F29BA" w:rsidRPr="007F29BA" w14:paraId="04A313D6" w14:textId="77777777" w:rsidTr="007F29BA">
        <w:trPr>
          <w:trHeight w:val="300"/>
        </w:trPr>
        <w:tc>
          <w:tcPr>
            <w:tcW w:w="4160" w:type="dxa"/>
            <w:tcBorders>
              <w:top w:val="nil"/>
              <w:left w:val="nil"/>
              <w:bottom w:val="nil"/>
              <w:right w:val="nil"/>
            </w:tcBorders>
            <w:shd w:val="clear" w:color="000000" w:fill="FFFFFF"/>
            <w:noWrap/>
            <w:vAlign w:val="bottom"/>
            <w:hideMark/>
          </w:tcPr>
          <w:p w14:paraId="2F3DC6F0" w14:textId="77777777" w:rsidR="007F29BA" w:rsidRPr="007F29BA" w:rsidRDefault="007F29BA" w:rsidP="007F29BA">
            <w:pPr>
              <w:spacing w:after="0" w:line="240" w:lineRule="auto"/>
              <w:rPr>
                <w:rFonts w:ascii="Aptos Narrow" w:eastAsia="Times New Roman" w:hAnsi="Aptos Narrow" w:cs="Times New Roman"/>
                <w:b/>
                <w:bCs/>
                <w:color w:val="000000"/>
                <w:sz w:val="16"/>
                <w:szCs w:val="16"/>
                <w:lang w:eastAsia="en-AU"/>
              </w:rPr>
            </w:pPr>
            <w:r w:rsidRPr="007F29BA">
              <w:rPr>
                <w:rFonts w:ascii="Aptos Narrow" w:eastAsia="Times New Roman" w:hAnsi="Aptos Narrow" w:cs="Times New Roman"/>
                <w:b/>
                <w:bCs/>
                <w:color w:val="000000"/>
                <w:sz w:val="16"/>
                <w:szCs w:val="16"/>
                <w:lang w:eastAsia="en-AU"/>
              </w:rPr>
              <w:t>Nutrient application</w:t>
            </w:r>
          </w:p>
        </w:tc>
        <w:tc>
          <w:tcPr>
            <w:tcW w:w="1520" w:type="dxa"/>
            <w:tcBorders>
              <w:top w:val="nil"/>
              <w:left w:val="nil"/>
              <w:bottom w:val="nil"/>
              <w:right w:val="nil"/>
            </w:tcBorders>
            <w:shd w:val="clear" w:color="000000" w:fill="FFFFFF"/>
            <w:noWrap/>
            <w:vAlign w:val="bottom"/>
            <w:hideMark/>
          </w:tcPr>
          <w:p w14:paraId="7005B1B0"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c>
          <w:tcPr>
            <w:tcW w:w="1180" w:type="dxa"/>
            <w:tcBorders>
              <w:top w:val="nil"/>
              <w:left w:val="nil"/>
              <w:bottom w:val="nil"/>
              <w:right w:val="nil"/>
            </w:tcBorders>
            <w:shd w:val="clear" w:color="000000" w:fill="FFFFFF"/>
            <w:noWrap/>
            <w:vAlign w:val="bottom"/>
            <w:hideMark/>
          </w:tcPr>
          <w:p w14:paraId="257E983D"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r>
      <w:tr w:rsidR="007F29BA" w:rsidRPr="007F29BA" w14:paraId="05D0A44F" w14:textId="77777777" w:rsidTr="007F29BA">
        <w:trPr>
          <w:trHeight w:val="300"/>
        </w:trPr>
        <w:tc>
          <w:tcPr>
            <w:tcW w:w="4160" w:type="dxa"/>
            <w:tcBorders>
              <w:top w:val="nil"/>
              <w:left w:val="nil"/>
              <w:bottom w:val="nil"/>
              <w:right w:val="nil"/>
            </w:tcBorders>
            <w:shd w:val="clear" w:color="000000" w:fill="FFFFFF"/>
            <w:noWrap/>
            <w:vAlign w:val="bottom"/>
            <w:hideMark/>
          </w:tcPr>
          <w:p w14:paraId="7F3CAAA4"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Phosphorus applied to pasture (kg/ha)</w:t>
            </w:r>
          </w:p>
        </w:tc>
        <w:tc>
          <w:tcPr>
            <w:tcW w:w="1520" w:type="dxa"/>
            <w:tcBorders>
              <w:top w:val="nil"/>
              <w:left w:val="nil"/>
              <w:bottom w:val="nil"/>
              <w:right w:val="nil"/>
            </w:tcBorders>
            <w:shd w:val="clear" w:color="000000" w:fill="FFFFFF"/>
            <w:noWrap/>
            <w:vAlign w:val="bottom"/>
            <w:hideMark/>
          </w:tcPr>
          <w:p w14:paraId="556B54BB"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11</w:t>
            </w:r>
          </w:p>
        </w:tc>
        <w:tc>
          <w:tcPr>
            <w:tcW w:w="1180" w:type="dxa"/>
            <w:tcBorders>
              <w:top w:val="nil"/>
              <w:left w:val="nil"/>
              <w:bottom w:val="nil"/>
              <w:right w:val="nil"/>
            </w:tcBorders>
            <w:shd w:val="clear" w:color="000000" w:fill="FFFFFF"/>
            <w:noWrap/>
            <w:vAlign w:val="bottom"/>
            <w:hideMark/>
          </w:tcPr>
          <w:p w14:paraId="119E6D37"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9</w:t>
            </w:r>
          </w:p>
        </w:tc>
      </w:tr>
      <w:tr w:rsidR="007F29BA" w:rsidRPr="007F29BA" w14:paraId="372CA986" w14:textId="77777777" w:rsidTr="007F29BA">
        <w:trPr>
          <w:trHeight w:val="300"/>
        </w:trPr>
        <w:tc>
          <w:tcPr>
            <w:tcW w:w="4160" w:type="dxa"/>
            <w:tcBorders>
              <w:top w:val="nil"/>
              <w:left w:val="nil"/>
              <w:bottom w:val="nil"/>
              <w:right w:val="nil"/>
            </w:tcBorders>
            <w:shd w:val="clear" w:color="000000" w:fill="FFFFFF"/>
            <w:noWrap/>
            <w:vAlign w:val="bottom"/>
            <w:hideMark/>
          </w:tcPr>
          <w:p w14:paraId="303C2F8F"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Phosphorus applied to pasture (kg/DSE)</w:t>
            </w:r>
          </w:p>
        </w:tc>
        <w:tc>
          <w:tcPr>
            <w:tcW w:w="1520" w:type="dxa"/>
            <w:tcBorders>
              <w:top w:val="nil"/>
              <w:left w:val="nil"/>
              <w:bottom w:val="nil"/>
              <w:right w:val="nil"/>
            </w:tcBorders>
            <w:shd w:val="clear" w:color="000000" w:fill="FFFFFF"/>
            <w:noWrap/>
            <w:vAlign w:val="bottom"/>
            <w:hideMark/>
          </w:tcPr>
          <w:p w14:paraId="0FF95805"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0.7</w:t>
            </w:r>
          </w:p>
        </w:tc>
        <w:tc>
          <w:tcPr>
            <w:tcW w:w="1180" w:type="dxa"/>
            <w:tcBorders>
              <w:top w:val="nil"/>
              <w:left w:val="nil"/>
              <w:bottom w:val="nil"/>
              <w:right w:val="nil"/>
            </w:tcBorders>
            <w:shd w:val="clear" w:color="000000" w:fill="FFFFFF"/>
            <w:noWrap/>
            <w:vAlign w:val="bottom"/>
            <w:hideMark/>
          </w:tcPr>
          <w:p w14:paraId="6BB26DD6"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0.6</w:t>
            </w:r>
          </w:p>
        </w:tc>
      </w:tr>
      <w:tr w:rsidR="007F29BA" w:rsidRPr="007F29BA" w14:paraId="2DE34042" w14:textId="77777777" w:rsidTr="007F29BA">
        <w:trPr>
          <w:trHeight w:val="89"/>
        </w:trPr>
        <w:tc>
          <w:tcPr>
            <w:tcW w:w="4160" w:type="dxa"/>
            <w:tcBorders>
              <w:top w:val="nil"/>
              <w:left w:val="nil"/>
              <w:bottom w:val="nil"/>
              <w:right w:val="nil"/>
            </w:tcBorders>
            <w:shd w:val="clear" w:color="000000" w:fill="FFFFFF"/>
            <w:noWrap/>
            <w:vAlign w:val="bottom"/>
            <w:hideMark/>
          </w:tcPr>
          <w:p w14:paraId="47703A0B"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c>
          <w:tcPr>
            <w:tcW w:w="1520" w:type="dxa"/>
            <w:tcBorders>
              <w:top w:val="nil"/>
              <w:left w:val="nil"/>
              <w:bottom w:val="nil"/>
              <w:right w:val="nil"/>
            </w:tcBorders>
            <w:shd w:val="clear" w:color="000000" w:fill="FFFFFF"/>
            <w:noWrap/>
            <w:vAlign w:val="bottom"/>
            <w:hideMark/>
          </w:tcPr>
          <w:p w14:paraId="376F92F6"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c>
          <w:tcPr>
            <w:tcW w:w="1180" w:type="dxa"/>
            <w:tcBorders>
              <w:top w:val="nil"/>
              <w:left w:val="nil"/>
              <w:bottom w:val="nil"/>
              <w:right w:val="nil"/>
            </w:tcBorders>
            <w:shd w:val="clear" w:color="000000" w:fill="FFFFFF"/>
            <w:noWrap/>
            <w:vAlign w:val="bottom"/>
            <w:hideMark/>
          </w:tcPr>
          <w:p w14:paraId="4E65AE79"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r>
      <w:tr w:rsidR="007F29BA" w:rsidRPr="007F29BA" w14:paraId="3E9B7F77" w14:textId="77777777" w:rsidTr="007F29BA">
        <w:trPr>
          <w:trHeight w:val="300"/>
        </w:trPr>
        <w:tc>
          <w:tcPr>
            <w:tcW w:w="4160" w:type="dxa"/>
            <w:tcBorders>
              <w:top w:val="nil"/>
              <w:left w:val="nil"/>
              <w:bottom w:val="nil"/>
              <w:right w:val="nil"/>
            </w:tcBorders>
            <w:shd w:val="clear" w:color="000000" w:fill="FFFFFF"/>
            <w:noWrap/>
            <w:vAlign w:val="bottom"/>
            <w:hideMark/>
          </w:tcPr>
          <w:p w14:paraId="0224F7D3" w14:textId="77777777" w:rsidR="007F29BA" w:rsidRPr="007F29BA" w:rsidRDefault="007F29BA" w:rsidP="007F29BA">
            <w:pPr>
              <w:spacing w:after="0" w:line="240" w:lineRule="auto"/>
              <w:rPr>
                <w:rFonts w:ascii="Aptos Narrow" w:eastAsia="Times New Roman" w:hAnsi="Aptos Narrow" w:cs="Times New Roman"/>
                <w:b/>
                <w:bCs/>
                <w:color w:val="000000"/>
                <w:sz w:val="16"/>
                <w:szCs w:val="16"/>
                <w:lang w:eastAsia="en-AU"/>
              </w:rPr>
            </w:pPr>
            <w:r w:rsidRPr="007F29BA">
              <w:rPr>
                <w:rFonts w:ascii="Aptos Narrow" w:eastAsia="Times New Roman" w:hAnsi="Aptos Narrow" w:cs="Times New Roman"/>
                <w:b/>
                <w:bCs/>
                <w:color w:val="000000"/>
                <w:sz w:val="16"/>
                <w:szCs w:val="16"/>
                <w:lang w:eastAsia="en-AU"/>
              </w:rPr>
              <w:t>Business structure</w:t>
            </w:r>
          </w:p>
        </w:tc>
        <w:tc>
          <w:tcPr>
            <w:tcW w:w="1520" w:type="dxa"/>
            <w:tcBorders>
              <w:top w:val="nil"/>
              <w:left w:val="nil"/>
              <w:bottom w:val="nil"/>
              <w:right w:val="nil"/>
            </w:tcBorders>
            <w:shd w:val="clear" w:color="000000" w:fill="FFFFFF"/>
            <w:noWrap/>
            <w:vAlign w:val="bottom"/>
            <w:hideMark/>
          </w:tcPr>
          <w:p w14:paraId="5F4416F1"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c>
          <w:tcPr>
            <w:tcW w:w="1180" w:type="dxa"/>
            <w:tcBorders>
              <w:top w:val="nil"/>
              <w:left w:val="nil"/>
              <w:bottom w:val="nil"/>
              <w:right w:val="nil"/>
            </w:tcBorders>
            <w:shd w:val="clear" w:color="000000" w:fill="FFFFFF"/>
            <w:noWrap/>
            <w:vAlign w:val="bottom"/>
            <w:hideMark/>
          </w:tcPr>
          <w:p w14:paraId="52310BB8"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r>
      <w:tr w:rsidR="007F29BA" w:rsidRPr="007F29BA" w14:paraId="50CB9ADB" w14:textId="77777777" w:rsidTr="007F29BA">
        <w:trPr>
          <w:trHeight w:val="300"/>
        </w:trPr>
        <w:tc>
          <w:tcPr>
            <w:tcW w:w="4160" w:type="dxa"/>
            <w:tcBorders>
              <w:top w:val="nil"/>
              <w:left w:val="nil"/>
              <w:bottom w:val="nil"/>
              <w:right w:val="nil"/>
            </w:tcBorders>
            <w:shd w:val="clear" w:color="000000" w:fill="FFFFFF"/>
            <w:noWrap/>
            <w:vAlign w:val="bottom"/>
            <w:hideMark/>
          </w:tcPr>
          <w:p w14:paraId="6E75C81A"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Total assets managed ($/ha)</w:t>
            </w:r>
          </w:p>
        </w:tc>
        <w:tc>
          <w:tcPr>
            <w:tcW w:w="1520" w:type="dxa"/>
            <w:tcBorders>
              <w:top w:val="nil"/>
              <w:left w:val="nil"/>
              <w:bottom w:val="nil"/>
              <w:right w:val="nil"/>
            </w:tcBorders>
            <w:shd w:val="clear" w:color="000000" w:fill="FFFFFF"/>
            <w:noWrap/>
            <w:vAlign w:val="bottom"/>
            <w:hideMark/>
          </w:tcPr>
          <w:p w14:paraId="378A7F69"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19,081</w:t>
            </w:r>
          </w:p>
        </w:tc>
        <w:tc>
          <w:tcPr>
            <w:tcW w:w="1180" w:type="dxa"/>
            <w:tcBorders>
              <w:top w:val="nil"/>
              <w:left w:val="nil"/>
              <w:bottom w:val="nil"/>
              <w:right w:val="nil"/>
            </w:tcBorders>
            <w:shd w:val="clear" w:color="000000" w:fill="FFFFFF"/>
            <w:noWrap/>
            <w:vAlign w:val="bottom"/>
            <w:hideMark/>
          </w:tcPr>
          <w:p w14:paraId="5746C39F"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18,881</w:t>
            </w:r>
          </w:p>
        </w:tc>
      </w:tr>
      <w:tr w:rsidR="007F29BA" w:rsidRPr="007F29BA" w14:paraId="79AF6303" w14:textId="77777777" w:rsidTr="007F29BA">
        <w:trPr>
          <w:trHeight w:val="300"/>
        </w:trPr>
        <w:tc>
          <w:tcPr>
            <w:tcW w:w="4160" w:type="dxa"/>
            <w:tcBorders>
              <w:top w:val="nil"/>
              <w:left w:val="nil"/>
              <w:bottom w:val="nil"/>
              <w:right w:val="nil"/>
            </w:tcBorders>
            <w:shd w:val="clear" w:color="000000" w:fill="FFFFFF"/>
            <w:noWrap/>
            <w:vAlign w:val="bottom"/>
            <w:hideMark/>
          </w:tcPr>
          <w:p w14:paraId="2E009335"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Total debt ($/ha)</w:t>
            </w:r>
          </w:p>
        </w:tc>
        <w:tc>
          <w:tcPr>
            <w:tcW w:w="1520" w:type="dxa"/>
            <w:tcBorders>
              <w:top w:val="nil"/>
              <w:left w:val="nil"/>
              <w:bottom w:val="nil"/>
              <w:right w:val="nil"/>
            </w:tcBorders>
            <w:shd w:val="clear" w:color="000000" w:fill="FFFFFF"/>
            <w:noWrap/>
            <w:vAlign w:val="bottom"/>
            <w:hideMark/>
          </w:tcPr>
          <w:p w14:paraId="671C3550"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2,374</w:t>
            </w:r>
          </w:p>
        </w:tc>
        <w:tc>
          <w:tcPr>
            <w:tcW w:w="1180" w:type="dxa"/>
            <w:tcBorders>
              <w:top w:val="nil"/>
              <w:left w:val="nil"/>
              <w:bottom w:val="nil"/>
              <w:right w:val="nil"/>
            </w:tcBorders>
            <w:shd w:val="clear" w:color="000000" w:fill="FFFFFF"/>
            <w:noWrap/>
            <w:vAlign w:val="bottom"/>
            <w:hideMark/>
          </w:tcPr>
          <w:p w14:paraId="40362ED4"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2,822</w:t>
            </w:r>
          </w:p>
        </w:tc>
      </w:tr>
      <w:tr w:rsidR="007F29BA" w:rsidRPr="007F29BA" w14:paraId="67821D1F" w14:textId="77777777" w:rsidTr="007F29BA">
        <w:trPr>
          <w:trHeight w:val="300"/>
        </w:trPr>
        <w:tc>
          <w:tcPr>
            <w:tcW w:w="4160" w:type="dxa"/>
            <w:tcBorders>
              <w:top w:val="nil"/>
              <w:left w:val="nil"/>
              <w:bottom w:val="nil"/>
              <w:right w:val="nil"/>
            </w:tcBorders>
            <w:shd w:val="clear" w:color="000000" w:fill="FFFFFF"/>
            <w:noWrap/>
            <w:vAlign w:val="bottom"/>
            <w:hideMark/>
          </w:tcPr>
          <w:p w14:paraId="58766EC9"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lastRenderedPageBreak/>
              <w:t> </w:t>
            </w:r>
          </w:p>
        </w:tc>
        <w:tc>
          <w:tcPr>
            <w:tcW w:w="1520" w:type="dxa"/>
            <w:tcBorders>
              <w:top w:val="nil"/>
              <w:left w:val="nil"/>
              <w:bottom w:val="nil"/>
              <w:right w:val="nil"/>
            </w:tcBorders>
            <w:shd w:val="clear" w:color="000000" w:fill="FFFFFF"/>
            <w:noWrap/>
            <w:vAlign w:val="bottom"/>
            <w:hideMark/>
          </w:tcPr>
          <w:p w14:paraId="5285093C"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c>
          <w:tcPr>
            <w:tcW w:w="1180" w:type="dxa"/>
            <w:tcBorders>
              <w:top w:val="nil"/>
              <w:left w:val="nil"/>
              <w:bottom w:val="nil"/>
              <w:right w:val="nil"/>
            </w:tcBorders>
            <w:shd w:val="clear" w:color="000000" w:fill="FFFFFF"/>
            <w:noWrap/>
            <w:vAlign w:val="bottom"/>
            <w:hideMark/>
          </w:tcPr>
          <w:p w14:paraId="54C01212"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r>
      <w:tr w:rsidR="007F29BA" w:rsidRPr="007F29BA" w14:paraId="61B55219" w14:textId="77777777" w:rsidTr="007F29BA">
        <w:trPr>
          <w:trHeight w:val="300"/>
        </w:trPr>
        <w:tc>
          <w:tcPr>
            <w:tcW w:w="4160" w:type="dxa"/>
            <w:tcBorders>
              <w:top w:val="nil"/>
              <w:left w:val="nil"/>
              <w:bottom w:val="nil"/>
              <w:right w:val="nil"/>
            </w:tcBorders>
            <w:shd w:val="clear" w:color="000000" w:fill="FFFFFF"/>
            <w:noWrap/>
            <w:vAlign w:val="bottom"/>
            <w:hideMark/>
          </w:tcPr>
          <w:p w14:paraId="05A40D46"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c>
          <w:tcPr>
            <w:tcW w:w="1520" w:type="dxa"/>
            <w:tcBorders>
              <w:top w:val="nil"/>
              <w:left w:val="nil"/>
              <w:bottom w:val="nil"/>
              <w:right w:val="nil"/>
            </w:tcBorders>
            <w:shd w:val="clear" w:color="000000" w:fill="FFFFFF"/>
            <w:noWrap/>
            <w:vAlign w:val="bottom"/>
            <w:hideMark/>
          </w:tcPr>
          <w:p w14:paraId="019DF633"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c>
          <w:tcPr>
            <w:tcW w:w="1180" w:type="dxa"/>
            <w:tcBorders>
              <w:top w:val="nil"/>
              <w:left w:val="nil"/>
              <w:bottom w:val="nil"/>
              <w:right w:val="nil"/>
            </w:tcBorders>
            <w:shd w:val="clear" w:color="000000" w:fill="FFFFFF"/>
            <w:noWrap/>
            <w:vAlign w:val="bottom"/>
            <w:hideMark/>
          </w:tcPr>
          <w:p w14:paraId="23FAA5BF"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r>
      <w:tr w:rsidR="007F29BA" w:rsidRPr="007F29BA" w14:paraId="38BDCBB9" w14:textId="77777777" w:rsidTr="007F29BA">
        <w:trPr>
          <w:trHeight w:val="300"/>
        </w:trPr>
        <w:tc>
          <w:tcPr>
            <w:tcW w:w="5680" w:type="dxa"/>
            <w:gridSpan w:val="2"/>
            <w:tcBorders>
              <w:top w:val="nil"/>
              <w:left w:val="nil"/>
              <w:bottom w:val="nil"/>
              <w:right w:val="nil"/>
            </w:tcBorders>
            <w:shd w:val="clear" w:color="000000" w:fill="FFFFFF"/>
            <w:noWrap/>
            <w:vAlign w:val="bottom"/>
            <w:hideMark/>
          </w:tcPr>
          <w:p w14:paraId="041B79E4" w14:textId="77777777" w:rsidR="007F29BA" w:rsidRPr="007F29BA" w:rsidRDefault="007F29BA" w:rsidP="007F29BA">
            <w:pPr>
              <w:spacing w:after="0" w:line="240" w:lineRule="auto"/>
              <w:rPr>
                <w:rFonts w:ascii="Aptos Narrow" w:eastAsia="Times New Roman" w:hAnsi="Aptos Narrow" w:cs="Times New Roman"/>
                <w:b/>
                <w:bCs/>
                <w:sz w:val="16"/>
                <w:szCs w:val="16"/>
                <w:lang w:eastAsia="en-AU"/>
              </w:rPr>
            </w:pPr>
            <w:r w:rsidRPr="007F29BA">
              <w:rPr>
                <w:rFonts w:ascii="Aptos Narrow" w:eastAsia="Times New Roman" w:hAnsi="Aptos Narrow" w:cs="Times New Roman"/>
                <w:b/>
                <w:bCs/>
                <w:sz w:val="16"/>
                <w:szCs w:val="16"/>
                <w:lang w:eastAsia="en-AU"/>
              </w:rPr>
              <w:t>Top 5 costs (Proportion of total cash operating costs)</w:t>
            </w:r>
          </w:p>
        </w:tc>
        <w:tc>
          <w:tcPr>
            <w:tcW w:w="1180" w:type="dxa"/>
            <w:tcBorders>
              <w:top w:val="nil"/>
              <w:left w:val="nil"/>
              <w:bottom w:val="nil"/>
              <w:right w:val="nil"/>
            </w:tcBorders>
            <w:shd w:val="clear" w:color="000000" w:fill="FFFFFF"/>
            <w:noWrap/>
            <w:vAlign w:val="bottom"/>
            <w:hideMark/>
          </w:tcPr>
          <w:p w14:paraId="2D1FD1BB" w14:textId="77777777" w:rsidR="007F29BA" w:rsidRPr="007F29BA" w:rsidRDefault="007F29BA" w:rsidP="007F29BA">
            <w:pPr>
              <w:spacing w:after="0" w:line="240" w:lineRule="auto"/>
              <w:jc w:val="center"/>
              <w:rPr>
                <w:rFonts w:ascii="Aptos Narrow" w:eastAsia="Times New Roman" w:hAnsi="Aptos Narrow" w:cs="Times New Roman"/>
                <w:sz w:val="16"/>
                <w:szCs w:val="16"/>
                <w:lang w:eastAsia="en-AU"/>
              </w:rPr>
            </w:pPr>
            <w:r w:rsidRPr="007F29BA">
              <w:rPr>
                <w:rFonts w:ascii="Aptos Narrow" w:eastAsia="Times New Roman" w:hAnsi="Aptos Narrow" w:cs="Times New Roman"/>
                <w:sz w:val="16"/>
                <w:szCs w:val="16"/>
                <w:lang w:eastAsia="en-AU"/>
              </w:rPr>
              <w:t> </w:t>
            </w:r>
          </w:p>
        </w:tc>
      </w:tr>
      <w:tr w:rsidR="007F29BA" w:rsidRPr="007F29BA" w14:paraId="7FA05F2D" w14:textId="77777777" w:rsidTr="007F29BA">
        <w:trPr>
          <w:trHeight w:val="300"/>
        </w:trPr>
        <w:tc>
          <w:tcPr>
            <w:tcW w:w="4160" w:type="dxa"/>
            <w:tcBorders>
              <w:top w:val="nil"/>
              <w:left w:val="nil"/>
              <w:bottom w:val="nil"/>
              <w:right w:val="nil"/>
            </w:tcBorders>
            <w:shd w:val="clear" w:color="000000" w:fill="FFFFFF"/>
            <w:noWrap/>
            <w:vAlign w:val="bottom"/>
            <w:hideMark/>
          </w:tcPr>
          <w:p w14:paraId="643D5B69"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Purchased supplementary grain and pellets (%)</w:t>
            </w:r>
          </w:p>
        </w:tc>
        <w:tc>
          <w:tcPr>
            <w:tcW w:w="1520" w:type="dxa"/>
            <w:tcBorders>
              <w:top w:val="nil"/>
              <w:left w:val="nil"/>
              <w:bottom w:val="nil"/>
              <w:right w:val="nil"/>
            </w:tcBorders>
            <w:shd w:val="clear" w:color="000000" w:fill="FFFFFF"/>
            <w:noWrap/>
            <w:vAlign w:val="bottom"/>
            <w:hideMark/>
          </w:tcPr>
          <w:p w14:paraId="20E8B7DE"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22%</w:t>
            </w:r>
          </w:p>
        </w:tc>
        <w:tc>
          <w:tcPr>
            <w:tcW w:w="1180" w:type="dxa"/>
            <w:tcBorders>
              <w:top w:val="nil"/>
              <w:left w:val="nil"/>
              <w:bottom w:val="nil"/>
              <w:right w:val="nil"/>
            </w:tcBorders>
            <w:shd w:val="clear" w:color="000000" w:fill="FFFFFF"/>
            <w:noWrap/>
            <w:vAlign w:val="bottom"/>
            <w:hideMark/>
          </w:tcPr>
          <w:p w14:paraId="1AE288A2"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r>
      <w:tr w:rsidR="007F29BA" w:rsidRPr="007F29BA" w14:paraId="17F10BC8" w14:textId="77777777" w:rsidTr="007F29BA">
        <w:trPr>
          <w:trHeight w:val="300"/>
        </w:trPr>
        <w:tc>
          <w:tcPr>
            <w:tcW w:w="4160" w:type="dxa"/>
            <w:tcBorders>
              <w:top w:val="nil"/>
              <w:left w:val="nil"/>
              <w:bottom w:val="nil"/>
              <w:right w:val="nil"/>
            </w:tcBorders>
            <w:shd w:val="clear" w:color="000000" w:fill="FFFFFF"/>
            <w:noWrap/>
            <w:vAlign w:val="bottom"/>
            <w:hideMark/>
          </w:tcPr>
          <w:p w14:paraId="4670479E"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Contract shearing and crutching (%)</w:t>
            </w:r>
          </w:p>
        </w:tc>
        <w:tc>
          <w:tcPr>
            <w:tcW w:w="1520" w:type="dxa"/>
            <w:tcBorders>
              <w:top w:val="nil"/>
              <w:left w:val="nil"/>
              <w:bottom w:val="nil"/>
              <w:right w:val="nil"/>
            </w:tcBorders>
            <w:shd w:val="clear" w:color="000000" w:fill="FFFFFF"/>
            <w:noWrap/>
            <w:vAlign w:val="bottom"/>
            <w:hideMark/>
          </w:tcPr>
          <w:p w14:paraId="5C78656B"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9%</w:t>
            </w:r>
          </w:p>
        </w:tc>
        <w:tc>
          <w:tcPr>
            <w:tcW w:w="1180" w:type="dxa"/>
            <w:tcBorders>
              <w:top w:val="nil"/>
              <w:left w:val="nil"/>
              <w:bottom w:val="nil"/>
              <w:right w:val="nil"/>
            </w:tcBorders>
            <w:shd w:val="clear" w:color="000000" w:fill="FFFFFF"/>
            <w:noWrap/>
            <w:vAlign w:val="bottom"/>
            <w:hideMark/>
          </w:tcPr>
          <w:p w14:paraId="11D79EBA"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r>
      <w:tr w:rsidR="007F29BA" w:rsidRPr="007F29BA" w14:paraId="60D5C7BE" w14:textId="77777777" w:rsidTr="007F29BA">
        <w:trPr>
          <w:trHeight w:val="300"/>
        </w:trPr>
        <w:tc>
          <w:tcPr>
            <w:tcW w:w="4160" w:type="dxa"/>
            <w:tcBorders>
              <w:top w:val="nil"/>
              <w:left w:val="nil"/>
              <w:bottom w:val="nil"/>
              <w:right w:val="nil"/>
            </w:tcBorders>
            <w:shd w:val="clear" w:color="000000" w:fill="FFFFFF"/>
            <w:noWrap/>
            <w:vAlign w:val="bottom"/>
            <w:hideMark/>
          </w:tcPr>
          <w:p w14:paraId="155DB2B4" w14:textId="77777777" w:rsidR="007F29BA" w:rsidRPr="007F29BA" w:rsidRDefault="007F29BA" w:rsidP="007F29BA">
            <w:pPr>
              <w:spacing w:after="0" w:line="240" w:lineRule="auto"/>
              <w:rPr>
                <w:rFonts w:ascii="Aptos Narrow" w:eastAsia="Times New Roman" w:hAnsi="Aptos Narrow" w:cs="Times New Roman"/>
                <w:sz w:val="16"/>
                <w:szCs w:val="16"/>
                <w:lang w:eastAsia="en-AU"/>
              </w:rPr>
            </w:pPr>
            <w:r w:rsidRPr="007F29BA">
              <w:rPr>
                <w:rFonts w:ascii="Aptos Narrow" w:eastAsia="Times New Roman" w:hAnsi="Aptos Narrow" w:cs="Times New Roman"/>
                <w:sz w:val="16"/>
                <w:szCs w:val="16"/>
                <w:lang w:eastAsia="en-AU"/>
              </w:rPr>
              <w:t>Pasture fertiliser costs (%)</w:t>
            </w:r>
          </w:p>
        </w:tc>
        <w:tc>
          <w:tcPr>
            <w:tcW w:w="1520" w:type="dxa"/>
            <w:tcBorders>
              <w:top w:val="nil"/>
              <w:left w:val="nil"/>
              <w:bottom w:val="nil"/>
              <w:right w:val="nil"/>
            </w:tcBorders>
            <w:shd w:val="clear" w:color="000000" w:fill="FFFFFF"/>
            <w:noWrap/>
            <w:vAlign w:val="bottom"/>
            <w:hideMark/>
          </w:tcPr>
          <w:p w14:paraId="469D5BF6"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7%</w:t>
            </w:r>
          </w:p>
        </w:tc>
        <w:tc>
          <w:tcPr>
            <w:tcW w:w="1180" w:type="dxa"/>
            <w:tcBorders>
              <w:top w:val="nil"/>
              <w:left w:val="nil"/>
              <w:bottom w:val="nil"/>
              <w:right w:val="nil"/>
            </w:tcBorders>
            <w:shd w:val="clear" w:color="000000" w:fill="FFFFFF"/>
            <w:noWrap/>
            <w:vAlign w:val="bottom"/>
            <w:hideMark/>
          </w:tcPr>
          <w:p w14:paraId="1DDDCB87"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r>
      <w:tr w:rsidR="007F29BA" w:rsidRPr="007F29BA" w14:paraId="229DEE95" w14:textId="77777777" w:rsidTr="007F29BA">
        <w:trPr>
          <w:trHeight w:val="300"/>
        </w:trPr>
        <w:tc>
          <w:tcPr>
            <w:tcW w:w="4160" w:type="dxa"/>
            <w:tcBorders>
              <w:top w:val="nil"/>
              <w:left w:val="nil"/>
              <w:bottom w:val="nil"/>
              <w:right w:val="nil"/>
            </w:tcBorders>
            <w:shd w:val="clear" w:color="000000" w:fill="FFFFFF"/>
            <w:noWrap/>
            <w:vAlign w:val="bottom"/>
            <w:hideMark/>
          </w:tcPr>
          <w:p w14:paraId="045CABBA"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Purchased supplementary fodder (%)</w:t>
            </w:r>
          </w:p>
        </w:tc>
        <w:tc>
          <w:tcPr>
            <w:tcW w:w="1520" w:type="dxa"/>
            <w:tcBorders>
              <w:top w:val="nil"/>
              <w:left w:val="nil"/>
              <w:bottom w:val="nil"/>
              <w:right w:val="nil"/>
            </w:tcBorders>
            <w:shd w:val="clear" w:color="000000" w:fill="FFFFFF"/>
            <w:noWrap/>
            <w:vAlign w:val="bottom"/>
            <w:hideMark/>
          </w:tcPr>
          <w:p w14:paraId="7234C107"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6%</w:t>
            </w:r>
          </w:p>
        </w:tc>
        <w:tc>
          <w:tcPr>
            <w:tcW w:w="1180" w:type="dxa"/>
            <w:tcBorders>
              <w:top w:val="nil"/>
              <w:left w:val="nil"/>
              <w:bottom w:val="nil"/>
              <w:right w:val="nil"/>
            </w:tcBorders>
            <w:shd w:val="clear" w:color="000000" w:fill="FFFFFF"/>
            <w:noWrap/>
            <w:vAlign w:val="bottom"/>
            <w:hideMark/>
          </w:tcPr>
          <w:p w14:paraId="6CDE2E2A"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r>
      <w:tr w:rsidR="007F29BA" w:rsidRPr="007F29BA" w14:paraId="6CA24940" w14:textId="77777777" w:rsidTr="007F29BA">
        <w:trPr>
          <w:trHeight w:val="300"/>
        </w:trPr>
        <w:tc>
          <w:tcPr>
            <w:tcW w:w="4160" w:type="dxa"/>
            <w:tcBorders>
              <w:top w:val="nil"/>
              <w:left w:val="nil"/>
              <w:bottom w:val="nil"/>
              <w:right w:val="nil"/>
            </w:tcBorders>
            <w:shd w:val="clear" w:color="000000" w:fill="FFFFFF"/>
            <w:noWrap/>
            <w:vAlign w:val="bottom"/>
            <w:hideMark/>
          </w:tcPr>
          <w:p w14:paraId="1FD67E35" w14:textId="77777777" w:rsidR="007F29BA" w:rsidRPr="007F29BA" w:rsidRDefault="007F29BA" w:rsidP="007F29BA">
            <w:pPr>
              <w:spacing w:after="0" w:line="240" w:lineRule="auto"/>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Wages for permanent staff (%)</w:t>
            </w:r>
          </w:p>
        </w:tc>
        <w:tc>
          <w:tcPr>
            <w:tcW w:w="1520" w:type="dxa"/>
            <w:tcBorders>
              <w:top w:val="nil"/>
              <w:left w:val="nil"/>
              <w:bottom w:val="nil"/>
              <w:right w:val="nil"/>
            </w:tcBorders>
            <w:shd w:val="clear" w:color="000000" w:fill="FFFFFF"/>
            <w:noWrap/>
            <w:vAlign w:val="bottom"/>
            <w:hideMark/>
          </w:tcPr>
          <w:p w14:paraId="02B473F3"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5%</w:t>
            </w:r>
          </w:p>
        </w:tc>
        <w:tc>
          <w:tcPr>
            <w:tcW w:w="1180" w:type="dxa"/>
            <w:tcBorders>
              <w:top w:val="nil"/>
              <w:left w:val="nil"/>
              <w:bottom w:val="nil"/>
              <w:right w:val="nil"/>
            </w:tcBorders>
            <w:shd w:val="clear" w:color="000000" w:fill="FFFFFF"/>
            <w:noWrap/>
            <w:vAlign w:val="bottom"/>
            <w:hideMark/>
          </w:tcPr>
          <w:p w14:paraId="5FD0E9B2" w14:textId="77777777" w:rsidR="007F29BA" w:rsidRPr="007F29BA" w:rsidRDefault="007F29BA" w:rsidP="007F29BA">
            <w:pPr>
              <w:spacing w:after="0" w:line="240" w:lineRule="auto"/>
              <w:jc w:val="center"/>
              <w:rPr>
                <w:rFonts w:ascii="Aptos Narrow" w:eastAsia="Times New Roman" w:hAnsi="Aptos Narrow" w:cs="Times New Roman"/>
                <w:color w:val="000000"/>
                <w:sz w:val="16"/>
                <w:szCs w:val="16"/>
                <w:lang w:eastAsia="en-AU"/>
              </w:rPr>
            </w:pPr>
            <w:r w:rsidRPr="007F29BA">
              <w:rPr>
                <w:rFonts w:ascii="Aptos Narrow" w:eastAsia="Times New Roman" w:hAnsi="Aptos Narrow" w:cs="Times New Roman"/>
                <w:color w:val="000000"/>
                <w:sz w:val="16"/>
                <w:szCs w:val="16"/>
                <w:lang w:eastAsia="en-AU"/>
              </w:rPr>
              <w:t> </w:t>
            </w:r>
          </w:p>
        </w:tc>
      </w:tr>
    </w:tbl>
    <w:p w14:paraId="5D44A0FD" w14:textId="77777777" w:rsidR="008A3BD2" w:rsidRDefault="008A3BD2" w:rsidP="00161888">
      <w:pPr>
        <w:rPr>
          <w:color w:val="FF0000"/>
        </w:rPr>
      </w:pPr>
    </w:p>
    <w:p w14:paraId="4A7CCF33" w14:textId="77777777" w:rsidR="007F29BA" w:rsidRDefault="007F29BA" w:rsidP="00161888">
      <w:pPr>
        <w:rPr>
          <w:color w:val="FF0000"/>
        </w:rPr>
      </w:pPr>
    </w:p>
    <w:p w14:paraId="069EF026" w14:textId="482C2FC4" w:rsidR="007F29BA" w:rsidRDefault="007F29BA">
      <w:pPr>
        <w:rPr>
          <w:color w:val="FF0000"/>
        </w:rPr>
      </w:pPr>
      <w:r>
        <w:rPr>
          <w:color w:val="FF0000"/>
        </w:rPr>
        <w:br w:type="page"/>
      </w:r>
    </w:p>
    <w:p w14:paraId="62315DB9" w14:textId="77777777" w:rsidR="007F29BA" w:rsidRDefault="007F29BA" w:rsidP="00161888">
      <w:pPr>
        <w:rPr>
          <w:color w:val="FF0000"/>
        </w:rPr>
        <w:sectPr w:rsidR="007F29BA" w:rsidSect="008A3BD2">
          <w:type w:val="continuous"/>
          <w:pgSz w:w="11906" w:h="16838"/>
          <w:pgMar w:top="1440" w:right="1440" w:bottom="1440" w:left="1440" w:header="708" w:footer="708" w:gutter="0"/>
          <w:cols w:space="708"/>
          <w:docGrid w:linePitch="360"/>
        </w:sectPr>
      </w:pPr>
    </w:p>
    <w:p w14:paraId="598BBB86" w14:textId="372D44C9" w:rsidR="00B86DAB" w:rsidRPr="0064154B" w:rsidRDefault="00B70C76" w:rsidP="00B86DAB">
      <w:pPr>
        <w:pStyle w:val="Heading1"/>
        <w:keepNext w:val="0"/>
        <w:keepLines w:val="0"/>
        <w:spacing w:before="0" w:after="220" w:line="240" w:lineRule="auto"/>
        <w:rPr>
          <w:rFonts w:ascii="VIC" w:eastAsiaTheme="minorHAnsi" w:hAnsi="VIC" w:cs="VIC-SemiBold"/>
          <w:b/>
          <w:bCs/>
          <w:color w:val="4C7329"/>
          <w:sz w:val="28"/>
          <w:szCs w:val="18"/>
          <w:lang w:val="en-US"/>
        </w:rPr>
      </w:pPr>
      <w:bookmarkStart w:id="56" w:name="_Toc214610588"/>
      <w:r w:rsidRPr="0064154B">
        <w:rPr>
          <w:rFonts w:ascii="VIC" w:eastAsiaTheme="minorHAnsi" w:hAnsi="VIC" w:cs="VIC-SemiBold"/>
          <w:b/>
          <w:bCs/>
          <w:color w:val="4C7329"/>
          <w:sz w:val="28"/>
          <w:szCs w:val="18"/>
          <w:lang w:val="en-US"/>
        </w:rPr>
        <w:lastRenderedPageBreak/>
        <w:t>Glossary</w:t>
      </w:r>
      <w:bookmarkEnd w:id="56"/>
    </w:p>
    <w:p w14:paraId="710E676D" w14:textId="77777777" w:rsidR="00B70C76" w:rsidRPr="00322654" w:rsidRDefault="00B70C76" w:rsidP="00B70C76">
      <w:pPr>
        <w:spacing w:after="29"/>
        <w:rPr>
          <w:szCs w:val="20"/>
        </w:rPr>
      </w:pPr>
      <w:r w:rsidRPr="00322654">
        <w:rPr>
          <w:b/>
          <w:szCs w:val="20"/>
        </w:rPr>
        <w:t xml:space="preserve">Appreciation </w:t>
      </w:r>
    </w:p>
    <w:p w14:paraId="0BD46C5D" w14:textId="320FE1D7" w:rsidR="00B70C76" w:rsidRPr="00322654" w:rsidRDefault="00B70C76" w:rsidP="00161888">
      <w:pPr>
        <w:spacing w:after="12"/>
        <w:rPr>
          <w:szCs w:val="20"/>
        </w:rPr>
      </w:pPr>
      <w:r w:rsidRPr="00322654">
        <w:rPr>
          <w:szCs w:val="20"/>
        </w:rPr>
        <w:t xml:space="preserve">An increase in the value of an asset in the marketplace. </w:t>
      </w:r>
      <w:r w:rsidR="009540A1" w:rsidRPr="00322654">
        <w:rPr>
          <w:szCs w:val="20"/>
        </w:rPr>
        <w:t>O</w:t>
      </w:r>
      <w:r w:rsidRPr="00322654">
        <w:rPr>
          <w:szCs w:val="20"/>
        </w:rPr>
        <w:t xml:space="preserve">ften only applicable to </w:t>
      </w:r>
      <w:r w:rsidR="00BB3CEE" w:rsidRPr="00322654">
        <w:rPr>
          <w:szCs w:val="20"/>
        </w:rPr>
        <w:t>farm</w:t>
      </w:r>
      <w:r w:rsidRPr="00322654">
        <w:rPr>
          <w:szCs w:val="20"/>
        </w:rPr>
        <w:t>land value.</w:t>
      </w:r>
    </w:p>
    <w:p w14:paraId="6F4DF390" w14:textId="77777777" w:rsidR="00B70C76" w:rsidRPr="00322654" w:rsidRDefault="00B70C76" w:rsidP="00B70C76">
      <w:pPr>
        <w:spacing w:after="29"/>
        <w:rPr>
          <w:szCs w:val="20"/>
        </w:rPr>
      </w:pPr>
      <w:r w:rsidRPr="00322654">
        <w:rPr>
          <w:b/>
          <w:szCs w:val="20"/>
        </w:rPr>
        <w:t>Asset</w:t>
      </w:r>
    </w:p>
    <w:p w14:paraId="1C85DBF8" w14:textId="373057B0" w:rsidR="00B70C76" w:rsidRPr="00322654" w:rsidRDefault="00B70C76" w:rsidP="00B70C76">
      <w:pPr>
        <w:spacing w:after="207"/>
        <w:rPr>
          <w:szCs w:val="20"/>
        </w:rPr>
      </w:pPr>
      <w:r w:rsidRPr="00322654">
        <w:rPr>
          <w:szCs w:val="20"/>
        </w:rPr>
        <w:t>Anything managed by the farm, whether it is owned or not. Assets include owned land and buildings, leased land, plant and machinery, fixtures and fittings, trading stock, farm investments (</w:t>
      </w:r>
      <w:r w:rsidR="004C0BB9" w:rsidRPr="00322654">
        <w:rPr>
          <w:szCs w:val="20"/>
        </w:rPr>
        <w:t>i.e.,</w:t>
      </w:r>
      <w:r w:rsidRPr="00322654">
        <w:rPr>
          <w:szCs w:val="20"/>
        </w:rPr>
        <w:t xml:space="preserve"> Farm Management Deposits), debtors and cash. </w:t>
      </w:r>
    </w:p>
    <w:p w14:paraId="565467EC" w14:textId="77777777" w:rsidR="00B70C76" w:rsidRPr="00322654" w:rsidRDefault="00B70C76" w:rsidP="00B70C76">
      <w:pPr>
        <w:spacing w:after="29"/>
        <w:rPr>
          <w:b/>
          <w:szCs w:val="20"/>
        </w:rPr>
      </w:pPr>
      <w:r w:rsidRPr="00322654">
        <w:rPr>
          <w:b/>
          <w:szCs w:val="20"/>
        </w:rPr>
        <w:t>Average</w:t>
      </w:r>
    </w:p>
    <w:p w14:paraId="7F23B6BA" w14:textId="43E178C3" w:rsidR="00B70C76" w:rsidRPr="00322654" w:rsidRDefault="00B70C76" w:rsidP="00B70C76">
      <w:pPr>
        <w:spacing w:after="29"/>
        <w:rPr>
          <w:bCs/>
          <w:szCs w:val="20"/>
        </w:rPr>
      </w:pPr>
      <w:r w:rsidRPr="00322654">
        <w:rPr>
          <w:bCs/>
          <w:szCs w:val="20"/>
        </w:rPr>
        <w:t>The sum of a collection of numbers divided by the count of numbers in the collection</w:t>
      </w:r>
      <w:r w:rsidR="00F21990" w:rsidRPr="00322654">
        <w:rPr>
          <w:bCs/>
          <w:szCs w:val="20"/>
        </w:rPr>
        <w:t>.</w:t>
      </w:r>
    </w:p>
    <w:p w14:paraId="7A5F7F21" w14:textId="77777777" w:rsidR="00127CDB" w:rsidRPr="00322654" w:rsidRDefault="00127CDB" w:rsidP="00B70C76">
      <w:pPr>
        <w:spacing w:after="29"/>
        <w:rPr>
          <w:bCs/>
          <w:szCs w:val="20"/>
        </w:rPr>
      </w:pPr>
    </w:p>
    <w:p w14:paraId="1825F04A" w14:textId="0D97D4F1" w:rsidR="00B70C76" w:rsidRPr="00322654" w:rsidRDefault="00127CDB" w:rsidP="00B70C76">
      <w:pPr>
        <w:spacing w:after="29"/>
        <w:rPr>
          <w:b/>
          <w:szCs w:val="20"/>
        </w:rPr>
      </w:pPr>
      <w:r w:rsidRPr="00322654">
        <w:rPr>
          <w:b/>
          <w:szCs w:val="20"/>
        </w:rPr>
        <w:t>Business type</w:t>
      </w:r>
    </w:p>
    <w:p w14:paraId="02772AE4" w14:textId="26F97134" w:rsidR="00052F90" w:rsidRPr="00322654" w:rsidRDefault="00052F90" w:rsidP="00B70C76">
      <w:pPr>
        <w:spacing w:after="29"/>
        <w:rPr>
          <w:bCs/>
          <w:szCs w:val="20"/>
          <w:u w:val="single"/>
        </w:rPr>
      </w:pPr>
      <w:r w:rsidRPr="00322654">
        <w:rPr>
          <w:bCs/>
          <w:szCs w:val="20"/>
          <w:u w:val="single"/>
        </w:rPr>
        <w:t xml:space="preserve">Specialist </w:t>
      </w:r>
      <w:r w:rsidR="004B548A" w:rsidRPr="00322654">
        <w:rPr>
          <w:bCs/>
          <w:szCs w:val="20"/>
          <w:u w:val="single"/>
        </w:rPr>
        <w:t>s</w:t>
      </w:r>
      <w:r w:rsidRPr="00322654">
        <w:rPr>
          <w:bCs/>
          <w:szCs w:val="20"/>
          <w:u w:val="single"/>
        </w:rPr>
        <w:t>heep</w:t>
      </w:r>
    </w:p>
    <w:p w14:paraId="61F82565" w14:textId="36043B41" w:rsidR="005347B6" w:rsidRPr="00322654" w:rsidRDefault="00F82AA1" w:rsidP="00B70C76">
      <w:pPr>
        <w:spacing w:after="29"/>
        <w:rPr>
          <w:bCs/>
          <w:szCs w:val="20"/>
        </w:rPr>
      </w:pPr>
      <w:r w:rsidRPr="00322654">
        <w:rPr>
          <w:bCs/>
          <w:szCs w:val="20"/>
        </w:rPr>
        <w:t>Businesses with more than 85% of DSE</w:t>
      </w:r>
      <w:r w:rsidR="0009489F" w:rsidRPr="00322654">
        <w:rPr>
          <w:bCs/>
          <w:szCs w:val="20"/>
        </w:rPr>
        <w:t xml:space="preserve"> coming from sheep</w:t>
      </w:r>
      <w:r w:rsidR="00BA4B3C" w:rsidRPr="00322654">
        <w:rPr>
          <w:bCs/>
          <w:szCs w:val="20"/>
        </w:rPr>
        <w:t xml:space="preserve"> and less than 30% income coming from </w:t>
      </w:r>
      <w:r w:rsidR="00D2321B" w:rsidRPr="00322654">
        <w:rPr>
          <w:bCs/>
          <w:szCs w:val="20"/>
        </w:rPr>
        <w:t>grain and cropping.</w:t>
      </w:r>
    </w:p>
    <w:p w14:paraId="01A5065E" w14:textId="77777777" w:rsidR="00052F90" w:rsidRPr="00322654" w:rsidRDefault="00052F90" w:rsidP="00B70C76">
      <w:pPr>
        <w:spacing w:after="29"/>
        <w:rPr>
          <w:bCs/>
          <w:szCs w:val="20"/>
          <w:u w:val="single"/>
        </w:rPr>
      </w:pPr>
      <w:r w:rsidRPr="00322654">
        <w:rPr>
          <w:bCs/>
          <w:szCs w:val="20"/>
          <w:u w:val="single"/>
        </w:rPr>
        <w:t>Specialist beef</w:t>
      </w:r>
    </w:p>
    <w:p w14:paraId="07D2451B" w14:textId="7271ABA9" w:rsidR="0009489F" w:rsidRPr="00322654" w:rsidRDefault="0009489F" w:rsidP="00B70C76">
      <w:pPr>
        <w:spacing w:after="29"/>
        <w:rPr>
          <w:bCs/>
          <w:szCs w:val="20"/>
          <w:u w:val="single"/>
        </w:rPr>
      </w:pPr>
      <w:r w:rsidRPr="00322654">
        <w:rPr>
          <w:bCs/>
          <w:szCs w:val="20"/>
        </w:rPr>
        <w:t>Businesses with more than 85% of DSE coming from beef</w:t>
      </w:r>
      <w:r w:rsidR="00D2321B" w:rsidRPr="00322654">
        <w:rPr>
          <w:bCs/>
          <w:szCs w:val="20"/>
        </w:rPr>
        <w:t xml:space="preserve"> and less than 30% income coming from grain and cropping.</w:t>
      </w:r>
    </w:p>
    <w:p w14:paraId="2C32CD09" w14:textId="4A789CE6" w:rsidR="005347B6" w:rsidRPr="00322654" w:rsidRDefault="005347B6" w:rsidP="00B70C76">
      <w:pPr>
        <w:spacing w:after="29"/>
        <w:rPr>
          <w:bCs/>
          <w:szCs w:val="20"/>
          <w:u w:val="single"/>
        </w:rPr>
      </w:pPr>
      <w:r w:rsidRPr="00322654">
        <w:rPr>
          <w:bCs/>
          <w:szCs w:val="20"/>
          <w:u w:val="single"/>
        </w:rPr>
        <w:t xml:space="preserve">Sheep and </w:t>
      </w:r>
      <w:r w:rsidR="004B548A" w:rsidRPr="00322654">
        <w:rPr>
          <w:bCs/>
          <w:szCs w:val="20"/>
          <w:u w:val="single"/>
        </w:rPr>
        <w:t>b</w:t>
      </w:r>
      <w:r w:rsidRPr="00322654">
        <w:rPr>
          <w:bCs/>
          <w:szCs w:val="20"/>
          <w:u w:val="single"/>
        </w:rPr>
        <w:t>eef</w:t>
      </w:r>
    </w:p>
    <w:p w14:paraId="4D8DEEEC" w14:textId="270DD7AA" w:rsidR="0009489F" w:rsidRPr="00322654" w:rsidRDefault="0009489F" w:rsidP="00B70C76">
      <w:pPr>
        <w:spacing w:after="29"/>
        <w:rPr>
          <w:bCs/>
          <w:szCs w:val="20"/>
          <w:u w:val="single"/>
        </w:rPr>
      </w:pPr>
      <w:r w:rsidRPr="00322654">
        <w:rPr>
          <w:bCs/>
          <w:szCs w:val="20"/>
        </w:rPr>
        <w:t xml:space="preserve">Businesses with less than 85% of DSE coming from beef, less than 85% DSE </w:t>
      </w:r>
      <w:r w:rsidR="004027AE" w:rsidRPr="00322654">
        <w:rPr>
          <w:bCs/>
          <w:szCs w:val="20"/>
        </w:rPr>
        <w:t>coming from sheep and less than</w:t>
      </w:r>
      <w:r w:rsidR="00403A5B" w:rsidRPr="00322654">
        <w:rPr>
          <w:bCs/>
          <w:szCs w:val="20"/>
        </w:rPr>
        <w:t xml:space="preserve"> 30% income coming from grain</w:t>
      </w:r>
      <w:r w:rsidR="002B3B97" w:rsidRPr="00322654">
        <w:rPr>
          <w:bCs/>
          <w:szCs w:val="20"/>
        </w:rPr>
        <w:t>.</w:t>
      </w:r>
    </w:p>
    <w:p w14:paraId="13C48F4D" w14:textId="51433F84" w:rsidR="005347B6" w:rsidRPr="00322654" w:rsidRDefault="005347B6" w:rsidP="00B70C76">
      <w:pPr>
        <w:spacing w:after="29"/>
        <w:rPr>
          <w:bCs/>
          <w:szCs w:val="20"/>
          <w:u w:val="single"/>
        </w:rPr>
      </w:pPr>
      <w:r w:rsidRPr="00322654">
        <w:rPr>
          <w:bCs/>
          <w:szCs w:val="20"/>
          <w:u w:val="single"/>
        </w:rPr>
        <w:t>S</w:t>
      </w:r>
      <w:r w:rsidR="00C27B86" w:rsidRPr="00322654">
        <w:rPr>
          <w:bCs/>
          <w:szCs w:val="20"/>
          <w:u w:val="single"/>
        </w:rPr>
        <w:t>tock</w:t>
      </w:r>
      <w:r w:rsidRPr="00322654">
        <w:rPr>
          <w:bCs/>
          <w:szCs w:val="20"/>
          <w:u w:val="single"/>
        </w:rPr>
        <w:t xml:space="preserve"> and grain</w:t>
      </w:r>
    </w:p>
    <w:p w14:paraId="38FD6248" w14:textId="2991396E" w:rsidR="00403A5B" w:rsidRPr="00322654" w:rsidRDefault="00357263" w:rsidP="00B70C76">
      <w:pPr>
        <w:spacing w:after="29"/>
        <w:rPr>
          <w:bCs/>
          <w:szCs w:val="20"/>
        </w:rPr>
      </w:pPr>
      <w:r w:rsidRPr="00322654">
        <w:rPr>
          <w:bCs/>
          <w:szCs w:val="20"/>
        </w:rPr>
        <w:t>Businesses with more than 30% of income coming from grain</w:t>
      </w:r>
      <w:r w:rsidR="00BE45AF" w:rsidRPr="00322654">
        <w:rPr>
          <w:bCs/>
          <w:szCs w:val="20"/>
        </w:rPr>
        <w:t xml:space="preserve"> and cropping </w:t>
      </w:r>
      <w:r w:rsidRPr="00322654">
        <w:rPr>
          <w:bCs/>
          <w:szCs w:val="20"/>
        </w:rPr>
        <w:t>sales</w:t>
      </w:r>
      <w:r w:rsidR="007D42D5" w:rsidRPr="00322654">
        <w:rPr>
          <w:bCs/>
          <w:szCs w:val="20"/>
        </w:rPr>
        <w:t xml:space="preserve"> and </w:t>
      </w:r>
      <w:r w:rsidR="00C52434" w:rsidRPr="00322654">
        <w:rPr>
          <w:bCs/>
          <w:szCs w:val="20"/>
        </w:rPr>
        <w:t xml:space="preserve">greater than zero </w:t>
      </w:r>
      <w:r w:rsidR="00C724AB" w:rsidRPr="00322654">
        <w:rPr>
          <w:bCs/>
          <w:szCs w:val="20"/>
        </w:rPr>
        <w:t>stock</w:t>
      </w:r>
      <w:r w:rsidR="00C52434" w:rsidRPr="00322654">
        <w:rPr>
          <w:bCs/>
          <w:szCs w:val="20"/>
        </w:rPr>
        <w:t xml:space="preserve"> DSE.</w:t>
      </w:r>
    </w:p>
    <w:p w14:paraId="03A1175E" w14:textId="77777777" w:rsidR="00C52434" w:rsidRPr="00322654" w:rsidRDefault="00C52434" w:rsidP="00B70C76">
      <w:pPr>
        <w:spacing w:after="29"/>
        <w:rPr>
          <w:b/>
          <w:szCs w:val="20"/>
        </w:rPr>
      </w:pPr>
    </w:p>
    <w:p w14:paraId="46297FF1" w14:textId="4D3EF746" w:rsidR="00ED2E2F" w:rsidRPr="00322654" w:rsidRDefault="00ED2E2F" w:rsidP="00B70C76">
      <w:pPr>
        <w:spacing w:after="29"/>
        <w:rPr>
          <w:b/>
          <w:szCs w:val="20"/>
        </w:rPr>
      </w:pPr>
      <w:r w:rsidRPr="00322654">
        <w:rPr>
          <w:b/>
          <w:szCs w:val="20"/>
        </w:rPr>
        <w:t>Cash Income</w:t>
      </w:r>
    </w:p>
    <w:p w14:paraId="1F61AAAB" w14:textId="10492FCD" w:rsidR="00ED2E2F" w:rsidRPr="00322654" w:rsidRDefault="007F1D5A" w:rsidP="00B70C76">
      <w:pPr>
        <w:spacing w:after="29"/>
        <w:rPr>
          <w:bCs/>
          <w:szCs w:val="20"/>
        </w:rPr>
      </w:pPr>
      <w:r w:rsidRPr="00322654">
        <w:rPr>
          <w:bCs/>
          <w:szCs w:val="20"/>
        </w:rPr>
        <w:t>The sum of all cash</w:t>
      </w:r>
      <w:r w:rsidR="00F3529B" w:rsidRPr="00322654">
        <w:rPr>
          <w:bCs/>
          <w:szCs w:val="20"/>
        </w:rPr>
        <w:t xml:space="preserve"> income related to the operation of the farm</w:t>
      </w:r>
      <w:r w:rsidR="0046476D" w:rsidRPr="00322654">
        <w:rPr>
          <w:bCs/>
          <w:szCs w:val="20"/>
        </w:rPr>
        <w:t>/enterprise.</w:t>
      </w:r>
      <w:r w:rsidR="00132F39" w:rsidRPr="00322654">
        <w:rPr>
          <w:bCs/>
          <w:szCs w:val="20"/>
        </w:rPr>
        <w:t xml:space="preserve"> </w:t>
      </w:r>
    </w:p>
    <w:p w14:paraId="3D0C474D" w14:textId="77777777" w:rsidR="00ED2E2F" w:rsidRPr="00322654" w:rsidRDefault="00ED2E2F" w:rsidP="00B70C76">
      <w:pPr>
        <w:spacing w:after="29"/>
        <w:rPr>
          <w:b/>
          <w:szCs w:val="20"/>
        </w:rPr>
      </w:pPr>
    </w:p>
    <w:p w14:paraId="50A9AA2F" w14:textId="77777777" w:rsidR="00E27638" w:rsidRPr="00322654" w:rsidRDefault="00E27638" w:rsidP="00B70C76">
      <w:pPr>
        <w:spacing w:after="29"/>
        <w:rPr>
          <w:b/>
          <w:szCs w:val="20"/>
        </w:rPr>
      </w:pPr>
    </w:p>
    <w:p w14:paraId="027FFDF6" w14:textId="1DCFC0F0" w:rsidR="00B70C76" w:rsidRPr="00322654" w:rsidRDefault="00B70C76" w:rsidP="00B70C76">
      <w:pPr>
        <w:spacing w:after="29"/>
        <w:rPr>
          <w:szCs w:val="20"/>
        </w:rPr>
      </w:pPr>
      <w:r w:rsidRPr="00322654">
        <w:rPr>
          <w:b/>
          <w:szCs w:val="20"/>
        </w:rPr>
        <w:t xml:space="preserve">Cash overheads </w:t>
      </w:r>
    </w:p>
    <w:p w14:paraId="033E66E4" w14:textId="04724797" w:rsidR="00B70C76" w:rsidRPr="00322654" w:rsidRDefault="00B70C76" w:rsidP="00B70C76">
      <w:pPr>
        <w:spacing w:after="207"/>
        <w:rPr>
          <w:szCs w:val="20"/>
        </w:rPr>
      </w:pPr>
      <w:r w:rsidRPr="00322654">
        <w:rPr>
          <w:szCs w:val="20"/>
        </w:rPr>
        <w:t xml:space="preserve">All fixed costs have a cash cost to the business. Includes all overhead costs </w:t>
      </w:r>
      <w:r w:rsidRPr="00322654">
        <w:rPr>
          <w:szCs w:val="20"/>
        </w:rPr>
        <w:t>except imputed labour costs and depreciation.</w:t>
      </w:r>
    </w:p>
    <w:p w14:paraId="0BFDE5DE" w14:textId="2F311F08" w:rsidR="00B70C76" w:rsidRPr="00322654" w:rsidRDefault="00B70C76" w:rsidP="00B70C76">
      <w:pPr>
        <w:spacing w:after="207"/>
        <w:rPr>
          <w:b/>
          <w:bCs/>
          <w:szCs w:val="20"/>
        </w:rPr>
      </w:pPr>
      <w:r w:rsidRPr="00322654">
        <w:rPr>
          <w:b/>
          <w:bCs/>
          <w:szCs w:val="20"/>
        </w:rPr>
        <w:t xml:space="preserve">Casual </w:t>
      </w:r>
      <w:r w:rsidR="006225D4" w:rsidRPr="00322654">
        <w:rPr>
          <w:b/>
          <w:bCs/>
          <w:szCs w:val="20"/>
        </w:rPr>
        <w:t>l</w:t>
      </w:r>
      <w:r w:rsidRPr="00322654">
        <w:rPr>
          <w:b/>
          <w:bCs/>
          <w:szCs w:val="20"/>
        </w:rPr>
        <w:t>abour</w:t>
      </w:r>
    </w:p>
    <w:p w14:paraId="26682021" w14:textId="612CC531" w:rsidR="00B70C76" w:rsidRPr="00322654" w:rsidRDefault="00B70C76" w:rsidP="00B70C76">
      <w:pPr>
        <w:spacing w:after="207"/>
        <w:rPr>
          <w:szCs w:val="20"/>
        </w:rPr>
      </w:pPr>
      <w:r w:rsidRPr="00322654">
        <w:rPr>
          <w:szCs w:val="20"/>
        </w:rPr>
        <w:t>A casual employee is an employee engaged casually and paid by the hour. Casual loading is paid instead of annual leave,</w:t>
      </w:r>
      <w:r w:rsidR="00607149" w:rsidRPr="00322654">
        <w:rPr>
          <w:szCs w:val="20"/>
        </w:rPr>
        <w:t xml:space="preserve"> a</w:t>
      </w:r>
      <w:r w:rsidRPr="00322654">
        <w:rPr>
          <w:szCs w:val="20"/>
        </w:rPr>
        <w:t xml:space="preserve"> notice of termination, redundancy benefits and other attributes of permanent</w:t>
      </w:r>
      <w:r w:rsidR="00E314B2" w:rsidRPr="00322654">
        <w:rPr>
          <w:szCs w:val="20"/>
        </w:rPr>
        <w:t xml:space="preserve"> labour.</w:t>
      </w:r>
    </w:p>
    <w:p w14:paraId="03A563D5" w14:textId="54A0C0C5" w:rsidR="00B70C76" w:rsidRPr="00322654" w:rsidRDefault="00B70C76" w:rsidP="00B70C76">
      <w:pPr>
        <w:spacing w:after="207"/>
        <w:rPr>
          <w:b/>
          <w:bCs/>
          <w:szCs w:val="20"/>
        </w:rPr>
      </w:pPr>
      <w:r w:rsidRPr="00322654">
        <w:rPr>
          <w:b/>
          <w:bCs/>
          <w:szCs w:val="20"/>
        </w:rPr>
        <w:t xml:space="preserve">Contract </w:t>
      </w:r>
      <w:r w:rsidR="00E314B2" w:rsidRPr="00322654">
        <w:rPr>
          <w:b/>
          <w:bCs/>
          <w:szCs w:val="20"/>
        </w:rPr>
        <w:t>l</w:t>
      </w:r>
      <w:r w:rsidRPr="00322654">
        <w:rPr>
          <w:b/>
          <w:bCs/>
          <w:szCs w:val="20"/>
        </w:rPr>
        <w:t>abour</w:t>
      </w:r>
    </w:p>
    <w:p w14:paraId="57D48CEE" w14:textId="13FFABE8" w:rsidR="0074280E" w:rsidRPr="00322654" w:rsidRDefault="00B70C76" w:rsidP="00B30DB3">
      <w:pPr>
        <w:spacing w:after="207"/>
        <w:rPr>
          <w:b/>
          <w:szCs w:val="20"/>
        </w:rPr>
      </w:pPr>
      <w:r w:rsidRPr="00322654">
        <w:rPr>
          <w:szCs w:val="20"/>
        </w:rPr>
        <w:t>A contractor controls the work to be done and how it is to be performed. They can employ their own staff and can</w:t>
      </w:r>
      <w:r w:rsidR="00607149" w:rsidRPr="00322654">
        <w:rPr>
          <w:szCs w:val="20"/>
        </w:rPr>
        <w:t xml:space="preserve"> subcontract</w:t>
      </w:r>
      <w:r w:rsidRPr="00322654">
        <w:rPr>
          <w:szCs w:val="20"/>
        </w:rPr>
        <w:t xml:space="preserve"> or delegate.</w:t>
      </w:r>
    </w:p>
    <w:p w14:paraId="12C525EE" w14:textId="5A67B696" w:rsidR="00B70C76" w:rsidRPr="00322654" w:rsidRDefault="00B70C76" w:rsidP="00B70C76">
      <w:pPr>
        <w:spacing w:after="29"/>
        <w:rPr>
          <w:b/>
          <w:szCs w:val="20"/>
        </w:rPr>
      </w:pPr>
      <w:r w:rsidRPr="00322654">
        <w:rPr>
          <w:b/>
          <w:szCs w:val="20"/>
        </w:rPr>
        <w:t>Concentrate</w:t>
      </w:r>
    </w:p>
    <w:p w14:paraId="304CD8D4" w14:textId="367A4488" w:rsidR="00B70C76" w:rsidRPr="00322654" w:rsidRDefault="00B70C76" w:rsidP="00B70C76">
      <w:pPr>
        <w:spacing w:after="29"/>
        <w:rPr>
          <w:bCs/>
          <w:szCs w:val="20"/>
        </w:rPr>
      </w:pPr>
      <w:r w:rsidRPr="00322654">
        <w:rPr>
          <w:bCs/>
          <w:szCs w:val="20"/>
        </w:rPr>
        <w:t>Category of feed that includes grains, oilseeds</w:t>
      </w:r>
      <w:r w:rsidR="4F94930D" w:rsidRPr="00322654">
        <w:rPr>
          <w:szCs w:val="20"/>
        </w:rPr>
        <w:t>,</w:t>
      </w:r>
      <w:r w:rsidRPr="00322654">
        <w:rPr>
          <w:bCs/>
          <w:szCs w:val="20"/>
        </w:rPr>
        <w:t xml:space="preserve"> and pellets</w:t>
      </w:r>
      <w:r w:rsidR="00073B93" w:rsidRPr="00322654">
        <w:rPr>
          <w:bCs/>
          <w:szCs w:val="20"/>
        </w:rPr>
        <w:t>.</w:t>
      </w:r>
    </w:p>
    <w:p w14:paraId="4491593F" w14:textId="72B8599D" w:rsidR="000A435F" w:rsidRPr="00322654" w:rsidRDefault="000A435F" w:rsidP="00B70C76">
      <w:pPr>
        <w:spacing w:after="29"/>
        <w:rPr>
          <w:b/>
          <w:szCs w:val="20"/>
        </w:rPr>
      </w:pPr>
      <w:r w:rsidRPr="00322654">
        <w:rPr>
          <w:b/>
          <w:szCs w:val="20"/>
        </w:rPr>
        <w:t xml:space="preserve">Debt </w:t>
      </w:r>
      <w:r w:rsidR="000F39DE" w:rsidRPr="00322654">
        <w:rPr>
          <w:b/>
          <w:szCs w:val="20"/>
        </w:rPr>
        <w:t>s</w:t>
      </w:r>
      <w:r w:rsidRPr="00322654">
        <w:rPr>
          <w:b/>
          <w:szCs w:val="20"/>
        </w:rPr>
        <w:t>ervicing</w:t>
      </w:r>
    </w:p>
    <w:p w14:paraId="01A00A44" w14:textId="77777777" w:rsidR="000A435F" w:rsidRPr="00322654" w:rsidRDefault="000A435F" w:rsidP="000A435F">
      <w:pPr>
        <w:rPr>
          <w:szCs w:val="20"/>
        </w:rPr>
      </w:pPr>
      <w:r w:rsidRPr="00322654">
        <w:rPr>
          <w:szCs w:val="20"/>
        </w:rPr>
        <w:t xml:space="preserve">Servicing debt consists of making interest payments and repaying principal. The proportion of farm cash income spent on interest expenses (interest cost ratio) is useful to determine the capacity of a farm business to service debt. </w:t>
      </w:r>
    </w:p>
    <w:p w14:paraId="42AC0F8E" w14:textId="4D5AAEBA" w:rsidR="000A435F" w:rsidRPr="00322654" w:rsidRDefault="000A435F" w:rsidP="000A435F">
      <w:pPr>
        <w:spacing w:after="29"/>
        <w:rPr>
          <w:b/>
          <w:szCs w:val="20"/>
        </w:rPr>
      </w:pPr>
      <w:r w:rsidRPr="00322654">
        <w:rPr>
          <w:szCs w:val="20"/>
        </w:rPr>
        <w:t>The equity of a farm business is the total value amount remaining if all assets were sold and all debts were repaid (total assets minus total debts). Equity is often expressed as percentage and is used to represent the extent to which borrowed funds are used to finance a farm business (also called leverage). It’s calculated as the proportion of total assets owned outright relative to total assets</w:t>
      </w:r>
      <w:r w:rsidR="00DB0855" w:rsidRPr="00322654">
        <w:rPr>
          <w:szCs w:val="20"/>
        </w:rPr>
        <w:t>.</w:t>
      </w:r>
    </w:p>
    <w:p w14:paraId="303E9E00" w14:textId="77777777" w:rsidR="000A435F" w:rsidRPr="00322654" w:rsidRDefault="000A435F" w:rsidP="00B70C76">
      <w:pPr>
        <w:spacing w:after="29"/>
        <w:rPr>
          <w:b/>
          <w:szCs w:val="20"/>
        </w:rPr>
      </w:pPr>
    </w:p>
    <w:p w14:paraId="6848D0E0" w14:textId="7BF2E4C0" w:rsidR="00B70C76" w:rsidRPr="00322654" w:rsidRDefault="00B70C76" w:rsidP="00B70C76">
      <w:pPr>
        <w:spacing w:after="29"/>
        <w:rPr>
          <w:szCs w:val="20"/>
        </w:rPr>
      </w:pPr>
      <w:r w:rsidRPr="00322654">
        <w:rPr>
          <w:b/>
          <w:szCs w:val="20"/>
        </w:rPr>
        <w:t xml:space="preserve">Depreciation </w:t>
      </w:r>
    </w:p>
    <w:p w14:paraId="4C82210D" w14:textId="77777777" w:rsidR="00B70C76" w:rsidRPr="00322654" w:rsidRDefault="00B70C76" w:rsidP="00B70C76">
      <w:pPr>
        <w:spacing w:after="207"/>
        <w:rPr>
          <w:szCs w:val="20"/>
        </w:rPr>
      </w:pPr>
      <w:r w:rsidRPr="00322654">
        <w:rPr>
          <w:szCs w:val="20"/>
        </w:rPr>
        <w:t xml:space="preserve">Decrease in value over time of capital asset, usually </w:t>
      </w:r>
      <w:proofErr w:type="gramStart"/>
      <w:r w:rsidRPr="00322654">
        <w:rPr>
          <w:szCs w:val="20"/>
        </w:rPr>
        <w:t>as a result of</w:t>
      </w:r>
      <w:proofErr w:type="gramEnd"/>
      <w:r w:rsidRPr="00322654">
        <w:rPr>
          <w:szCs w:val="20"/>
        </w:rPr>
        <w:t xml:space="preserve"> using the asset. Depreciation is a non-cash cost of the business but reduces the book value of the asset and is therefore a cost. </w:t>
      </w:r>
    </w:p>
    <w:p w14:paraId="373ADD58" w14:textId="253B1751" w:rsidR="00B70C76" w:rsidRPr="00322654" w:rsidRDefault="00B70C76" w:rsidP="00B70C76">
      <w:pPr>
        <w:spacing w:after="29"/>
        <w:rPr>
          <w:b/>
          <w:szCs w:val="20"/>
        </w:rPr>
      </w:pPr>
      <w:r w:rsidRPr="00322654">
        <w:rPr>
          <w:b/>
          <w:szCs w:val="20"/>
        </w:rPr>
        <w:t xml:space="preserve">Dry </w:t>
      </w:r>
      <w:r w:rsidR="00F97995" w:rsidRPr="00322654">
        <w:rPr>
          <w:b/>
          <w:szCs w:val="20"/>
        </w:rPr>
        <w:t>s</w:t>
      </w:r>
      <w:r w:rsidRPr="00322654">
        <w:rPr>
          <w:b/>
          <w:szCs w:val="20"/>
        </w:rPr>
        <w:t xml:space="preserve">heep </w:t>
      </w:r>
      <w:r w:rsidR="00F97995" w:rsidRPr="00322654">
        <w:rPr>
          <w:b/>
          <w:szCs w:val="20"/>
        </w:rPr>
        <w:t>e</w:t>
      </w:r>
      <w:r w:rsidRPr="00322654">
        <w:rPr>
          <w:b/>
          <w:szCs w:val="20"/>
        </w:rPr>
        <w:t>quivalent (DSE)</w:t>
      </w:r>
    </w:p>
    <w:p w14:paraId="684A48D7" w14:textId="6E1BC5C9" w:rsidR="00B70C76" w:rsidRPr="00322654" w:rsidRDefault="00D73484" w:rsidP="00B70C76">
      <w:pPr>
        <w:spacing w:after="29"/>
        <w:rPr>
          <w:bCs/>
          <w:szCs w:val="20"/>
        </w:rPr>
      </w:pPr>
      <w:r w:rsidRPr="00322654">
        <w:rPr>
          <w:bCs/>
          <w:szCs w:val="20"/>
        </w:rPr>
        <w:lastRenderedPageBreak/>
        <w:t xml:space="preserve">The standard </w:t>
      </w:r>
      <w:r w:rsidR="00B70C76" w:rsidRPr="00322654">
        <w:rPr>
          <w:bCs/>
          <w:szCs w:val="20"/>
        </w:rPr>
        <w:t xml:space="preserve">unit used to compare the </w:t>
      </w:r>
      <w:proofErr w:type="spellStart"/>
      <w:r w:rsidR="00EE3D1B" w:rsidRPr="00322654">
        <w:rPr>
          <w:bCs/>
          <w:szCs w:val="20"/>
        </w:rPr>
        <w:t>meta</w:t>
      </w:r>
      <w:r w:rsidR="00450D41" w:rsidRPr="00322654">
        <w:rPr>
          <w:bCs/>
          <w:szCs w:val="20"/>
        </w:rPr>
        <w:t>bolis</w:t>
      </w:r>
      <w:r w:rsidR="00817EB0" w:rsidRPr="00322654">
        <w:rPr>
          <w:bCs/>
          <w:szCs w:val="20"/>
        </w:rPr>
        <w:t>a</w:t>
      </w:r>
      <w:r w:rsidR="00450D41" w:rsidRPr="00322654">
        <w:rPr>
          <w:bCs/>
          <w:szCs w:val="20"/>
        </w:rPr>
        <w:t>ble</w:t>
      </w:r>
      <w:proofErr w:type="spellEnd"/>
      <w:r w:rsidR="00450D41" w:rsidRPr="00322654">
        <w:rPr>
          <w:bCs/>
          <w:szCs w:val="20"/>
        </w:rPr>
        <w:t xml:space="preserve"> energy (ME)</w:t>
      </w:r>
      <w:r w:rsidR="00B70C76" w:rsidRPr="00322654">
        <w:rPr>
          <w:bCs/>
          <w:szCs w:val="20"/>
        </w:rPr>
        <w:t xml:space="preserve"> requirements of different classes of stock for feed budgeting purposes</w:t>
      </w:r>
      <w:r w:rsidR="00073B93" w:rsidRPr="00322654">
        <w:rPr>
          <w:bCs/>
          <w:szCs w:val="20"/>
        </w:rPr>
        <w:t>.</w:t>
      </w:r>
    </w:p>
    <w:p w14:paraId="202E60F2" w14:textId="761D4D36" w:rsidR="00B70C76" w:rsidRPr="00322654" w:rsidRDefault="00B70C76" w:rsidP="00B70C76">
      <w:pPr>
        <w:spacing w:after="29"/>
        <w:rPr>
          <w:szCs w:val="20"/>
        </w:rPr>
      </w:pPr>
      <w:r w:rsidRPr="00322654">
        <w:rPr>
          <w:b/>
          <w:szCs w:val="20"/>
        </w:rPr>
        <w:t xml:space="preserve">Earnings before interest </w:t>
      </w:r>
      <w:r w:rsidR="00073B93" w:rsidRPr="00322654">
        <w:rPr>
          <w:b/>
          <w:szCs w:val="20"/>
        </w:rPr>
        <w:t>and</w:t>
      </w:r>
      <w:r w:rsidRPr="00322654">
        <w:rPr>
          <w:b/>
          <w:szCs w:val="20"/>
        </w:rPr>
        <w:t xml:space="preserve"> tax (EBIT) </w:t>
      </w:r>
    </w:p>
    <w:p w14:paraId="2E49E6AD" w14:textId="40FAE054" w:rsidR="00B70C76" w:rsidRPr="00322654" w:rsidRDefault="00B70C76" w:rsidP="00B70C76">
      <w:pPr>
        <w:spacing w:after="207"/>
        <w:rPr>
          <w:szCs w:val="20"/>
        </w:rPr>
      </w:pPr>
      <w:r w:rsidRPr="00322654">
        <w:rPr>
          <w:szCs w:val="20"/>
        </w:rPr>
        <w:t>Also known as ‘Operating Profit</w:t>
      </w:r>
      <w:r w:rsidR="3E639AD7" w:rsidRPr="00322654">
        <w:rPr>
          <w:szCs w:val="20"/>
        </w:rPr>
        <w:t>’</w:t>
      </w:r>
      <w:r w:rsidR="002A2C7D" w:rsidRPr="00322654">
        <w:rPr>
          <w:szCs w:val="20"/>
        </w:rPr>
        <w:t xml:space="preserve"> or</w:t>
      </w:r>
      <w:r w:rsidR="00221B7F" w:rsidRPr="00322654">
        <w:rPr>
          <w:szCs w:val="20"/>
        </w:rPr>
        <w:t xml:space="preserve"> ‘Profit’</w:t>
      </w:r>
      <w:r w:rsidRPr="00322654">
        <w:rPr>
          <w:szCs w:val="20"/>
        </w:rPr>
        <w:t xml:space="preserve"> is the return on all the capital used in the business</w:t>
      </w:r>
      <w:r w:rsidR="00736393" w:rsidRPr="00322654">
        <w:rPr>
          <w:szCs w:val="20"/>
        </w:rPr>
        <w:t xml:space="preserve"> before </w:t>
      </w:r>
      <w:r w:rsidR="002C5D32" w:rsidRPr="00322654">
        <w:rPr>
          <w:szCs w:val="20"/>
        </w:rPr>
        <w:t>accounting for finance costs.</w:t>
      </w:r>
      <w:r w:rsidRPr="00322654">
        <w:rPr>
          <w:szCs w:val="20"/>
        </w:rPr>
        <w:t xml:space="preserve"> Calculated as gross farm income minus total variable and total overhead costs.</w:t>
      </w:r>
    </w:p>
    <w:p w14:paraId="64234E9E" w14:textId="77777777" w:rsidR="00B70C76" w:rsidRPr="00322654" w:rsidRDefault="00B70C76" w:rsidP="00B70C76">
      <w:pPr>
        <w:spacing w:after="29"/>
        <w:rPr>
          <w:szCs w:val="20"/>
        </w:rPr>
      </w:pPr>
      <w:r w:rsidRPr="00322654">
        <w:rPr>
          <w:b/>
          <w:szCs w:val="20"/>
        </w:rPr>
        <w:t xml:space="preserve">Effective area </w:t>
      </w:r>
    </w:p>
    <w:p w14:paraId="398BE016" w14:textId="77777777" w:rsidR="00B70C76" w:rsidRPr="00322654" w:rsidRDefault="00B70C76" w:rsidP="00B70C76">
      <w:pPr>
        <w:spacing w:after="207"/>
        <w:rPr>
          <w:szCs w:val="20"/>
        </w:rPr>
      </w:pPr>
      <w:r w:rsidRPr="00322654">
        <w:rPr>
          <w:szCs w:val="20"/>
        </w:rPr>
        <w:t xml:space="preserve">Total hectares managed minus the area of land which is of little or no value for livestock or crop production. </w:t>
      </w:r>
    </w:p>
    <w:p w14:paraId="299373ED" w14:textId="77777777" w:rsidR="00DC4BAD" w:rsidRPr="00322654" w:rsidRDefault="00DC4BAD" w:rsidP="00B70C76">
      <w:pPr>
        <w:spacing w:after="29"/>
        <w:rPr>
          <w:b/>
          <w:bCs/>
          <w:szCs w:val="20"/>
        </w:rPr>
      </w:pPr>
    </w:p>
    <w:p w14:paraId="1730F60A" w14:textId="56197467" w:rsidR="006A2FD4" w:rsidRPr="00322654" w:rsidRDefault="006A2FD4" w:rsidP="00B70C76">
      <w:pPr>
        <w:spacing w:after="29"/>
        <w:rPr>
          <w:b/>
          <w:bCs/>
          <w:szCs w:val="20"/>
        </w:rPr>
      </w:pPr>
      <w:r w:rsidRPr="00322654">
        <w:rPr>
          <w:b/>
          <w:bCs/>
          <w:szCs w:val="20"/>
        </w:rPr>
        <w:t>Enterprise income</w:t>
      </w:r>
    </w:p>
    <w:p w14:paraId="139AD27F" w14:textId="62BB8C95" w:rsidR="006A2FD4" w:rsidRPr="00322654" w:rsidRDefault="003668DD" w:rsidP="00B70C76">
      <w:pPr>
        <w:spacing w:after="29"/>
        <w:rPr>
          <w:szCs w:val="20"/>
        </w:rPr>
      </w:pPr>
      <w:r w:rsidRPr="00322654">
        <w:rPr>
          <w:szCs w:val="20"/>
        </w:rPr>
        <w:t>The total income received from an enterprise before any expenses are paid. Includes cash receipts relevant to that enterprise and the value of changes in inventory</w:t>
      </w:r>
      <w:r w:rsidR="000651EC" w:rsidRPr="00322654">
        <w:rPr>
          <w:szCs w:val="20"/>
        </w:rPr>
        <w:t xml:space="preserve"> relevant to that enterprise</w:t>
      </w:r>
      <w:r w:rsidR="001927B1" w:rsidRPr="00322654">
        <w:rPr>
          <w:szCs w:val="20"/>
        </w:rPr>
        <w:t>.</w:t>
      </w:r>
    </w:p>
    <w:p w14:paraId="374F7304" w14:textId="77777777" w:rsidR="000651EC" w:rsidRPr="00322654" w:rsidRDefault="000651EC" w:rsidP="00B70C76">
      <w:pPr>
        <w:spacing w:after="29"/>
        <w:rPr>
          <w:b/>
          <w:szCs w:val="20"/>
        </w:rPr>
      </w:pPr>
    </w:p>
    <w:p w14:paraId="462079EB" w14:textId="430F26C7" w:rsidR="00B70C76" w:rsidRPr="00322654" w:rsidRDefault="00B70C76" w:rsidP="00B70C76">
      <w:pPr>
        <w:spacing w:after="29"/>
        <w:rPr>
          <w:szCs w:val="20"/>
        </w:rPr>
      </w:pPr>
      <w:r w:rsidRPr="00322654">
        <w:rPr>
          <w:b/>
          <w:szCs w:val="20"/>
        </w:rPr>
        <w:t xml:space="preserve">Equity </w:t>
      </w:r>
    </w:p>
    <w:p w14:paraId="66F2029D" w14:textId="647AFF73" w:rsidR="00B70C76" w:rsidRPr="00322654" w:rsidRDefault="00B70C76" w:rsidP="00B70C76">
      <w:pPr>
        <w:spacing w:after="207"/>
        <w:rPr>
          <w:szCs w:val="20"/>
        </w:rPr>
      </w:pPr>
      <w:r w:rsidRPr="00322654">
        <w:rPr>
          <w:szCs w:val="20"/>
        </w:rPr>
        <w:t>Total assets minus total liabilities. Equal to the total value of capital invested in the farm business by the owner/operator(s).</w:t>
      </w:r>
    </w:p>
    <w:p w14:paraId="6D5B1D7F" w14:textId="06E3D171" w:rsidR="00B70C76" w:rsidRPr="00322654" w:rsidRDefault="00B70C76" w:rsidP="00B70C76">
      <w:pPr>
        <w:spacing w:after="29"/>
        <w:rPr>
          <w:szCs w:val="20"/>
        </w:rPr>
      </w:pPr>
      <w:r w:rsidRPr="00322654">
        <w:rPr>
          <w:b/>
          <w:szCs w:val="20"/>
        </w:rPr>
        <w:t xml:space="preserve">Equity </w:t>
      </w:r>
      <w:r w:rsidR="000F39DE" w:rsidRPr="00322654">
        <w:rPr>
          <w:b/>
          <w:szCs w:val="20"/>
        </w:rPr>
        <w:t>per cent</w:t>
      </w:r>
      <w:r w:rsidRPr="00322654">
        <w:rPr>
          <w:b/>
          <w:szCs w:val="20"/>
        </w:rPr>
        <w:t xml:space="preserve"> </w:t>
      </w:r>
    </w:p>
    <w:p w14:paraId="5B877085" w14:textId="77777777" w:rsidR="00B70C76" w:rsidRPr="00322654" w:rsidRDefault="00B70C76" w:rsidP="00B70C76">
      <w:pPr>
        <w:spacing w:after="12"/>
        <w:rPr>
          <w:szCs w:val="20"/>
        </w:rPr>
      </w:pPr>
      <w:r w:rsidRPr="00322654">
        <w:rPr>
          <w:szCs w:val="20"/>
        </w:rPr>
        <w:t xml:space="preserve">Total equity as a percentage of the total assets owned. </w:t>
      </w:r>
    </w:p>
    <w:p w14:paraId="75F480FE" w14:textId="77777777" w:rsidR="00B70C76" w:rsidRPr="00322654" w:rsidRDefault="00B70C76" w:rsidP="00B70C76">
      <w:pPr>
        <w:spacing w:after="200"/>
        <w:rPr>
          <w:szCs w:val="20"/>
        </w:rPr>
      </w:pPr>
      <w:r w:rsidRPr="00322654">
        <w:rPr>
          <w:szCs w:val="20"/>
        </w:rPr>
        <w:t>The proportion of the total assets owned by the business.</w:t>
      </w:r>
    </w:p>
    <w:p w14:paraId="4FC2A151" w14:textId="132BFE80" w:rsidR="00F95E2D" w:rsidRPr="00322654" w:rsidRDefault="00F95E2D" w:rsidP="00AA15AC">
      <w:pPr>
        <w:rPr>
          <w:color w:val="FF0000"/>
          <w:szCs w:val="20"/>
        </w:rPr>
      </w:pPr>
      <w:r w:rsidRPr="00322654">
        <w:rPr>
          <w:szCs w:val="20"/>
        </w:rPr>
        <w:t>Equity percentage helps explain the exposure of a farm business to financial risk and the implications to debt serving and cash flow.</w:t>
      </w:r>
    </w:p>
    <w:p w14:paraId="400598F1" w14:textId="694D9A9F" w:rsidR="00B70C76" w:rsidRPr="00322654" w:rsidRDefault="00B70C76" w:rsidP="00B70C76">
      <w:pPr>
        <w:spacing w:after="29"/>
        <w:rPr>
          <w:szCs w:val="20"/>
        </w:rPr>
      </w:pPr>
      <w:r w:rsidRPr="00322654">
        <w:rPr>
          <w:b/>
          <w:szCs w:val="20"/>
        </w:rPr>
        <w:t>Feed inventory change</w:t>
      </w:r>
    </w:p>
    <w:p w14:paraId="31C93B61" w14:textId="24F91D02" w:rsidR="00B70C76" w:rsidRPr="00322654" w:rsidRDefault="00B70C76" w:rsidP="00B70C76">
      <w:pPr>
        <w:spacing w:after="207"/>
        <w:rPr>
          <w:szCs w:val="20"/>
        </w:rPr>
      </w:pPr>
      <w:r w:rsidRPr="00322654">
        <w:rPr>
          <w:szCs w:val="20"/>
        </w:rPr>
        <w:t>An estimate of the</w:t>
      </w:r>
      <w:r w:rsidR="003668DD" w:rsidRPr="00322654">
        <w:rPr>
          <w:szCs w:val="20"/>
        </w:rPr>
        <w:t xml:space="preserve"> quantity and value of</w:t>
      </w:r>
      <w:r w:rsidRPr="00322654">
        <w:rPr>
          <w:szCs w:val="20"/>
        </w:rPr>
        <w:t xml:space="preserve"> </w:t>
      </w:r>
      <w:r w:rsidR="003668DD" w:rsidRPr="00322654">
        <w:rPr>
          <w:szCs w:val="20"/>
        </w:rPr>
        <w:t>grain, hay and silage</w:t>
      </w:r>
      <w:r w:rsidRPr="00322654">
        <w:rPr>
          <w:szCs w:val="20"/>
        </w:rPr>
        <w:t xml:space="preserve"> on hand at the start and end of the financial year.</w:t>
      </w:r>
    </w:p>
    <w:p w14:paraId="0FF7CC50" w14:textId="7BE574F3" w:rsidR="00B70C76" w:rsidRPr="00322654" w:rsidRDefault="00B70C76" w:rsidP="00B70C76">
      <w:pPr>
        <w:spacing w:after="29"/>
        <w:rPr>
          <w:szCs w:val="20"/>
        </w:rPr>
      </w:pPr>
      <w:r w:rsidRPr="00322654">
        <w:rPr>
          <w:b/>
          <w:szCs w:val="20"/>
        </w:rPr>
        <w:t>Full time equivalent (FTE)</w:t>
      </w:r>
    </w:p>
    <w:p w14:paraId="3065C4E6" w14:textId="77777777" w:rsidR="00B70C76" w:rsidRPr="00322654" w:rsidRDefault="00B70C76" w:rsidP="00B70C76">
      <w:pPr>
        <w:spacing w:after="12"/>
        <w:rPr>
          <w:szCs w:val="20"/>
        </w:rPr>
      </w:pPr>
      <w:r w:rsidRPr="00322654">
        <w:rPr>
          <w:szCs w:val="20"/>
        </w:rPr>
        <w:t xml:space="preserve">Standardised labour unit. Equal to 1,920 hours a year. </w:t>
      </w:r>
    </w:p>
    <w:p w14:paraId="4B3F68FF" w14:textId="77777777" w:rsidR="00B70C76" w:rsidRPr="00322654" w:rsidRDefault="00B70C76" w:rsidP="00B70C76">
      <w:pPr>
        <w:spacing w:after="200"/>
        <w:rPr>
          <w:szCs w:val="20"/>
        </w:rPr>
      </w:pPr>
      <w:r w:rsidRPr="00322654">
        <w:rPr>
          <w:szCs w:val="20"/>
        </w:rPr>
        <w:t xml:space="preserve">Calculated as 48 hours a week for 40 weeks a year. </w:t>
      </w:r>
    </w:p>
    <w:p w14:paraId="5AABD660" w14:textId="77777777" w:rsidR="00B70C76" w:rsidRPr="00322654" w:rsidRDefault="00B70C76" w:rsidP="00B70C76">
      <w:pPr>
        <w:spacing w:after="29"/>
        <w:rPr>
          <w:b/>
          <w:szCs w:val="20"/>
        </w:rPr>
      </w:pPr>
      <w:r w:rsidRPr="00322654">
        <w:rPr>
          <w:b/>
          <w:szCs w:val="20"/>
        </w:rPr>
        <w:t>Grazed area</w:t>
      </w:r>
    </w:p>
    <w:p w14:paraId="0D4C159E" w14:textId="68FDE90B" w:rsidR="00B70C76" w:rsidRPr="00322654" w:rsidRDefault="00B70C76" w:rsidP="006E2A27">
      <w:pPr>
        <w:spacing w:after="207"/>
        <w:rPr>
          <w:szCs w:val="20"/>
        </w:rPr>
      </w:pPr>
      <w:r w:rsidRPr="00322654">
        <w:rPr>
          <w:szCs w:val="20"/>
        </w:rPr>
        <w:t xml:space="preserve">Pasture area plus an estimate of annual cropping area grazed. If a farm has multiple livestock enterprises, </w:t>
      </w:r>
      <w:r w:rsidR="00BF6C3A" w:rsidRPr="00322654">
        <w:rPr>
          <w:szCs w:val="20"/>
        </w:rPr>
        <w:t xml:space="preserve">the </w:t>
      </w:r>
      <w:r w:rsidRPr="00322654">
        <w:rPr>
          <w:szCs w:val="20"/>
        </w:rPr>
        <w:t xml:space="preserve">grazed area is apportioned based on the total annual ME demand of each enterprise. </w:t>
      </w:r>
    </w:p>
    <w:p w14:paraId="24DD004F" w14:textId="1EFA5F55" w:rsidR="00B70C76" w:rsidRPr="00322654" w:rsidRDefault="00B70C76" w:rsidP="006E2A27">
      <w:pPr>
        <w:spacing w:after="29"/>
        <w:rPr>
          <w:b/>
          <w:szCs w:val="20"/>
        </w:rPr>
      </w:pPr>
      <w:r w:rsidRPr="00322654">
        <w:rPr>
          <w:b/>
          <w:szCs w:val="20"/>
        </w:rPr>
        <w:t xml:space="preserve">Grazed </w:t>
      </w:r>
      <w:r w:rsidR="00F17900" w:rsidRPr="00322654">
        <w:rPr>
          <w:b/>
          <w:szCs w:val="20"/>
        </w:rPr>
        <w:t xml:space="preserve">pasture </w:t>
      </w:r>
      <w:r w:rsidR="00EF348C" w:rsidRPr="00322654">
        <w:rPr>
          <w:b/>
          <w:szCs w:val="20"/>
        </w:rPr>
        <w:t>consumed</w:t>
      </w:r>
    </w:p>
    <w:p w14:paraId="4D6191F8" w14:textId="0F7F29C0" w:rsidR="00B70C76" w:rsidRPr="00322654" w:rsidRDefault="00B70C76" w:rsidP="00B70C76">
      <w:pPr>
        <w:rPr>
          <w:szCs w:val="20"/>
        </w:rPr>
      </w:pPr>
      <w:r w:rsidRPr="00322654">
        <w:rPr>
          <w:szCs w:val="20"/>
        </w:rPr>
        <w:t xml:space="preserve">Calculated using the back-calculation approach. Grazed </w:t>
      </w:r>
      <w:r w:rsidR="00EF348C" w:rsidRPr="00322654">
        <w:rPr>
          <w:szCs w:val="20"/>
        </w:rPr>
        <w:t>pasture</w:t>
      </w:r>
      <w:r w:rsidRPr="00322654">
        <w:rPr>
          <w:szCs w:val="20"/>
        </w:rPr>
        <w:t xml:space="preserve"> is calculated as the difference between </w:t>
      </w:r>
      <w:r w:rsidR="00BF6C3A" w:rsidRPr="00322654">
        <w:rPr>
          <w:szCs w:val="20"/>
        </w:rPr>
        <w:t xml:space="preserve">the </w:t>
      </w:r>
      <w:r w:rsidRPr="00322654">
        <w:rPr>
          <w:szCs w:val="20"/>
        </w:rPr>
        <w:t xml:space="preserve">total </w:t>
      </w:r>
      <w:proofErr w:type="spellStart"/>
      <w:r w:rsidRPr="00322654">
        <w:rPr>
          <w:szCs w:val="20"/>
        </w:rPr>
        <w:t>metabolisable</w:t>
      </w:r>
      <w:proofErr w:type="spellEnd"/>
      <w:r w:rsidRPr="00322654">
        <w:rPr>
          <w:szCs w:val="20"/>
        </w:rPr>
        <w:t xml:space="preserve"> energy required by livestock over the year and</w:t>
      </w:r>
      <w:r w:rsidR="00BF6C3A" w:rsidRPr="00322654">
        <w:rPr>
          <w:szCs w:val="20"/>
        </w:rPr>
        <w:t xml:space="preserve"> the</w:t>
      </w:r>
      <w:r w:rsidRPr="00322654">
        <w:rPr>
          <w:szCs w:val="20"/>
        </w:rPr>
        <w:t xml:space="preserve"> amount of </w:t>
      </w:r>
      <w:proofErr w:type="spellStart"/>
      <w:r w:rsidRPr="00322654">
        <w:rPr>
          <w:szCs w:val="20"/>
        </w:rPr>
        <w:t>metabolisable</w:t>
      </w:r>
      <w:proofErr w:type="spellEnd"/>
      <w:r w:rsidRPr="00322654">
        <w:rPr>
          <w:szCs w:val="20"/>
        </w:rPr>
        <w:t xml:space="preserve"> energy consumed from other sources (hay, silage, grain</w:t>
      </w:r>
      <w:r w:rsidR="45DF3AE2" w:rsidRPr="00322654">
        <w:rPr>
          <w:szCs w:val="20"/>
        </w:rPr>
        <w:t>,</w:t>
      </w:r>
      <w:r w:rsidRPr="00322654">
        <w:rPr>
          <w:szCs w:val="20"/>
        </w:rPr>
        <w:t xml:space="preserve"> and concentrates). </w:t>
      </w:r>
    </w:p>
    <w:p w14:paraId="3329A492" w14:textId="5DA6B89D" w:rsidR="00B70C76" w:rsidRPr="00322654" w:rsidRDefault="00CB63F2" w:rsidP="00B70C76">
      <w:pPr>
        <w:rPr>
          <w:szCs w:val="20"/>
        </w:rPr>
      </w:pPr>
      <w:r w:rsidRPr="00322654">
        <w:rPr>
          <w:szCs w:val="20"/>
        </w:rPr>
        <w:t xml:space="preserve">The total </w:t>
      </w:r>
      <w:proofErr w:type="spellStart"/>
      <w:r w:rsidR="00B70C76" w:rsidRPr="00322654">
        <w:rPr>
          <w:szCs w:val="20"/>
        </w:rPr>
        <w:t>metabolisable</w:t>
      </w:r>
      <w:proofErr w:type="spellEnd"/>
      <w:r w:rsidR="00B70C76" w:rsidRPr="00322654">
        <w:rPr>
          <w:szCs w:val="20"/>
        </w:rPr>
        <w:t xml:space="preserve"> energy required by livestock is a factor of age, weight, growth rate, pregnancy and lactation requirements and </w:t>
      </w:r>
      <w:r w:rsidRPr="00322654">
        <w:rPr>
          <w:szCs w:val="20"/>
        </w:rPr>
        <w:t xml:space="preserve">the </w:t>
      </w:r>
      <w:r w:rsidR="00B70C76" w:rsidRPr="00322654">
        <w:rPr>
          <w:szCs w:val="20"/>
        </w:rPr>
        <w:t xml:space="preserve">number of animals. </w:t>
      </w:r>
    </w:p>
    <w:p w14:paraId="5F9B47D5" w14:textId="217619C3" w:rsidR="00B70C76" w:rsidRPr="00322654" w:rsidRDefault="00B70C76" w:rsidP="00B70C76">
      <w:pPr>
        <w:spacing w:after="29"/>
        <w:rPr>
          <w:szCs w:val="20"/>
        </w:rPr>
      </w:pPr>
      <w:r w:rsidRPr="00322654">
        <w:rPr>
          <w:b/>
          <w:szCs w:val="20"/>
        </w:rPr>
        <w:t xml:space="preserve">Gross </w:t>
      </w:r>
      <w:r w:rsidR="003054DA" w:rsidRPr="00322654">
        <w:rPr>
          <w:b/>
          <w:szCs w:val="20"/>
        </w:rPr>
        <w:t>f</w:t>
      </w:r>
      <w:r w:rsidR="00307CD8" w:rsidRPr="00322654">
        <w:rPr>
          <w:b/>
          <w:szCs w:val="20"/>
        </w:rPr>
        <w:t xml:space="preserve">arm </w:t>
      </w:r>
      <w:r w:rsidR="003054DA" w:rsidRPr="00322654">
        <w:rPr>
          <w:b/>
          <w:szCs w:val="20"/>
        </w:rPr>
        <w:t>i</w:t>
      </w:r>
      <w:r w:rsidRPr="00322654">
        <w:rPr>
          <w:b/>
          <w:szCs w:val="20"/>
        </w:rPr>
        <w:t>ncome</w:t>
      </w:r>
    </w:p>
    <w:p w14:paraId="631FAB91" w14:textId="54F4AC14" w:rsidR="00B70C76" w:rsidRPr="00322654" w:rsidRDefault="00B70C76" w:rsidP="00B70C76">
      <w:pPr>
        <w:spacing w:after="207"/>
        <w:rPr>
          <w:szCs w:val="20"/>
        </w:rPr>
      </w:pPr>
      <w:r w:rsidRPr="00322654">
        <w:rPr>
          <w:szCs w:val="20"/>
        </w:rPr>
        <w:t>The total income</w:t>
      </w:r>
      <w:r w:rsidR="00390C01" w:rsidRPr="00322654">
        <w:rPr>
          <w:szCs w:val="20"/>
        </w:rPr>
        <w:t xml:space="preserve"> </w:t>
      </w:r>
      <w:r w:rsidRPr="00322654">
        <w:rPr>
          <w:szCs w:val="20"/>
        </w:rPr>
        <w:t>received from a farm.</w:t>
      </w:r>
      <w:r w:rsidR="00390C01" w:rsidRPr="00322654">
        <w:rPr>
          <w:szCs w:val="20"/>
        </w:rPr>
        <w:t xml:space="preserve"> Includes </w:t>
      </w:r>
      <w:r w:rsidR="00F3089B" w:rsidRPr="00322654">
        <w:rPr>
          <w:szCs w:val="20"/>
        </w:rPr>
        <w:t xml:space="preserve">all </w:t>
      </w:r>
      <w:r w:rsidR="00390C01" w:rsidRPr="00322654">
        <w:rPr>
          <w:szCs w:val="20"/>
        </w:rPr>
        <w:t>cash receipts and the value of changes in stock</w:t>
      </w:r>
      <w:r w:rsidR="0027260A" w:rsidRPr="00322654">
        <w:rPr>
          <w:szCs w:val="20"/>
        </w:rPr>
        <w:t xml:space="preserve">, feed, and wool </w:t>
      </w:r>
      <w:r w:rsidR="00390C01" w:rsidRPr="00322654">
        <w:rPr>
          <w:szCs w:val="20"/>
        </w:rPr>
        <w:t>inventory</w:t>
      </w:r>
      <w:r w:rsidR="00F3089B" w:rsidRPr="00322654">
        <w:rPr>
          <w:szCs w:val="20"/>
        </w:rPr>
        <w:t>.</w:t>
      </w:r>
      <w:r w:rsidR="00390C01" w:rsidRPr="00322654">
        <w:rPr>
          <w:szCs w:val="20"/>
        </w:rPr>
        <w:t xml:space="preserve"> </w:t>
      </w:r>
    </w:p>
    <w:p w14:paraId="5105B6D0" w14:textId="77777777" w:rsidR="00B70C76" w:rsidRPr="00322654" w:rsidRDefault="00B70C76" w:rsidP="00B70C76">
      <w:pPr>
        <w:spacing w:after="29"/>
        <w:rPr>
          <w:szCs w:val="20"/>
        </w:rPr>
      </w:pPr>
      <w:r w:rsidRPr="00322654">
        <w:rPr>
          <w:b/>
          <w:szCs w:val="20"/>
        </w:rPr>
        <w:t xml:space="preserve">Gross margin </w:t>
      </w:r>
    </w:p>
    <w:p w14:paraId="63431AEF" w14:textId="6D7F3019" w:rsidR="00B70C76" w:rsidRPr="00322654" w:rsidRDefault="006A2FD4" w:rsidP="00B70C76">
      <w:pPr>
        <w:spacing w:after="200"/>
        <w:rPr>
          <w:szCs w:val="20"/>
        </w:rPr>
      </w:pPr>
      <w:r w:rsidRPr="00322654">
        <w:rPr>
          <w:szCs w:val="20"/>
        </w:rPr>
        <w:t>Enterprise income</w:t>
      </w:r>
      <w:r w:rsidR="00B70C76" w:rsidRPr="00322654">
        <w:rPr>
          <w:szCs w:val="20"/>
        </w:rPr>
        <w:t xml:space="preserve"> minus </w:t>
      </w:r>
      <w:r w:rsidRPr="00322654">
        <w:rPr>
          <w:szCs w:val="20"/>
        </w:rPr>
        <w:t>enterprise</w:t>
      </w:r>
      <w:r w:rsidR="00B70C76" w:rsidRPr="00322654">
        <w:rPr>
          <w:szCs w:val="20"/>
        </w:rPr>
        <w:t xml:space="preserve"> variable costs.</w:t>
      </w:r>
    </w:p>
    <w:p w14:paraId="5989261D" w14:textId="77777777" w:rsidR="00041712" w:rsidRPr="00322654" w:rsidRDefault="00041712" w:rsidP="00041712">
      <w:pPr>
        <w:spacing w:after="29"/>
        <w:rPr>
          <w:szCs w:val="20"/>
        </w:rPr>
      </w:pPr>
      <w:r w:rsidRPr="00322654">
        <w:rPr>
          <w:b/>
          <w:szCs w:val="20"/>
        </w:rPr>
        <w:t>Imputed</w:t>
      </w:r>
    </w:p>
    <w:p w14:paraId="7D87FE33" w14:textId="327A08ED" w:rsidR="00041712" w:rsidRPr="00322654" w:rsidRDefault="00041712" w:rsidP="00041712">
      <w:pPr>
        <w:rPr>
          <w:szCs w:val="20"/>
        </w:rPr>
      </w:pPr>
      <w:r w:rsidRPr="00322654">
        <w:rPr>
          <w:szCs w:val="20"/>
        </w:rPr>
        <w:t>An estimated amount</w:t>
      </w:r>
      <w:r w:rsidR="00CB63F2" w:rsidRPr="00322654">
        <w:rPr>
          <w:szCs w:val="20"/>
        </w:rPr>
        <w:t xml:space="preserve"> is</w:t>
      </w:r>
      <w:r w:rsidRPr="00322654">
        <w:rPr>
          <w:szCs w:val="20"/>
        </w:rPr>
        <w:t xml:space="preserve"> introduced into economic management analysis to allow reasonable comparisons between years and between other businesses.</w:t>
      </w:r>
    </w:p>
    <w:p w14:paraId="652FD84C" w14:textId="77777777" w:rsidR="00041712" w:rsidRPr="00322654" w:rsidRDefault="00041712" w:rsidP="00041712">
      <w:pPr>
        <w:spacing w:after="29"/>
        <w:rPr>
          <w:szCs w:val="20"/>
        </w:rPr>
      </w:pPr>
      <w:r w:rsidRPr="00322654">
        <w:rPr>
          <w:b/>
          <w:szCs w:val="20"/>
        </w:rPr>
        <w:t>Interest and lease costs</w:t>
      </w:r>
    </w:p>
    <w:p w14:paraId="7789B97E" w14:textId="5C7899B0" w:rsidR="00041712" w:rsidRPr="00322654" w:rsidRDefault="00041712" w:rsidP="00041712">
      <w:pPr>
        <w:spacing w:after="200"/>
        <w:rPr>
          <w:szCs w:val="20"/>
        </w:rPr>
      </w:pPr>
      <w:r w:rsidRPr="00322654">
        <w:rPr>
          <w:szCs w:val="20"/>
        </w:rPr>
        <w:t xml:space="preserve">Total interest plus total lease costs paid. Also known as </w:t>
      </w:r>
      <w:r w:rsidR="0040067F" w:rsidRPr="00322654">
        <w:rPr>
          <w:szCs w:val="20"/>
        </w:rPr>
        <w:t>‘</w:t>
      </w:r>
      <w:r w:rsidRPr="00322654">
        <w:rPr>
          <w:szCs w:val="20"/>
        </w:rPr>
        <w:t xml:space="preserve">finance </w:t>
      </w:r>
      <w:proofErr w:type="gramStart"/>
      <w:r w:rsidRPr="00322654">
        <w:rPr>
          <w:szCs w:val="20"/>
        </w:rPr>
        <w:t>cost</w:t>
      </w:r>
      <w:r w:rsidR="327C5DAF" w:rsidRPr="00322654">
        <w:rPr>
          <w:szCs w:val="20"/>
        </w:rPr>
        <w:t>s</w:t>
      </w:r>
      <w:r w:rsidR="0024144A" w:rsidRPr="00322654">
        <w:rPr>
          <w:szCs w:val="20"/>
        </w:rPr>
        <w:t>’</w:t>
      </w:r>
      <w:proofErr w:type="gramEnd"/>
      <w:r w:rsidR="007C5E5A" w:rsidRPr="00322654">
        <w:rPr>
          <w:szCs w:val="20"/>
        </w:rPr>
        <w:t>.</w:t>
      </w:r>
    </w:p>
    <w:p w14:paraId="4998C4E4" w14:textId="77777777" w:rsidR="007D2274" w:rsidRPr="00322654" w:rsidRDefault="007D2274" w:rsidP="00041712">
      <w:pPr>
        <w:spacing w:after="200"/>
        <w:rPr>
          <w:szCs w:val="20"/>
        </w:rPr>
      </w:pPr>
      <w:r w:rsidRPr="00322654">
        <w:rPr>
          <w:b/>
          <w:bCs/>
          <w:szCs w:val="20"/>
        </w:rPr>
        <w:t>Interest cost ratio</w:t>
      </w:r>
      <w:r w:rsidRPr="00322654">
        <w:rPr>
          <w:szCs w:val="20"/>
        </w:rPr>
        <w:t xml:space="preserve"> </w:t>
      </w:r>
    </w:p>
    <w:p w14:paraId="3ABBAA2F" w14:textId="6CE69106" w:rsidR="00B779AD" w:rsidRPr="00322654" w:rsidRDefault="00D943BE" w:rsidP="00041712">
      <w:pPr>
        <w:spacing w:after="200"/>
        <w:rPr>
          <w:szCs w:val="20"/>
        </w:rPr>
      </w:pPr>
      <w:r w:rsidRPr="00322654">
        <w:rPr>
          <w:szCs w:val="20"/>
        </w:rPr>
        <w:lastRenderedPageBreak/>
        <w:t>M</w:t>
      </w:r>
      <w:r w:rsidR="007D2274" w:rsidRPr="00322654">
        <w:rPr>
          <w:szCs w:val="20"/>
        </w:rPr>
        <w:t>easures the proportion of total income used to pay interest costs. It is calculated as total interest costs divided by cash farm income. Eg An interest cost ratio of 0.09 means 9 cents out of every dollar of income (or 9%) went to paying interest costs.</w:t>
      </w:r>
    </w:p>
    <w:p w14:paraId="799E0776" w14:textId="77777777" w:rsidR="00041712" w:rsidRPr="00322654" w:rsidRDefault="00041712" w:rsidP="00041712">
      <w:pPr>
        <w:spacing w:after="29"/>
        <w:rPr>
          <w:szCs w:val="20"/>
        </w:rPr>
      </w:pPr>
      <w:r w:rsidRPr="00322654">
        <w:rPr>
          <w:b/>
          <w:szCs w:val="20"/>
        </w:rPr>
        <w:t>Liability</w:t>
      </w:r>
    </w:p>
    <w:p w14:paraId="4BBC5BD7" w14:textId="45D10098" w:rsidR="00BC6C55" w:rsidRPr="00322654" w:rsidRDefault="00041712" w:rsidP="008E00AE">
      <w:pPr>
        <w:spacing w:after="207"/>
        <w:rPr>
          <w:szCs w:val="20"/>
        </w:rPr>
      </w:pPr>
      <w:r w:rsidRPr="00322654">
        <w:rPr>
          <w:szCs w:val="20"/>
        </w:rPr>
        <w:t xml:space="preserve">Money owed to someone else, </w:t>
      </w:r>
      <w:r w:rsidR="00F67FEA" w:rsidRPr="00322654">
        <w:rPr>
          <w:szCs w:val="20"/>
        </w:rPr>
        <w:t>e.g.,</w:t>
      </w:r>
      <w:r w:rsidRPr="00322654">
        <w:rPr>
          <w:szCs w:val="20"/>
        </w:rPr>
        <w:t xml:space="preserve"> family or a financial institution. </w:t>
      </w:r>
    </w:p>
    <w:p w14:paraId="658189DE" w14:textId="54834A0B" w:rsidR="00041712" w:rsidRPr="00322654" w:rsidRDefault="00041712" w:rsidP="00041712">
      <w:pPr>
        <w:spacing w:after="29"/>
        <w:rPr>
          <w:szCs w:val="20"/>
        </w:rPr>
      </w:pPr>
      <w:r w:rsidRPr="00322654">
        <w:rPr>
          <w:b/>
          <w:szCs w:val="20"/>
        </w:rPr>
        <w:t>Livestock trading profit</w:t>
      </w:r>
    </w:p>
    <w:p w14:paraId="35930462" w14:textId="264DB018" w:rsidR="00041712" w:rsidRPr="00322654" w:rsidRDefault="00041712" w:rsidP="00041712">
      <w:pPr>
        <w:spacing w:after="207"/>
        <w:rPr>
          <w:szCs w:val="20"/>
        </w:rPr>
      </w:pPr>
      <w:r w:rsidRPr="00322654">
        <w:rPr>
          <w:szCs w:val="20"/>
        </w:rPr>
        <w:t xml:space="preserve">An estimate of the annual contribution to gross farm income by accounting for the changes in the number and value of livestock during the year. It is calculated as the trading income from sales minus purchases, plus changes in the value and number of livestock on hand at the start and end of the year, and accounting for births and deaths. An increase in livestock trading indicates there was an appreciation </w:t>
      </w:r>
      <w:r w:rsidR="00F91275" w:rsidRPr="00322654">
        <w:rPr>
          <w:szCs w:val="20"/>
        </w:rPr>
        <w:t xml:space="preserve">in the value </w:t>
      </w:r>
      <w:r w:rsidRPr="00322654">
        <w:rPr>
          <w:szCs w:val="20"/>
        </w:rPr>
        <w:t xml:space="preserve">of livestock </w:t>
      </w:r>
      <w:r w:rsidR="00F91275" w:rsidRPr="00322654">
        <w:rPr>
          <w:szCs w:val="20"/>
        </w:rPr>
        <w:t xml:space="preserve">per head </w:t>
      </w:r>
      <w:r w:rsidRPr="00322654">
        <w:rPr>
          <w:szCs w:val="20"/>
        </w:rPr>
        <w:t>or an increase in livestock numbers over the year.</w:t>
      </w:r>
    </w:p>
    <w:p w14:paraId="641BEB4E" w14:textId="709F6ED9" w:rsidR="00041712" w:rsidRPr="00322654" w:rsidRDefault="00041712" w:rsidP="32BC08B8">
      <w:pPr>
        <w:spacing w:after="29"/>
        <w:rPr>
          <w:b/>
          <w:bCs/>
          <w:szCs w:val="20"/>
        </w:rPr>
      </w:pPr>
      <w:proofErr w:type="spellStart"/>
      <w:r w:rsidRPr="00322654">
        <w:rPr>
          <w:b/>
          <w:bCs/>
          <w:szCs w:val="20"/>
        </w:rPr>
        <w:t>Me</w:t>
      </w:r>
      <w:r w:rsidR="00786081" w:rsidRPr="00322654">
        <w:rPr>
          <w:b/>
          <w:bCs/>
          <w:szCs w:val="20"/>
        </w:rPr>
        <w:t>tabolis</w:t>
      </w:r>
      <w:r w:rsidR="38C13BDB" w:rsidRPr="00322654">
        <w:rPr>
          <w:b/>
          <w:bCs/>
          <w:szCs w:val="20"/>
        </w:rPr>
        <w:t>a</w:t>
      </w:r>
      <w:r w:rsidR="00786081" w:rsidRPr="00322654">
        <w:rPr>
          <w:b/>
          <w:bCs/>
          <w:szCs w:val="20"/>
        </w:rPr>
        <w:t>ble</w:t>
      </w:r>
      <w:proofErr w:type="spellEnd"/>
      <w:r w:rsidR="00786081" w:rsidRPr="00322654">
        <w:rPr>
          <w:b/>
          <w:bCs/>
          <w:szCs w:val="20"/>
        </w:rPr>
        <w:t xml:space="preserve"> energy (ME)</w:t>
      </w:r>
    </w:p>
    <w:p w14:paraId="27A9DE0F" w14:textId="5D281670" w:rsidR="00041712" w:rsidRPr="00322654" w:rsidRDefault="00786081" w:rsidP="006E2A27">
      <w:pPr>
        <w:spacing w:after="207"/>
        <w:rPr>
          <w:szCs w:val="20"/>
        </w:rPr>
      </w:pPr>
      <w:r w:rsidRPr="00322654">
        <w:rPr>
          <w:bCs/>
          <w:szCs w:val="20"/>
        </w:rPr>
        <w:t xml:space="preserve">The energy available for use by the </w:t>
      </w:r>
      <w:r w:rsidR="000A15D9" w:rsidRPr="00322654">
        <w:rPr>
          <w:bCs/>
          <w:szCs w:val="20"/>
        </w:rPr>
        <w:t>animal</w:t>
      </w:r>
      <w:r w:rsidR="00540905" w:rsidRPr="00322654">
        <w:rPr>
          <w:bCs/>
          <w:szCs w:val="20"/>
        </w:rPr>
        <w:t>.</w:t>
      </w:r>
      <w:r w:rsidRPr="00322654">
        <w:rPr>
          <w:bCs/>
          <w:szCs w:val="20"/>
        </w:rPr>
        <w:t xml:space="preserve"> </w:t>
      </w:r>
      <w:r w:rsidR="00540905" w:rsidRPr="00322654">
        <w:rPr>
          <w:bCs/>
          <w:szCs w:val="20"/>
        </w:rPr>
        <w:t>I</w:t>
      </w:r>
      <w:r w:rsidRPr="00322654">
        <w:rPr>
          <w:bCs/>
          <w:szCs w:val="20"/>
        </w:rPr>
        <w:t>t is the energy used for maintenance of body systems, activity, milk production, pregnancy and weight gain</w:t>
      </w:r>
      <w:r w:rsidR="00540905" w:rsidRPr="00322654">
        <w:rPr>
          <w:bCs/>
          <w:szCs w:val="20"/>
        </w:rPr>
        <w:t xml:space="preserve">. </w:t>
      </w:r>
      <w:proofErr w:type="spellStart"/>
      <w:r w:rsidR="007E6F2C" w:rsidRPr="00322654">
        <w:rPr>
          <w:bCs/>
          <w:szCs w:val="20"/>
        </w:rPr>
        <w:t>Metabolisable</w:t>
      </w:r>
      <w:proofErr w:type="spellEnd"/>
      <w:r w:rsidR="00540905" w:rsidRPr="00322654">
        <w:rPr>
          <w:bCs/>
          <w:szCs w:val="20"/>
        </w:rPr>
        <w:t xml:space="preserve"> </w:t>
      </w:r>
      <w:r w:rsidR="007E6F2C" w:rsidRPr="00322654">
        <w:rPr>
          <w:bCs/>
          <w:szCs w:val="20"/>
        </w:rPr>
        <w:t>is</w:t>
      </w:r>
      <w:r w:rsidR="00540905" w:rsidRPr="00322654">
        <w:rPr>
          <w:bCs/>
          <w:szCs w:val="20"/>
        </w:rPr>
        <w:t xml:space="preserve"> net of</w:t>
      </w:r>
      <w:r w:rsidR="00C109B0" w:rsidRPr="00322654">
        <w:rPr>
          <w:bCs/>
          <w:szCs w:val="20"/>
        </w:rPr>
        <w:t xml:space="preserve"> energy lost in the form of urine and methane gas </w:t>
      </w:r>
      <w:r w:rsidR="00C109B0" w:rsidRPr="00322654">
        <w:rPr>
          <w:szCs w:val="20"/>
        </w:rPr>
        <w:t>released by rumen and hind</w:t>
      </w:r>
      <w:r w:rsidR="00643F76" w:rsidRPr="00322654">
        <w:rPr>
          <w:szCs w:val="20"/>
        </w:rPr>
        <w:t>-</w:t>
      </w:r>
      <w:r w:rsidR="00C109B0" w:rsidRPr="00322654">
        <w:rPr>
          <w:szCs w:val="20"/>
        </w:rPr>
        <w:t>gut microbes</w:t>
      </w:r>
      <w:r w:rsidR="00A5146B" w:rsidRPr="00322654">
        <w:rPr>
          <w:szCs w:val="20"/>
        </w:rPr>
        <w:t>.</w:t>
      </w:r>
    </w:p>
    <w:p w14:paraId="265D0522" w14:textId="77777777" w:rsidR="00DC4BAD" w:rsidRPr="00322654" w:rsidRDefault="00DC4BAD" w:rsidP="006E2A27">
      <w:pPr>
        <w:spacing w:after="29"/>
        <w:rPr>
          <w:b/>
          <w:szCs w:val="20"/>
        </w:rPr>
      </w:pPr>
    </w:p>
    <w:p w14:paraId="3AB8A5BD" w14:textId="7250F1E6" w:rsidR="00041712" w:rsidRPr="00322654" w:rsidRDefault="00041712" w:rsidP="006E2A27">
      <w:pPr>
        <w:spacing w:after="29"/>
        <w:rPr>
          <w:b/>
          <w:szCs w:val="20"/>
        </w:rPr>
      </w:pPr>
      <w:r w:rsidRPr="00322654">
        <w:rPr>
          <w:b/>
          <w:szCs w:val="20"/>
        </w:rPr>
        <w:t>Net farm income</w:t>
      </w:r>
    </w:p>
    <w:p w14:paraId="58BB17A7" w14:textId="77777777" w:rsidR="00041712" w:rsidRPr="00322654" w:rsidRDefault="00041712" w:rsidP="00041712">
      <w:pPr>
        <w:spacing w:after="207"/>
        <w:rPr>
          <w:szCs w:val="20"/>
        </w:rPr>
      </w:pPr>
      <w:r w:rsidRPr="00322654">
        <w:rPr>
          <w:szCs w:val="20"/>
        </w:rPr>
        <w:t xml:space="preserve">Earnings before interest and tax (EBIT) minus interest and lease costs. The amount of profit available for capital investment, loan principal repayments and tax. </w:t>
      </w:r>
    </w:p>
    <w:p w14:paraId="1C875343" w14:textId="77777777" w:rsidR="00041712" w:rsidRPr="00322654" w:rsidRDefault="00041712" w:rsidP="00041712">
      <w:pPr>
        <w:spacing w:after="29"/>
        <w:rPr>
          <w:szCs w:val="20"/>
        </w:rPr>
      </w:pPr>
      <w:r w:rsidRPr="00322654">
        <w:rPr>
          <w:b/>
          <w:szCs w:val="20"/>
        </w:rPr>
        <w:t>Nominal terms</w:t>
      </w:r>
    </w:p>
    <w:p w14:paraId="6C670B6E" w14:textId="0D362D33" w:rsidR="006A355B" w:rsidRPr="00322654" w:rsidRDefault="006A355B" w:rsidP="00041712">
      <w:pPr>
        <w:spacing w:after="207"/>
        <w:rPr>
          <w:szCs w:val="20"/>
        </w:rPr>
      </w:pPr>
      <w:r w:rsidRPr="00322654">
        <w:rPr>
          <w:szCs w:val="20"/>
        </w:rPr>
        <w:t>Dollar values that have no inflation component.</w:t>
      </w:r>
    </w:p>
    <w:p w14:paraId="206D26B5" w14:textId="77777777" w:rsidR="00B70C76" w:rsidRPr="00322654" w:rsidRDefault="00B70C76" w:rsidP="00B70C76">
      <w:pPr>
        <w:spacing w:after="29"/>
        <w:rPr>
          <w:szCs w:val="20"/>
        </w:rPr>
      </w:pPr>
      <w:r w:rsidRPr="00322654">
        <w:rPr>
          <w:b/>
          <w:szCs w:val="20"/>
        </w:rPr>
        <w:t>Livestock costs</w:t>
      </w:r>
    </w:p>
    <w:p w14:paraId="1672A61A" w14:textId="19344F8C" w:rsidR="00B70C76" w:rsidRPr="00322654" w:rsidRDefault="00B70C76" w:rsidP="00B70C76">
      <w:pPr>
        <w:spacing w:after="207"/>
        <w:rPr>
          <w:szCs w:val="20"/>
        </w:rPr>
      </w:pPr>
      <w:r w:rsidRPr="00322654">
        <w:rPr>
          <w:szCs w:val="20"/>
        </w:rPr>
        <w:t>All expenses relating to assisting with herd and flock management. Includes animal health costs and shearing contractors.</w:t>
      </w:r>
    </w:p>
    <w:p w14:paraId="08C39618" w14:textId="0409914D" w:rsidR="00B70C76" w:rsidRPr="00322654" w:rsidRDefault="00B70C76" w:rsidP="00B70C76">
      <w:pPr>
        <w:spacing w:after="207"/>
        <w:rPr>
          <w:b/>
          <w:bCs/>
          <w:szCs w:val="20"/>
        </w:rPr>
      </w:pPr>
      <w:r w:rsidRPr="00322654">
        <w:rPr>
          <w:b/>
          <w:bCs/>
          <w:szCs w:val="20"/>
        </w:rPr>
        <w:t xml:space="preserve">Livestock </w:t>
      </w:r>
      <w:r w:rsidR="00613D9F" w:rsidRPr="00322654">
        <w:rPr>
          <w:b/>
          <w:bCs/>
          <w:szCs w:val="20"/>
        </w:rPr>
        <w:t>m</w:t>
      </w:r>
      <w:r w:rsidRPr="00322654">
        <w:rPr>
          <w:b/>
          <w:bCs/>
          <w:szCs w:val="20"/>
        </w:rPr>
        <w:t xml:space="preserve">arketing </w:t>
      </w:r>
      <w:r w:rsidR="00613D9F" w:rsidRPr="00322654">
        <w:rPr>
          <w:b/>
          <w:bCs/>
          <w:szCs w:val="20"/>
        </w:rPr>
        <w:t>c</w:t>
      </w:r>
      <w:r w:rsidRPr="00322654">
        <w:rPr>
          <w:b/>
          <w:bCs/>
          <w:szCs w:val="20"/>
        </w:rPr>
        <w:t>osts</w:t>
      </w:r>
      <w:r w:rsidRPr="00322654">
        <w:rPr>
          <w:b/>
          <w:bCs/>
          <w:szCs w:val="20"/>
        </w:rPr>
        <w:br/>
      </w:r>
      <w:r w:rsidRPr="00322654">
        <w:rPr>
          <w:szCs w:val="20"/>
        </w:rPr>
        <w:t>All costs associated with buying and selling livestock including freight and cartage.</w:t>
      </w:r>
    </w:p>
    <w:p w14:paraId="66567040" w14:textId="79BC3C15" w:rsidR="00433C8A" w:rsidRPr="00322654" w:rsidRDefault="00433C8A" w:rsidP="002C053D">
      <w:pPr>
        <w:spacing w:after="207"/>
        <w:rPr>
          <w:szCs w:val="20"/>
        </w:rPr>
      </w:pPr>
      <w:r w:rsidRPr="00322654">
        <w:rPr>
          <w:b/>
          <w:bCs/>
          <w:szCs w:val="20"/>
        </w:rPr>
        <w:t>Operating costs</w:t>
      </w:r>
      <w:r w:rsidRPr="00322654">
        <w:rPr>
          <w:b/>
          <w:bCs/>
          <w:szCs w:val="20"/>
        </w:rPr>
        <w:br/>
      </w:r>
      <w:r w:rsidR="00002BC6" w:rsidRPr="00322654">
        <w:rPr>
          <w:szCs w:val="20"/>
        </w:rPr>
        <w:t xml:space="preserve">Overhead and </w:t>
      </w:r>
      <w:r w:rsidR="00667115" w:rsidRPr="00322654">
        <w:rPr>
          <w:szCs w:val="20"/>
        </w:rPr>
        <w:t>v</w:t>
      </w:r>
      <w:r w:rsidR="00002BC6" w:rsidRPr="00322654">
        <w:rPr>
          <w:szCs w:val="20"/>
        </w:rPr>
        <w:t>ariable costs</w:t>
      </w:r>
      <w:r w:rsidR="008B03D2" w:rsidRPr="00322654">
        <w:rPr>
          <w:szCs w:val="20"/>
        </w:rPr>
        <w:t>,</w:t>
      </w:r>
      <w:r w:rsidR="00002BC6" w:rsidRPr="00322654">
        <w:rPr>
          <w:szCs w:val="20"/>
        </w:rPr>
        <w:t xml:space="preserve"> </w:t>
      </w:r>
      <w:r w:rsidR="00F67FEA" w:rsidRPr="00322654">
        <w:rPr>
          <w:szCs w:val="20"/>
        </w:rPr>
        <w:t>i.e.,</w:t>
      </w:r>
      <w:r w:rsidR="00667115" w:rsidRPr="00322654">
        <w:rPr>
          <w:szCs w:val="20"/>
        </w:rPr>
        <w:t xml:space="preserve"> </w:t>
      </w:r>
      <w:r w:rsidR="008B03D2" w:rsidRPr="00322654">
        <w:rPr>
          <w:szCs w:val="20"/>
        </w:rPr>
        <w:t>t</w:t>
      </w:r>
      <w:r w:rsidR="00667115" w:rsidRPr="00322654">
        <w:rPr>
          <w:szCs w:val="20"/>
        </w:rPr>
        <w:t>he</w:t>
      </w:r>
      <w:r w:rsidR="003D1339" w:rsidRPr="00322654">
        <w:rPr>
          <w:szCs w:val="20"/>
        </w:rPr>
        <w:t xml:space="preserve"> </w:t>
      </w:r>
      <w:r w:rsidR="00667115" w:rsidRPr="00322654">
        <w:rPr>
          <w:szCs w:val="20"/>
        </w:rPr>
        <w:t>c</w:t>
      </w:r>
      <w:r w:rsidR="000A5B17" w:rsidRPr="00322654">
        <w:rPr>
          <w:szCs w:val="20"/>
        </w:rPr>
        <w:t>osts associated with the</w:t>
      </w:r>
      <w:r w:rsidR="00667115" w:rsidRPr="00322654">
        <w:rPr>
          <w:szCs w:val="20"/>
        </w:rPr>
        <w:t xml:space="preserve"> annual</w:t>
      </w:r>
      <w:r w:rsidR="000A5B17" w:rsidRPr="00322654">
        <w:rPr>
          <w:szCs w:val="20"/>
        </w:rPr>
        <w:t xml:space="preserve"> operation of the</w:t>
      </w:r>
      <w:r w:rsidR="00002BC6" w:rsidRPr="00322654">
        <w:rPr>
          <w:szCs w:val="20"/>
        </w:rPr>
        <w:t xml:space="preserve"> farm. </w:t>
      </w:r>
    </w:p>
    <w:p w14:paraId="6EAABE90" w14:textId="77777777" w:rsidR="000D6CFB" w:rsidRPr="00322654" w:rsidRDefault="000D6CFB" w:rsidP="000D6CFB">
      <w:pPr>
        <w:spacing w:after="29"/>
        <w:rPr>
          <w:szCs w:val="20"/>
        </w:rPr>
      </w:pPr>
      <w:r w:rsidRPr="00322654">
        <w:rPr>
          <w:b/>
          <w:szCs w:val="20"/>
        </w:rPr>
        <w:t>Overhead costs</w:t>
      </w:r>
    </w:p>
    <w:p w14:paraId="275D7B6C" w14:textId="3A3F6942" w:rsidR="000D6CFB" w:rsidRPr="00322654" w:rsidRDefault="000D6CFB" w:rsidP="000D6CFB">
      <w:pPr>
        <w:spacing w:after="207"/>
        <w:rPr>
          <w:szCs w:val="20"/>
        </w:rPr>
      </w:pPr>
      <w:r w:rsidRPr="00322654">
        <w:rPr>
          <w:szCs w:val="20"/>
        </w:rPr>
        <w:t>All fixed costs incurred by the farm business that do not vary with the level of production. These include cash overhead costs such as permanent labour and noncash costs such as owner-operator labour, family labour and depreciation of plant and equipment. It excludes interest, lease costs, capital expenditure, principal repayments, drawings</w:t>
      </w:r>
      <w:r w:rsidR="500FF8C0" w:rsidRPr="00322654">
        <w:rPr>
          <w:szCs w:val="20"/>
        </w:rPr>
        <w:t>,</w:t>
      </w:r>
      <w:r w:rsidRPr="00322654">
        <w:rPr>
          <w:szCs w:val="20"/>
        </w:rPr>
        <w:t xml:space="preserve"> and tax.</w:t>
      </w:r>
    </w:p>
    <w:p w14:paraId="58949AFC" w14:textId="28090342" w:rsidR="00C53C29" w:rsidRPr="00322654" w:rsidRDefault="00C53C29" w:rsidP="00C53C29">
      <w:pPr>
        <w:spacing w:after="207"/>
        <w:rPr>
          <w:szCs w:val="20"/>
        </w:rPr>
      </w:pPr>
      <w:r w:rsidRPr="00322654">
        <w:rPr>
          <w:b/>
          <w:bCs/>
          <w:szCs w:val="20"/>
        </w:rPr>
        <w:t>Overhead cost ratio</w:t>
      </w:r>
      <w:r w:rsidRPr="00322654">
        <w:rPr>
          <w:szCs w:val="20"/>
        </w:rPr>
        <w:t xml:space="preserve"> </w:t>
      </w:r>
    </w:p>
    <w:p w14:paraId="295BBC9C" w14:textId="64567D20" w:rsidR="00C53C29" w:rsidRPr="00322654" w:rsidRDefault="00D943BE" w:rsidP="000D6CFB">
      <w:pPr>
        <w:spacing w:after="207"/>
        <w:rPr>
          <w:szCs w:val="20"/>
        </w:rPr>
      </w:pPr>
      <w:r w:rsidRPr="00322654">
        <w:rPr>
          <w:szCs w:val="20"/>
        </w:rPr>
        <w:t>M</w:t>
      </w:r>
      <w:r w:rsidR="00C53C29" w:rsidRPr="00322654">
        <w:rPr>
          <w:szCs w:val="20"/>
        </w:rPr>
        <w:t>easures the proportion of total income used to pay overhead costs. It is calculated as total overhead costs divided by gross farm income. Eg An overhead cost ratio of 0.5 means 50 cents out of every dollar of income (or 50%) went to paying overhead costs.</w:t>
      </w:r>
    </w:p>
    <w:p w14:paraId="15FF2C29" w14:textId="3C6594D4" w:rsidR="00101373" w:rsidRPr="00322654" w:rsidRDefault="00101373" w:rsidP="00101373">
      <w:pPr>
        <w:spacing w:after="29"/>
        <w:rPr>
          <w:szCs w:val="20"/>
        </w:rPr>
      </w:pPr>
      <w:r w:rsidRPr="00322654">
        <w:rPr>
          <w:b/>
          <w:szCs w:val="20"/>
        </w:rPr>
        <w:t>Owner/Operator labour</w:t>
      </w:r>
    </w:p>
    <w:p w14:paraId="794DE560" w14:textId="7D64AAC1" w:rsidR="00101373" w:rsidRPr="00322654" w:rsidRDefault="00101373" w:rsidP="00101373">
      <w:pPr>
        <w:spacing w:after="207"/>
        <w:rPr>
          <w:szCs w:val="20"/>
        </w:rPr>
      </w:pPr>
      <w:r w:rsidRPr="00322654">
        <w:rPr>
          <w:szCs w:val="20"/>
        </w:rPr>
        <w:t xml:space="preserve">Staff members (such as </w:t>
      </w:r>
      <w:r w:rsidR="003C7726" w:rsidRPr="00322654">
        <w:rPr>
          <w:szCs w:val="20"/>
        </w:rPr>
        <w:t>f</w:t>
      </w:r>
      <w:r w:rsidRPr="00322654">
        <w:rPr>
          <w:szCs w:val="20"/>
        </w:rPr>
        <w:t>amily) that take income from business drawings rather than wages. The operators</w:t>
      </w:r>
      <w:r w:rsidR="00545711" w:rsidRPr="00322654">
        <w:rPr>
          <w:szCs w:val="20"/>
        </w:rPr>
        <w:t>’</w:t>
      </w:r>
      <w:r w:rsidRPr="00322654">
        <w:rPr>
          <w:szCs w:val="20"/>
        </w:rPr>
        <w:t xml:space="preserve"> labour and management are an input to make a profit and so these must be costed and deducted to estimate the true profit and return to the capital in the business. </w:t>
      </w:r>
    </w:p>
    <w:p w14:paraId="1B3AA883" w14:textId="2F3EA26C" w:rsidR="00177EE7" w:rsidRPr="00322654" w:rsidRDefault="002C053D" w:rsidP="00667115">
      <w:pPr>
        <w:spacing w:after="207"/>
        <w:rPr>
          <w:szCs w:val="20"/>
        </w:rPr>
      </w:pPr>
      <w:r w:rsidRPr="00322654">
        <w:rPr>
          <w:b/>
          <w:bCs/>
          <w:szCs w:val="20"/>
        </w:rPr>
        <w:t>Pasture costs</w:t>
      </w:r>
      <w:r w:rsidRPr="00322654">
        <w:rPr>
          <w:b/>
          <w:bCs/>
          <w:szCs w:val="20"/>
        </w:rPr>
        <w:br/>
      </w:r>
      <w:r w:rsidRPr="00322654">
        <w:rPr>
          <w:szCs w:val="20"/>
        </w:rPr>
        <w:t>All costs associated with growing pasture including fertiliser, seed and chemical</w:t>
      </w:r>
      <w:r w:rsidR="00C8202A" w:rsidRPr="00322654">
        <w:rPr>
          <w:szCs w:val="20"/>
        </w:rPr>
        <w:t>s</w:t>
      </w:r>
      <w:r w:rsidRPr="00322654">
        <w:rPr>
          <w:szCs w:val="20"/>
        </w:rPr>
        <w:t>.</w:t>
      </w:r>
    </w:p>
    <w:p w14:paraId="68184E99" w14:textId="7E424AE7" w:rsidR="00113297" w:rsidRPr="00322654" w:rsidRDefault="00113297" w:rsidP="00113297">
      <w:pPr>
        <w:spacing w:after="207"/>
        <w:rPr>
          <w:szCs w:val="20"/>
        </w:rPr>
      </w:pPr>
      <w:r w:rsidRPr="00322654">
        <w:rPr>
          <w:b/>
          <w:bCs/>
          <w:szCs w:val="20"/>
        </w:rPr>
        <w:t xml:space="preserve">Permanent </w:t>
      </w:r>
      <w:r w:rsidR="00655FEF" w:rsidRPr="00322654">
        <w:rPr>
          <w:b/>
          <w:bCs/>
          <w:szCs w:val="20"/>
        </w:rPr>
        <w:t>l</w:t>
      </w:r>
      <w:r w:rsidRPr="00322654">
        <w:rPr>
          <w:b/>
          <w:bCs/>
          <w:szCs w:val="20"/>
        </w:rPr>
        <w:t>abour</w:t>
      </w:r>
      <w:r w:rsidRPr="00322654">
        <w:rPr>
          <w:b/>
          <w:bCs/>
          <w:szCs w:val="20"/>
        </w:rPr>
        <w:br/>
      </w:r>
      <w:r w:rsidRPr="00322654">
        <w:rPr>
          <w:szCs w:val="20"/>
        </w:rPr>
        <w:t xml:space="preserve">Farm staff who have an ongoing </w:t>
      </w:r>
      <w:r w:rsidRPr="00322654">
        <w:rPr>
          <w:szCs w:val="20"/>
        </w:rPr>
        <w:lastRenderedPageBreak/>
        <w:t xml:space="preserve">expectation of work, generally work standard or set hours, </w:t>
      </w:r>
      <w:r w:rsidR="00A90BA5" w:rsidRPr="00322654">
        <w:rPr>
          <w:szCs w:val="20"/>
        </w:rPr>
        <w:t xml:space="preserve">are </w:t>
      </w:r>
      <w:r w:rsidRPr="00322654">
        <w:rPr>
          <w:szCs w:val="20"/>
        </w:rPr>
        <w:t>entitled to paid leave and notice of termination</w:t>
      </w:r>
      <w:r w:rsidR="00E314B2" w:rsidRPr="00322654">
        <w:rPr>
          <w:szCs w:val="20"/>
        </w:rPr>
        <w:t>.</w:t>
      </w:r>
    </w:p>
    <w:p w14:paraId="2D4E5A99" w14:textId="066CB332" w:rsidR="00A03BBA" w:rsidRPr="00322654" w:rsidRDefault="00A03BBA" w:rsidP="00113297">
      <w:pPr>
        <w:spacing w:after="207"/>
        <w:rPr>
          <w:b/>
          <w:bCs/>
          <w:szCs w:val="20"/>
        </w:rPr>
      </w:pPr>
      <w:r w:rsidRPr="00322654">
        <w:rPr>
          <w:b/>
          <w:bCs/>
          <w:szCs w:val="20"/>
        </w:rPr>
        <w:t>Principle of increasing financial risk</w:t>
      </w:r>
    </w:p>
    <w:p w14:paraId="1E8A559E" w14:textId="1AFC4644" w:rsidR="00A03BBA" w:rsidRPr="00322654" w:rsidRDefault="00A03BBA" w:rsidP="00AA15AC">
      <w:pPr>
        <w:rPr>
          <w:szCs w:val="20"/>
        </w:rPr>
      </w:pPr>
      <w:r w:rsidRPr="00322654">
        <w:rPr>
          <w:szCs w:val="20"/>
        </w:rPr>
        <w:t>When a farm borrows to expand, it takes on increased financial risk. In good years, this borrowing can mean the owner’s net worth (equity) grows more quickly than not having debt. But in poor years, this borrowing can lead to equity being eroded faster than it would have grown in the good years. The rate of building equity and erosion of equity are not symmetrical, which is why the principle is called ’increasing financial risk'.</w:t>
      </w:r>
    </w:p>
    <w:p w14:paraId="2BB18DD5" w14:textId="75EE377F" w:rsidR="00462A0A" w:rsidRPr="00322654" w:rsidRDefault="00A403B2" w:rsidP="00A50700">
      <w:pPr>
        <w:spacing w:after="0" w:line="240" w:lineRule="auto"/>
        <w:rPr>
          <w:b/>
          <w:bCs/>
          <w:szCs w:val="20"/>
        </w:rPr>
      </w:pPr>
      <w:r w:rsidRPr="00322654">
        <w:rPr>
          <w:b/>
          <w:bCs/>
          <w:szCs w:val="20"/>
        </w:rPr>
        <w:t>Profit</w:t>
      </w:r>
      <w:r w:rsidR="00C8102E" w:rsidRPr="00322654">
        <w:rPr>
          <w:b/>
          <w:bCs/>
          <w:szCs w:val="20"/>
        </w:rPr>
        <w:t xml:space="preserve"> </w:t>
      </w:r>
      <w:r w:rsidR="006D2E74" w:rsidRPr="00322654">
        <w:rPr>
          <w:b/>
          <w:bCs/>
          <w:szCs w:val="20"/>
        </w:rPr>
        <w:t>(s)</w:t>
      </w:r>
      <w:r w:rsidR="00251117" w:rsidRPr="00322654">
        <w:rPr>
          <w:b/>
          <w:bCs/>
          <w:szCs w:val="20"/>
        </w:rPr>
        <w:t xml:space="preserve"> </w:t>
      </w:r>
    </w:p>
    <w:p w14:paraId="702C7AF0" w14:textId="5A2E660B" w:rsidR="00221B7F" w:rsidRPr="00322654" w:rsidRDefault="00221B7F" w:rsidP="00113297">
      <w:pPr>
        <w:spacing w:after="207"/>
        <w:rPr>
          <w:szCs w:val="20"/>
        </w:rPr>
      </w:pPr>
      <w:r w:rsidRPr="00322654">
        <w:rPr>
          <w:i/>
          <w:iCs/>
          <w:szCs w:val="20"/>
        </w:rPr>
        <w:t xml:space="preserve">See Earnings before interest </w:t>
      </w:r>
      <w:r w:rsidR="003C7726" w:rsidRPr="00322654">
        <w:rPr>
          <w:i/>
          <w:iCs/>
          <w:szCs w:val="20"/>
        </w:rPr>
        <w:t>and</w:t>
      </w:r>
      <w:r w:rsidRPr="00322654">
        <w:rPr>
          <w:i/>
          <w:iCs/>
          <w:szCs w:val="20"/>
        </w:rPr>
        <w:t xml:space="preserve"> tax (EBIT)</w:t>
      </w:r>
      <w:r w:rsidR="00BC6C55" w:rsidRPr="00322654">
        <w:rPr>
          <w:szCs w:val="20"/>
        </w:rPr>
        <w:t>.</w:t>
      </w:r>
    </w:p>
    <w:p w14:paraId="418FDC4D" w14:textId="2590D18D" w:rsidR="00B70C76" w:rsidRPr="00322654" w:rsidRDefault="00B70C76" w:rsidP="00B70C76">
      <w:pPr>
        <w:spacing w:after="29"/>
        <w:rPr>
          <w:szCs w:val="20"/>
        </w:rPr>
      </w:pPr>
      <w:r w:rsidRPr="00322654">
        <w:rPr>
          <w:b/>
          <w:szCs w:val="20"/>
        </w:rPr>
        <w:t>Real terms</w:t>
      </w:r>
    </w:p>
    <w:p w14:paraId="4703549B" w14:textId="5272946F" w:rsidR="00B70C76" w:rsidRPr="00322654" w:rsidRDefault="006A355B" w:rsidP="00B70C76">
      <w:pPr>
        <w:spacing w:after="207"/>
        <w:rPr>
          <w:szCs w:val="20"/>
        </w:rPr>
      </w:pPr>
      <w:r w:rsidRPr="00322654">
        <w:rPr>
          <w:szCs w:val="20"/>
        </w:rPr>
        <w:t xml:space="preserve">Dollar values that include an inflation component. </w:t>
      </w:r>
    </w:p>
    <w:p w14:paraId="65D1A7F5" w14:textId="650B2ED5" w:rsidR="00B70C76" w:rsidRPr="00322654" w:rsidRDefault="00B70C76" w:rsidP="00B70C76">
      <w:pPr>
        <w:spacing w:after="29"/>
        <w:rPr>
          <w:szCs w:val="20"/>
        </w:rPr>
      </w:pPr>
      <w:r w:rsidRPr="00322654">
        <w:rPr>
          <w:b/>
          <w:szCs w:val="20"/>
        </w:rPr>
        <w:t>Return on equity (</w:t>
      </w:r>
      <w:proofErr w:type="spellStart"/>
      <w:r w:rsidRPr="00322654">
        <w:rPr>
          <w:b/>
          <w:szCs w:val="20"/>
        </w:rPr>
        <w:t>R</w:t>
      </w:r>
      <w:r w:rsidR="00F85569" w:rsidRPr="00322654">
        <w:rPr>
          <w:b/>
          <w:szCs w:val="20"/>
        </w:rPr>
        <w:t>o</w:t>
      </w:r>
      <w:r w:rsidRPr="00322654">
        <w:rPr>
          <w:b/>
          <w:szCs w:val="20"/>
        </w:rPr>
        <w:t>E</w:t>
      </w:r>
      <w:proofErr w:type="spellEnd"/>
      <w:r w:rsidRPr="00322654">
        <w:rPr>
          <w:b/>
          <w:szCs w:val="20"/>
        </w:rPr>
        <w:t xml:space="preserve">) </w:t>
      </w:r>
    </w:p>
    <w:p w14:paraId="120AC7CB" w14:textId="79108508" w:rsidR="00F85569" w:rsidRPr="00322654" w:rsidRDefault="003F0B7F" w:rsidP="00B70C76">
      <w:pPr>
        <w:spacing w:after="29"/>
        <w:rPr>
          <w:szCs w:val="20"/>
        </w:rPr>
      </w:pPr>
      <w:r w:rsidRPr="00322654">
        <w:rPr>
          <w:szCs w:val="20"/>
        </w:rPr>
        <w:t>M</w:t>
      </w:r>
      <w:r w:rsidR="00E802BF" w:rsidRPr="00322654">
        <w:rPr>
          <w:szCs w:val="20"/>
        </w:rPr>
        <w:t>easures the per</w:t>
      </w:r>
      <w:r w:rsidR="0076060E" w:rsidRPr="00322654">
        <w:rPr>
          <w:szCs w:val="20"/>
        </w:rPr>
        <w:t xml:space="preserve"> </w:t>
      </w:r>
      <w:r w:rsidR="00E802BF" w:rsidRPr="00322654">
        <w:rPr>
          <w:szCs w:val="20"/>
        </w:rPr>
        <w:t>cent return to owner’s equity. ROE is calculated using your net farm income divided by the total equity (total assets minus total debt). If the farm business has no debts and no leased land, ROE will be the same as ROA</w:t>
      </w:r>
      <w:r w:rsidR="00792377" w:rsidRPr="00322654">
        <w:rPr>
          <w:szCs w:val="20"/>
        </w:rPr>
        <w:t>.</w:t>
      </w:r>
    </w:p>
    <w:p w14:paraId="2B1C57A4" w14:textId="09CC7414" w:rsidR="00B70C76" w:rsidRPr="00322654" w:rsidRDefault="00B70C76" w:rsidP="00B70C76">
      <w:pPr>
        <w:spacing w:after="29"/>
        <w:rPr>
          <w:szCs w:val="20"/>
        </w:rPr>
      </w:pPr>
      <w:r w:rsidRPr="00322654">
        <w:rPr>
          <w:b/>
          <w:szCs w:val="20"/>
        </w:rPr>
        <w:t>Return on assets (</w:t>
      </w:r>
      <w:proofErr w:type="spellStart"/>
      <w:r w:rsidRPr="00322654">
        <w:rPr>
          <w:b/>
          <w:szCs w:val="20"/>
        </w:rPr>
        <w:t>R</w:t>
      </w:r>
      <w:r w:rsidR="00F85569" w:rsidRPr="00322654">
        <w:rPr>
          <w:b/>
          <w:szCs w:val="20"/>
        </w:rPr>
        <w:t>o</w:t>
      </w:r>
      <w:r w:rsidRPr="00322654">
        <w:rPr>
          <w:b/>
          <w:szCs w:val="20"/>
        </w:rPr>
        <w:t>A</w:t>
      </w:r>
      <w:proofErr w:type="spellEnd"/>
      <w:r w:rsidRPr="00322654">
        <w:rPr>
          <w:b/>
          <w:szCs w:val="20"/>
        </w:rPr>
        <w:t xml:space="preserve">) </w:t>
      </w:r>
    </w:p>
    <w:p w14:paraId="18FD8C88" w14:textId="07B485F3" w:rsidR="00C53C29" w:rsidRPr="00322654" w:rsidRDefault="00B70C76" w:rsidP="00AA15AC">
      <w:pPr>
        <w:spacing w:after="207"/>
        <w:rPr>
          <w:b/>
          <w:szCs w:val="20"/>
        </w:rPr>
      </w:pPr>
      <w:r w:rsidRPr="00322654">
        <w:rPr>
          <w:szCs w:val="20"/>
        </w:rPr>
        <w:t>Earnings before interest and tax divided by the value of total assets under management, including owned and leased land.</w:t>
      </w:r>
    </w:p>
    <w:p w14:paraId="32FA5295" w14:textId="0BAD78BC" w:rsidR="00B70C76" w:rsidRPr="00322654" w:rsidRDefault="00554E4E" w:rsidP="00B70C76">
      <w:pPr>
        <w:spacing w:after="29"/>
        <w:rPr>
          <w:b/>
          <w:szCs w:val="20"/>
        </w:rPr>
      </w:pPr>
      <w:r w:rsidRPr="00322654">
        <w:rPr>
          <w:b/>
          <w:szCs w:val="20"/>
        </w:rPr>
        <w:t>Standard deviation</w:t>
      </w:r>
    </w:p>
    <w:p w14:paraId="483EDD98" w14:textId="32D6EC5D" w:rsidR="00B70C76" w:rsidRPr="00322654" w:rsidRDefault="00B70C76" w:rsidP="00B70C76">
      <w:pPr>
        <w:spacing w:after="29"/>
        <w:rPr>
          <w:bCs/>
          <w:szCs w:val="20"/>
        </w:rPr>
      </w:pPr>
      <w:r w:rsidRPr="00322654">
        <w:rPr>
          <w:bCs/>
          <w:szCs w:val="20"/>
        </w:rPr>
        <w:t>The standard deviation is a measure of how widely values are dispersed from the average value</w:t>
      </w:r>
      <w:r w:rsidR="00B30DB3" w:rsidRPr="00322654">
        <w:rPr>
          <w:bCs/>
          <w:szCs w:val="20"/>
        </w:rPr>
        <w:t>.</w:t>
      </w:r>
    </w:p>
    <w:p w14:paraId="6573CF0F" w14:textId="77777777" w:rsidR="00B30DB3" w:rsidRPr="00322654" w:rsidRDefault="00B30DB3" w:rsidP="00B70C76">
      <w:pPr>
        <w:spacing w:after="29"/>
        <w:rPr>
          <w:bCs/>
          <w:szCs w:val="20"/>
        </w:rPr>
      </w:pPr>
    </w:p>
    <w:p w14:paraId="458DBD14" w14:textId="0CAD467F" w:rsidR="00B70C76" w:rsidRPr="00322654" w:rsidRDefault="00B70C76" w:rsidP="00B70C76">
      <w:pPr>
        <w:spacing w:after="29"/>
        <w:rPr>
          <w:szCs w:val="20"/>
        </w:rPr>
      </w:pPr>
      <w:r w:rsidRPr="00322654">
        <w:rPr>
          <w:b/>
          <w:szCs w:val="20"/>
        </w:rPr>
        <w:t xml:space="preserve">Variable costs </w:t>
      </w:r>
    </w:p>
    <w:p w14:paraId="699B8C11" w14:textId="4544DAA6" w:rsidR="00B70C76" w:rsidRPr="00322654" w:rsidRDefault="00B70C76" w:rsidP="00B70C76">
      <w:pPr>
        <w:spacing w:after="207"/>
        <w:rPr>
          <w:szCs w:val="20"/>
        </w:rPr>
      </w:pPr>
      <w:r w:rsidRPr="00322654">
        <w:rPr>
          <w:szCs w:val="20"/>
        </w:rPr>
        <w:t>Variable costs (sometimes called direct costs) vary directly as the output of an enterprise varies</w:t>
      </w:r>
      <w:r w:rsidR="00515CB3" w:rsidRPr="00322654">
        <w:rPr>
          <w:szCs w:val="20"/>
        </w:rPr>
        <w:t>.</w:t>
      </w:r>
    </w:p>
    <w:p w14:paraId="6737E01F" w14:textId="77777777" w:rsidR="00213329" w:rsidRPr="00322654" w:rsidRDefault="00213329" w:rsidP="00213329">
      <w:pPr>
        <w:spacing w:after="207"/>
        <w:rPr>
          <w:b/>
          <w:bCs/>
          <w:szCs w:val="20"/>
        </w:rPr>
      </w:pPr>
      <w:r w:rsidRPr="00322654">
        <w:rPr>
          <w:b/>
          <w:bCs/>
          <w:szCs w:val="20"/>
        </w:rPr>
        <w:t>Variable cost ratio</w:t>
      </w:r>
    </w:p>
    <w:p w14:paraId="08927DE1" w14:textId="038DD399" w:rsidR="00213329" w:rsidRPr="00322654" w:rsidRDefault="003F0B7F" w:rsidP="00213329">
      <w:pPr>
        <w:spacing w:after="207"/>
        <w:rPr>
          <w:szCs w:val="20"/>
        </w:rPr>
      </w:pPr>
      <w:r w:rsidRPr="00322654">
        <w:rPr>
          <w:szCs w:val="20"/>
        </w:rPr>
        <w:t>M</w:t>
      </w:r>
      <w:r w:rsidR="00213329" w:rsidRPr="00322654">
        <w:rPr>
          <w:szCs w:val="20"/>
        </w:rPr>
        <w:t>easures the proportion of total income used to pay variable costs. It is calculated as total variable costs divided by gross farm income. Eg A variable cost ratio of 0.4 means 40 cents out of every dollar of income (or 40%) went to paying variable costs</w:t>
      </w:r>
    </w:p>
    <w:p w14:paraId="3F683F6D" w14:textId="77777777" w:rsidR="00213329" w:rsidRPr="00322654" w:rsidRDefault="00213329" w:rsidP="00B70C76">
      <w:pPr>
        <w:spacing w:after="207"/>
        <w:rPr>
          <w:szCs w:val="20"/>
        </w:rPr>
      </w:pPr>
    </w:p>
    <w:p w14:paraId="02390C59" w14:textId="77777777" w:rsidR="00AE424E" w:rsidRPr="0086214D" w:rsidRDefault="00AE424E">
      <w:pPr>
        <w:rPr>
          <w:rFonts w:eastAsia="VIC" w:cstheme="majorBidi"/>
          <w:b/>
          <w:bCs/>
          <w:sz w:val="36"/>
          <w:szCs w:val="36"/>
          <w:lang w:eastAsia="en-AU"/>
        </w:rPr>
      </w:pPr>
      <w:r w:rsidRPr="0086214D">
        <w:rPr>
          <w:rFonts w:eastAsia="VIC" w:cstheme="majorBidi"/>
          <w:b/>
          <w:bCs/>
          <w:sz w:val="36"/>
          <w:szCs w:val="36"/>
          <w:lang w:eastAsia="en-AU"/>
        </w:rPr>
        <w:br w:type="page"/>
      </w:r>
    </w:p>
    <w:p w14:paraId="45961779" w14:textId="7F412BC4" w:rsidR="002A753B" w:rsidRPr="0064154B" w:rsidRDefault="002A753B" w:rsidP="00B70C76">
      <w:pPr>
        <w:spacing w:after="207"/>
        <w:rPr>
          <w:rFonts w:cs="VIC-SemiBold"/>
          <w:b/>
          <w:bCs/>
          <w:color w:val="4C7329"/>
          <w:sz w:val="28"/>
          <w:szCs w:val="18"/>
          <w:lang w:val="en-US"/>
        </w:rPr>
      </w:pPr>
      <w:r w:rsidRPr="0064154B">
        <w:rPr>
          <w:rFonts w:cs="VIC-SemiBold"/>
          <w:b/>
          <w:bCs/>
          <w:color w:val="4C7329"/>
          <w:sz w:val="28"/>
          <w:szCs w:val="18"/>
          <w:lang w:val="en-US"/>
        </w:rPr>
        <w:lastRenderedPageBreak/>
        <w:t>List of abbreviations</w:t>
      </w:r>
    </w:p>
    <w:tbl>
      <w:tblPr>
        <w:tblStyle w:val="TableGrid6"/>
        <w:tblpPr w:vertAnchor="text" w:horzAnchor="margin" w:tblpYSpec="center"/>
        <w:tblOverlap w:val="never"/>
        <w:tblW w:w="4711" w:type="dxa"/>
        <w:tblInd w:w="0" w:type="dxa"/>
        <w:tblLook w:val="04A0" w:firstRow="1" w:lastRow="0" w:firstColumn="1" w:lastColumn="0" w:noHBand="0" w:noVBand="1"/>
      </w:tblPr>
      <w:tblGrid>
        <w:gridCol w:w="1120"/>
        <w:gridCol w:w="3591"/>
      </w:tblGrid>
      <w:tr w:rsidR="0086214D" w:rsidRPr="00AC1994" w14:paraId="2C4D61FF" w14:textId="77777777" w:rsidTr="0064154B">
        <w:trPr>
          <w:trHeight w:val="333"/>
        </w:trPr>
        <w:tc>
          <w:tcPr>
            <w:tcW w:w="1120" w:type="dxa"/>
          </w:tcPr>
          <w:p w14:paraId="63C95598" w14:textId="77777777" w:rsidR="00B70C76" w:rsidRPr="00AC1994" w:rsidRDefault="00B70C76" w:rsidP="0064154B">
            <w:pPr>
              <w:spacing w:line="259" w:lineRule="auto"/>
              <w:rPr>
                <w:b/>
                <w:spacing w:val="-1"/>
                <w:szCs w:val="20"/>
              </w:rPr>
            </w:pPr>
            <w:r w:rsidRPr="00AC1994">
              <w:rPr>
                <w:b/>
                <w:spacing w:val="-1"/>
                <w:szCs w:val="20"/>
              </w:rPr>
              <w:t>CWT</w:t>
            </w:r>
          </w:p>
        </w:tc>
        <w:tc>
          <w:tcPr>
            <w:tcW w:w="3591" w:type="dxa"/>
            <w:tcMar>
              <w:right w:w="170" w:type="dxa"/>
            </w:tcMar>
          </w:tcPr>
          <w:p w14:paraId="3DE599E3" w14:textId="77777777" w:rsidR="00B70C76" w:rsidRPr="00AC1994" w:rsidRDefault="00B70C76" w:rsidP="00897BD7">
            <w:pPr>
              <w:spacing w:line="259" w:lineRule="auto"/>
              <w:rPr>
                <w:szCs w:val="20"/>
              </w:rPr>
            </w:pPr>
            <w:r w:rsidRPr="00AC1994">
              <w:rPr>
                <w:szCs w:val="20"/>
              </w:rPr>
              <w:t>Carcass weight</w:t>
            </w:r>
          </w:p>
        </w:tc>
      </w:tr>
      <w:tr w:rsidR="0086214D" w:rsidRPr="00AC1994" w14:paraId="6D330D48" w14:textId="77777777" w:rsidTr="0064154B">
        <w:trPr>
          <w:trHeight w:val="277"/>
        </w:trPr>
        <w:tc>
          <w:tcPr>
            <w:tcW w:w="1120" w:type="dxa"/>
          </w:tcPr>
          <w:p w14:paraId="2FB546E2" w14:textId="10280890" w:rsidR="00B70C76" w:rsidRPr="00AC1994" w:rsidRDefault="00E278C4" w:rsidP="0064154B">
            <w:pPr>
              <w:spacing w:line="259" w:lineRule="auto"/>
              <w:rPr>
                <w:b/>
                <w:spacing w:val="-1"/>
                <w:szCs w:val="20"/>
              </w:rPr>
            </w:pPr>
            <w:r w:rsidRPr="00AC1994">
              <w:rPr>
                <w:b/>
                <w:spacing w:val="-1"/>
                <w:szCs w:val="20"/>
              </w:rPr>
              <w:t>DEECA</w:t>
            </w:r>
          </w:p>
        </w:tc>
        <w:tc>
          <w:tcPr>
            <w:tcW w:w="3591" w:type="dxa"/>
            <w:tcMar>
              <w:right w:w="170" w:type="dxa"/>
            </w:tcMar>
          </w:tcPr>
          <w:p w14:paraId="586D1E5F" w14:textId="6ADD2A17" w:rsidR="00B70C76" w:rsidRPr="00AC1994" w:rsidRDefault="00B70C76" w:rsidP="00897BD7">
            <w:pPr>
              <w:spacing w:line="259" w:lineRule="auto"/>
              <w:rPr>
                <w:szCs w:val="20"/>
              </w:rPr>
            </w:pPr>
            <w:r w:rsidRPr="00AC1994">
              <w:rPr>
                <w:szCs w:val="20"/>
              </w:rPr>
              <w:t xml:space="preserve">Department of </w:t>
            </w:r>
            <w:r w:rsidR="00E278C4" w:rsidRPr="00AC1994">
              <w:rPr>
                <w:szCs w:val="20"/>
              </w:rPr>
              <w:t>Energy, Environment and Climate Action</w:t>
            </w:r>
            <w:r w:rsidRPr="00AC1994">
              <w:rPr>
                <w:szCs w:val="20"/>
              </w:rPr>
              <w:t>, Victoria</w:t>
            </w:r>
          </w:p>
        </w:tc>
      </w:tr>
      <w:tr w:rsidR="0086214D" w:rsidRPr="00AC1994" w14:paraId="6CDF472E" w14:textId="77777777" w:rsidTr="0064154B">
        <w:trPr>
          <w:trHeight w:val="275"/>
        </w:trPr>
        <w:tc>
          <w:tcPr>
            <w:tcW w:w="1120" w:type="dxa"/>
          </w:tcPr>
          <w:p w14:paraId="5A917D23" w14:textId="77777777" w:rsidR="00B70C76" w:rsidRPr="00AC1994" w:rsidRDefault="00B70C76" w:rsidP="0064154B">
            <w:pPr>
              <w:spacing w:line="259" w:lineRule="auto"/>
              <w:rPr>
                <w:b/>
                <w:spacing w:val="-1"/>
                <w:szCs w:val="20"/>
              </w:rPr>
            </w:pPr>
            <w:r w:rsidRPr="00AC1994">
              <w:rPr>
                <w:b/>
                <w:spacing w:val="-1"/>
                <w:szCs w:val="20"/>
              </w:rPr>
              <w:t>DSE</w:t>
            </w:r>
          </w:p>
        </w:tc>
        <w:tc>
          <w:tcPr>
            <w:tcW w:w="3591" w:type="dxa"/>
            <w:tcMar>
              <w:right w:w="170" w:type="dxa"/>
            </w:tcMar>
          </w:tcPr>
          <w:p w14:paraId="1A7A9CD5" w14:textId="429C3EAB" w:rsidR="00B70C76" w:rsidRPr="00AC1994" w:rsidRDefault="00B70C76" w:rsidP="00897BD7">
            <w:pPr>
              <w:spacing w:line="259" w:lineRule="auto"/>
              <w:rPr>
                <w:szCs w:val="20"/>
              </w:rPr>
            </w:pPr>
            <w:r w:rsidRPr="00AC1994">
              <w:rPr>
                <w:szCs w:val="20"/>
              </w:rPr>
              <w:t xml:space="preserve">Dry </w:t>
            </w:r>
            <w:r w:rsidR="007D5D6D" w:rsidRPr="00AC1994">
              <w:rPr>
                <w:szCs w:val="20"/>
              </w:rPr>
              <w:t>s</w:t>
            </w:r>
            <w:r w:rsidRPr="00AC1994">
              <w:rPr>
                <w:szCs w:val="20"/>
              </w:rPr>
              <w:t xml:space="preserve">heep </w:t>
            </w:r>
            <w:r w:rsidR="007D5D6D" w:rsidRPr="00AC1994">
              <w:rPr>
                <w:szCs w:val="20"/>
              </w:rPr>
              <w:t>e</w:t>
            </w:r>
            <w:r w:rsidRPr="00AC1994">
              <w:rPr>
                <w:szCs w:val="20"/>
              </w:rPr>
              <w:t>quivalent</w:t>
            </w:r>
          </w:p>
        </w:tc>
      </w:tr>
      <w:tr w:rsidR="0086214D" w:rsidRPr="00AC1994" w14:paraId="19E2576F" w14:textId="77777777" w:rsidTr="0064154B">
        <w:trPr>
          <w:trHeight w:val="333"/>
        </w:trPr>
        <w:tc>
          <w:tcPr>
            <w:tcW w:w="1120" w:type="dxa"/>
          </w:tcPr>
          <w:p w14:paraId="541BB94D" w14:textId="77777777" w:rsidR="00B70C76" w:rsidRPr="00AC1994" w:rsidRDefault="00B70C76" w:rsidP="0064154B">
            <w:pPr>
              <w:spacing w:line="259" w:lineRule="auto"/>
              <w:rPr>
                <w:b/>
                <w:spacing w:val="-1"/>
                <w:szCs w:val="20"/>
              </w:rPr>
            </w:pPr>
            <w:r w:rsidRPr="00AC1994">
              <w:rPr>
                <w:b/>
                <w:spacing w:val="-1"/>
                <w:szCs w:val="20"/>
              </w:rPr>
              <w:t>EBIT</w:t>
            </w:r>
          </w:p>
        </w:tc>
        <w:tc>
          <w:tcPr>
            <w:tcW w:w="3591" w:type="dxa"/>
            <w:tcMar>
              <w:right w:w="170" w:type="dxa"/>
            </w:tcMar>
          </w:tcPr>
          <w:p w14:paraId="46A0978A" w14:textId="77777777" w:rsidR="00B70C76" w:rsidRPr="00AC1994" w:rsidRDefault="00B70C76" w:rsidP="00897BD7">
            <w:pPr>
              <w:spacing w:line="259" w:lineRule="auto"/>
              <w:rPr>
                <w:szCs w:val="20"/>
              </w:rPr>
            </w:pPr>
            <w:r w:rsidRPr="00AC1994">
              <w:rPr>
                <w:szCs w:val="20"/>
              </w:rPr>
              <w:t>Earnings before interest and tax</w:t>
            </w:r>
          </w:p>
        </w:tc>
      </w:tr>
      <w:tr w:rsidR="0086214D" w:rsidRPr="00AC1994" w14:paraId="783E733C" w14:textId="77777777" w:rsidTr="0064154B">
        <w:trPr>
          <w:trHeight w:val="333"/>
        </w:trPr>
        <w:tc>
          <w:tcPr>
            <w:tcW w:w="1120" w:type="dxa"/>
          </w:tcPr>
          <w:p w14:paraId="1B41100C" w14:textId="72FB4E20" w:rsidR="00B70C76" w:rsidRPr="00AC1994" w:rsidRDefault="00B70C76" w:rsidP="0064154B">
            <w:pPr>
              <w:spacing w:line="259" w:lineRule="auto"/>
              <w:rPr>
                <w:b/>
                <w:spacing w:val="-1"/>
                <w:szCs w:val="20"/>
              </w:rPr>
            </w:pPr>
          </w:p>
        </w:tc>
        <w:tc>
          <w:tcPr>
            <w:tcW w:w="3591" w:type="dxa"/>
            <w:tcMar>
              <w:right w:w="170" w:type="dxa"/>
            </w:tcMar>
          </w:tcPr>
          <w:p w14:paraId="2A116438" w14:textId="08E69C31" w:rsidR="00B70C76" w:rsidRPr="00AC1994" w:rsidRDefault="00B70C76" w:rsidP="00897BD7">
            <w:pPr>
              <w:spacing w:line="259" w:lineRule="auto"/>
              <w:rPr>
                <w:szCs w:val="20"/>
              </w:rPr>
            </w:pPr>
          </w:p>
        </w:tc>
      </w:tr>
      <w:tr w:rsidR="0086214D" w:rsidRPr="00AC1994" w14:paraId="703D4AA5" w14:textId="77777777" w:rsidTr="0064154B">
        <w:trPr>
          <w:trHeight w:val="333"/>
        </w:trPr>
        <w:tc>
          <w:tcPr>
            <w:tcW w:w="1120" w:type="dxa"/>
          </w:tcPr>
          <w:p w14:paraId="0ED7BC29" w14:textId="77777777" w:rsidR="00B70C76" w:rsidRPr="00AC1994" w:rsidRDefault="00B70C76" w:rsidP="0064154B">
            <w:pPr>
              <w:spacing w:line="259" w:lineRule="auto"/>
              <w:rPr>
                <w:b/>
                <w:spacing w:val="-1"/>
                <w:szCs w:val="20"/>
              </w:rPr>
            </w:pPr>
            <w:r w:rsidRPr="00AC1994">
              <w:rPr>
                <w:b/>
                <w:spacing w:val="-1"/>
                <w:szCs w:val="20"/>
              </w:rPr>
              <w:t>ha</w:t>
            </w:r>
          </w:p>
        </w:tc>
        <w:tc>
          <w:tcPr>
            <w:tcW w:w="3591" w:type="dxa"/>
            <w:tcMar>
              <w:right w:w="170" w:type="dxa"/>
            </w:tcMar>
          </w:tcPr>
          <w:p w14:paraId="055A3203" w14:textId="77777777" w:rsidR="00B70C76" w:rsidRPr="00AC1994" w:rsidRDefault="00B70C76" w:rsidP="00897BD7">
            <w:pPr>
              <w:spacing w:line="259" w:lineRule="auto"/>
              <w:rPr>
                <w:szCs w:val="20"/>
              </w:rPr>
            </w:pPr>
            <w:r w:rsidRPr="00AC1994">
              <w:rPr>
                <w:szCs w:val="20"/>
              </w:rPr>
              <w:t>Hectare(s)</w:t>
            </w:r>
          </w:p>
        </w:tc>
      </w:tr>
      <w:tr w:rsidR="0086214D" w:rsidRPr="00AC1994" w14:paraId="1D4A365D" w14:textId="77777777" w:rsidTr="0064154B">
        <w:trPr>
          <w:trHeight w:val="333"/>
        </w:trPr>
        <w:tc>
          <w:tcPr>
            <w:tcW w:w="1120" w:type="dxa"/>
          </w:tcPr>
          <w:p w14:paraId="7A658690" w14:textId="77777777" w:rsidR="00B70C76" w:rsidRPr="00AC1994" w:rsidRDefault="00B70C76" w:rsidP="0064154B">
            <w:pPr>
              <w:spacing w:line="259" w:lineRule="auto"/>
              <w:rPr>
                <w:b/>
                <w:spacing w:val="-1"/>
                <w:szCs w:val="20"/>
              </w:rPr>
            </w:pPr>
            <w:r w:rsidRPr="00AC1994">
              <w:rPr>
                <w:b/>
                <w:spacing w:val="-1"/>
                <w:szCs w:val="20"/>
              </w:rPr>
              <w:t>kg</w:t>
            </w:r>
          </w:p>
        </w:tc>
        <w:tc>
          <w:tcPr>
            <w:tcW w:w="3591" w:type="dxa"/>
            <w:tcMar>
              <w:right w:w="170" w:type="dxa"/>
            </w:tcMar>
          </w:tcPr>
          <w:p w14:paraId="23E82E70" w14:textId="77777777" w:rsidR="00B70C76" w:rsidRPr="00AC1994" w:rsidRDefault="00B70C76" w:rsidP="00897BD7">
            <w:pPr>
              <w:spacing w:line="259" w:lineRule="auto"/>
              <w:rPr>
                <w:szCs w:val="20"/>
              </w:rPr>
            </w:pPr>
            <w:r w:rsidRPr="00AC1994">
              <w:rPr>
                <w:szCs w:val="20"/>
              </w:rPr>
              <w:t>Kilograms</w:t>
            </w:r>
          </w:p>
        </w:tc>
      </w:tr>
      <w:tr w:rsidR="0086214D" w:rsidRPr="00AC1994" w14:paraId="0BF14C25" w14:textId="77777777" w:rsidTr="0064154B">
        <w:trPr>
          <w:trHeight w:val="333"/>
        </w:trPr>
        <w:tc>
          <w:tcPr>
            <w:tcW w:w="1120" w:type="dxa"/>
          </w:tcPr>
          <w:p w14:paraId="26031E89" w14:textId="2ED71459" w:rsidR="00ED644F" w:rsidRPr="00AC1994" w:rsidRDefault="00ED644F" w:rsidP="0064154B">
            <w:pPr>
              <w:rPr>
                <w:b/>
                <w:spacing w:val="-1"/>
                <w:szCs w:val="20"/>
              </w:rPr>
            </w:pPr>
            <w:r w:rsidRPr="00AC1994">
              <w:rPr>
                <w:b/>
                <w:spacing w:val="-1"/>
                <w:szCs w:val="20"/>
              </w:rPr>
              <w:t xml:space="preserve">Kg </w:t>
            </w:r>
            <w:r w:rsidR="005D41C3" w:rsidRPr="00AC1994">
              <w:rPr>
                <w:b/>
                <w:spacing w:val="-1"/>
                <w:szCs w:val="20"/>
              </w:rPr>
              <w:t>Gr.</w:t>
            </w:r>
            <w:r w:rsidR="006C5BAB" w:rsidRPr="00AC1994">
              <w:rPr>
                <w:b/>
                <w:spacing w:val="-1"/>
                <w:szCs w:val="20"/>
              </w:rPr>
              <w:t xml:space="preserve"> or</w:t>
            </w:r>
          </w:p>
          <w:p w14:paraId="04FA695E" w14:textId="2EB672DB" w:rsidR="005D41C3" w:rsidRPr="00AC1994" w:rsidRDefault="005D41C3" w:rsidP="0064154B">
            <w:pPr>
              <w:rPr>
                <w:b/>
                <w:spacing w:val="-1"/>
                <w:szCs w:val="20"/>
              </w:rPr>
            </w:pPr>
            <w:r w:rsidRPr="00AC1994">
              <w:rPr>
                <w:b/>
                <w:spacing w:val="-1"/>
                <w:szCs w:val="20"/>
              </w:rPr>
              <w:t xml:space="preserve">Gr. </w:t>
            </w:r>
            <w:r w:rsidR="00F2488A" w:rsidRPr="00AC1994">
              <w:rPr>
                <w:b/>
                <w:spacing w:val="-1"/>
                <w:szCs w:val="20"/>
              </w:rPr>
              <w:t>kg</w:t>
            </w:r>
          </w:p>
        </w:tc>
        <w:tc>
          <w:tcPr>
            <w:tcW w:w="3591" w:type="dxa"/>
            <w:tcMar>
              <w:right w:w="170" w:type="dxa"/>
            </w:tcMar>
          </w:tcPr>
          <w:p w14:paraId="15A8E8A2" w14:textId="18323F6B" w:rsidR="00ED644F" w:rsidRPr="00AC1994" w:rsidRDefault="005D41C3" w:rsidP="00897BD7">
            <w:pPr>
              <w:rPr>
                <w:szCs w:val="20"/>
              </w:rPr>
            </w:pPr>
            <w:r w:rsidRPr="00AC1994">
              <w:rPr>
                <w:szCs w:val="20"/>
              </w:rPr>
              <w:t>Kilograms of greasy wool</w:t>
            </w:r>
          </w:p>
        </w:tc>
      </w:tr>
      <w:tr w:rsidR="0086214D" w:rsidRPr="00AC1994" w14:paraId="1FE06A4F" w14:textId="77777777" w:rsidTr="0064154B">
        <w:trPr>
          <w:trHeight w:val="333"/>
        </w:trPr>
        <w:tc>
          <w:tcPr>
            <w:tcW w:w="1120" w:type="dxa"/>
          </w:tcPr>
          <w:p w14:paraId="00E92C5E" w14:textId="7F7FF94F" w:rsidR="0044253C" w:rsidRPr="00AC1994" w:rsidRDefault="0044253C" w:rsidP="0064154B">
            <w:pPr>
              <w:rPr>
                <w:b/>
                <w:spacing w:val="-1"/>
                <w:szCs w:val="20"/>
              </w:rPr>
            </w:pPr>
            <w:r w:rsidRPr="00AC1994">
              <w:rPr>
                <w:b/>
                <w:spacing w:val="-1"/>
                <w:szCs w:val="20"/>
              </w:rPr>
              <w:t>LFMP</w:t>
            </w:r>
          </w:p>
        </w:tc>
        <w:tc>
          <w:tcPr>
            <w:tcW w:w="3591" w:type="dxa"/>
            <w:tcMar>
              <w:right w:w="170" w:type="dxa"/>
            </w:tcMar>
          </w:tcPr>
          <w:p w14:paraId="0C57D058" w14:textId="6B8C568A" w:rsidR="0044253C" w:rsidRPr="00AC1994" w:rsidRDefault="0044253C" w:rsidP="0044253C">
            <w:pPr>
              <w:rPr>
                <w:szCs w:val="20"/>
              </w:rPr>
            </w:pPr>
            <w:r w:rsidRPr="00AC1994">
              <w:rPr>
                <w:szCs w:val="20"/>
              </w:rPr>
              <w:t>Livestock Farm Monitor Project</w:t>
            </w:r>
          </w:p>
        </w:tc>
      </w:tr>
      <w:tr w:rsidR="0086214D" w:rsidRPr="00AC1994" w14:paraId="692091C6" w14:textId="77777777" w:rsidTr="0064154B">
        <w:trPr>
          <w:trHeight w:val="333"/>
        </w:trPr>
        <w:tc>
          <w:tcPr>
            <w:tcW w:w="1120" w:type="dxa"/>
          </w:tcPr>
          <w:p w14:paraId="43143FB0" w14:textId="77777777" w:rsidR="0044253C" w:rsidRPr="00AC1994" w:rsidRDefault="0044253C" w:rsidP="0064154B">
            <w:pPr>
              <w:spacing w:line="259" w:lineRule="auto"/>
              <w:rPr>
                <w:b/>
                <w:spacing w:val="-1"/>
                <w:szCs w:val="20"/>
              </w:rPr>
            </w:pPr>
            <w:r w:rsidRPr="00AC1994">
              <w:rPr>
                <w:b/>
                <w:spacing w:val="-1"/>
                <w:szCs w:val="20"/>
              </w:rPr>
              <w:t>LWT</w:t>
            </w:r>
          </w:p>
        </w:tc>
        <w:tc>
          <w:tcPr>
            <w:tcW w:w="3591" w:type="dxa"/>
            <w:tcMar>
              <w:right w:w="170" w:type="dxa"/>
            </w:tcMar>
          </w:tcPr>
          <w:p w14:paraId="7ADC1BB9" w14:textId="77777777" w:rsidR="0044253C" w:rsidRPr="00AC1994" w:rsidRDefault="0044253C" w:rsidP="0044253C">
            <w:pPr>
              <w:spacing w:line="259" w:lineRule="auto"/>
              <w:rPr>
                <w:szCs w:val="20"/>
              </w:rPr>
            </w:pPr>
            <w:r w:rsidRPr="00AC1994">
              <w:rPr>
                <w:szCs w:val="20"/>
              </w:rPr>
              <w:t>Live weight</w:t>
            </w:r>
          </w:p>
        </w:tc>
      </w:tr>
      <w:tr w:rsidR="0086214D" w:rsidRPr="00AC1994" w14:paraId="453016FF" w14:textId="77777777" w:rsidTr="0064154B">
        <w:trPr>
          <w:trHeight w:val="333"/>
        </w:trPr>
        <w:tc>
          <w:tcPr>
            <w:tcW w:w="1120" w:type="dxa"/>
          </w:tcPr>
          <w:p w14:paraId="04436662" w14:textId="6CA8CD63" w:rsidR="0044253C" w:rsidRPr="00AC1994" w:rsidRDefault="0044253C" w:rsidP="0064154B">
            <w:pPr>
              <w:spacing w:line="259" w:lineRule="auto"/>
              <w:rPr>
                <w:b/>
                <w:spacing w:val="-1"/>
                <w:szCs w:val="20"/>
              </w:rPr>
            </w:pPr>
            <w:r w:rsidRPr="00AC1994">
              <w:rPr>
                <w:b/>
                <w:spacing w:val="-1"/>
                <w:szCs w:val="20"/>
              </w:rPr>
              <w:t>ME</w:t>
            </w:r>
            <w:r w:rsidR="006C5BAB" w:rsidRPr="00AC1994">
              <w:rPr>
                <w:b/>
                <w:spacing w:val="-1"/>
                <w:szCs w:val="20"/>
              </w:rPr>
              <w:t xml:space="preserve"> or</w:t>
            </w:r>
          </w:p>
          <w:p w14:paraId="218545A7" w14:textId="58A78268" w:rsidR="006C5BAB" w:rsidRPr="00AC1994" w:rsidRDefault="006C5BAB" w:rsidP="0064154B">
            <w:pPr>
              <w:spacing w:line="259" w:lineRule="auto"/>
              <w:rPr>
                <w:b/>
                <w:spacing w:val="-1"/>
                <w:szCs w:val="20"/>
              </w:rPr>
            </w:pPr>
            <w:r w:rsidRPr="00AC1994">
              <w:rPr>
                <w:b/>
                <w:spacing w:val="-1"/>
                <w:szCs w:val="20"/>
              </w:rPr>
              <w:t>MJ ME</w:t>
            </w:r>
          </w:p>
        </w:tc>
        <w:tc>
          <w:tcPr>
            <w:tcW w:w="3591" w:type="dxa"/>
            <w:tcMar>
              <w:right w:w="170" w:type="dxa"/>
            </w:tcMar>
          </w:tcPr>
          <w:p w14:paraId="10CDE0A7" w14:textId="7103818D" w:rsidR="0044253C" w:rsidRPr="00AC1994" w:rsidRDefault="00805D56" w:rsidP="0044253C">
            <w:pPr>
              <w:spacing w:line="259" w:lineRule="auto"/>
              <w:rPr>
                <w:szCs w:val="20"/>
              </w:rPr>
            </w:pPr>
            <w:r w:rsidRPr="00AC1994">
              <w:rPr>
                <w:szCs w:val="20"/>
              </w:rPr>
              <w:t xml:space="preserve">Megajoules of </w:t>
            </w:r>
            <w:proofErr w:type="spellStart"/>
            <w:r w:rsidR="0044253C" w:rsidRPr="00AC1994">
              <w:rPr>
                <w:szCs w:val="20"/>
              </w:rPr>
              <w:t>Metabolisable</w:t>
            </w:r>
            <w:proofErr w:type="spellEnd"/>
            <w:r w:rsidR="0044253C" w:rsidRPr="00AC1994">
              <w:rPr>
                <w:szCs w:val="20"/>
              </w:rPr>
              <w:t xml:space="preserve"> energy</w:t>
            </w:r>
          </w:p>
        </w:tc>
      </w:tr>
      <w:tr w:rsidR="0086214D" w:rsidRPr="00AC1994" w14:paraId="02847DD0" w14:textId="77777777" w:rsidTr="0064154B">
        <w:trPr>
          <w:trHeight w:val="333"/>
        </w:trPr>
        <w:tc>
          <w:tcPr>
            <w:tcW w:w="1120" w:type="dxa"/>
          </w:tcPr>
          <w:p w14:paraId="60EF148B" w14:textId="1202BABA" w:rsidR="0044253C" w:rsidRPr="00AC1994" w:rsidRDefault="0044253C" w:rsidP="0064154B">
            <w:pPr>
              <w:spacing w:line="259" w:lineRule="auto"/>
              <w:rPr>
                <w:b/>
                <w:spacing w:val="-1"/>
                <w:szCs w:val="20"/>
              </w:rPr>
            </w:pPr>
          </w:p>
        </w:tc>
        <w:tc>
          <w:tcPr>
            <w:tcW w:w="3591" w:type="dxa"/>
            <w:tcMar>
              <w:right w:w="170" w:type="dxa"/>
            </w:tcMar>
          </w:tcPr>
          <w:p w14:paraId="4EF40584" w14:textId="0DC22A85" w:rsidR="0044253C" w:rsidRPr="00AC1994" w:rsidRDefault="0044253C" w:rsidP="0044253C">
            <w:pPr>
              <w:spacing w:line="259" w:lineRule="auto"/>
              <w:rPr>
                <w:szCs w:val="20"/>
              </w:rPr>
            </w:pPr>
          </w:p>
        </w:tc>
      </w:tr>
      <w:tr w:rsidR="0086214D" w:rsidRPr="00AC1994" w14:paraId="6295365F" w14:textId="77777777" w:rsidTr="0064154B">
        <w:trPr>
          <w:trHeight w:val="333"/>
        </w:trPr>
        <w:tc>
          <w:tcPr>
            <w:tcW w:w="1120" w:type="dxa"/>
          </w:tcPr>
          <w:p w14:paraId="2FDB3469" w14:textId="77777777" w:rsidR="0044253C" w:rsidRPr="00AC1994" w:rsidRDefault="0044253C" w:rsidP="0064154B">
            <w:pPr>
              <w:spacing w:line="259" w:lineRule="auto"/>
              <w:rPr>
                <w:b/>
                <w:spacing w:val="-1"/>
                <w:szCs w:val="20"/>
              </w:rPr>
            </w:pPr>
            <w:r w:rsidRPr="00AC1994">
              <w:rPr>
                <w:b/>
                <w:spacing w:val="-1"/>
                <w:szCs w:val="20"/>
              </w:rPr>
              <w:t>mm</w:t>
            </w:r>
          </w:p>
        </w:tc>
        <w:tc>
          <w:tcPr>
            <w:tcW w:w="3591" w:type="dxa"/>
            <w:tcMar>
              <w:right w:w="170" w:type="dxa"/>
            </w:tcMar>
          </w:tcPr>
          <w:p w14:paraId="07765B32" w14:textId="37822925" w:rsidR="0044253C" w:rsidRPr="00AC1994" w:rsidRDefault="0044253C" w:rsidP="0044253C">
            <w:pPr>
              <w:spacing w:line="259" w:lineRule="auto"/>
              <w:rPr>
                <w:szCs w:val="20"/>
              </w:rPr>
            </w:pPr>
            <w:r w:rsidRPr="00AC1994">
              <w:rPr>
                <w:szCs w:val="20"/>
              </w:rPr>
              <w:t>Millimetres</w:t>
            </w:r>
          </w:p>
        </w:tc>
      </w:tr>
      <w:tr w:rsidR="0086214D" w:rsidRPr="00AC1994" w14:paraId="10ECB307" w14:textId="77777777" w:rsidTr="0064154B">
        <w:trPr>
          <w:trHeight w:val="277"/>
        </w:trPr>
        <w:tc>
          <w:tcPr>
            <w:tcW w:w="1120" w:type="dxa"/>
          </w:tcPr>
          <w:p w14:paraId="1153D6F9" w14:textId="6CE5E597" w:rsidR="0044253C" w:rsidRPr="00AC1994" w:rsidRDefault="0044253C" w:rsidP="0064154B">
            <w:pPr>
              <w:spacing w:line="259" w:lineRule="auto"/>
              <w:rPr>
                <w:b/>
                <w:spacing w:val="-1"/>
                <w:szCs w:val="20"/>
              </w:rPr>
            </w:pPr>
          </w:p>
        </w:tc>
        <w:tc>
          <w:tcPr>
            <w:tcW w:w="3591" w:type="dxa"/>
            <w:tcMar>
              <w:right w:w="170" w:type="dxa"/>
            </w:tcMar>
          </w:tcPr>
          <w:p w14:paraId="586AB69E" w14:textId="30A1D219" w:rsidR="0044253C" w:rsidRPr="00AC1994" w:rsidRDefault="0044253C" w:rsidP="0044253C">
            <w:pPr>
              <w:spacing w:line="259" w:lineRule="auto"/>
              <w:rPr>
                <w:szCs w:val="20"/>
              </w:rPr>
            </w:pPr>
          </w:p>
        </w:tc>
      </w:tr>
      <w:tr w:rsidR="0086214D" w:rsidRPr="00AC1994" w14:paraId="7804C319" w14:textId="77777777" w:rsidTr="0064154B">
        <w:trPr>
          <w:trHeight w:val="275"/>
        </w:trPr>
        <w:tc>
          <w:tcPr>
            <w:tcW w:w="1120" w:type="dxa"/>
          </w:tcPr>
          <w:p w14:paraId="639CCF09" w14:textId="4B05E984" w:rsidR="0044253C" w:rsidRPr="00AC1994" w:rsidRDefault="0044253C" w:rsidP="0064154B">
            <w:pPr>
              <w:spacing w:line="259" w:lineRule="auto"/>
              <w:rPr>
                <w:b/>
                <w:spacing w:val="-1"/>
                <w:szCs w:val="20"/>
              </w:rPr>
            </w:pPr>
            <w:proofErr w:type="spellStart"/>
            <w:r w:rsidRPr="00AC1994">
              <w:rPr>
                <w:b/>
                <w:spacing w:val="-1"/>
                <w:szCs w:val="20"/>
              </w:rPr>
              <w:t>R</w:t>
            </w:r>
            <w:r w:rsidR="00637238" w:rsidRPr="00AC1994">
              <w:rPr>
                <w:b/>
                <w:spacing w:val="-1"/>
                <w:szCs w:val="20"/>
              </w:rPr>
              <w:t>o</w:t>
            </w:r>
            <w:r w:rsidRPr="00AC1994">
              <w:rPr>
                <w:b/>
                <w:spacing w:val="-1"/>
                <w:szCs w:val="20"/>
              </w:rPr>
              <w:t>A</w:t>
            </w:r>
            <w:proofErr w:type="spellEnd"/>
          </w:p>
        </w:tc>
        <w:tc>
          <w:tcPr>
            <w:tcW w:w="3591" w:type="dxa"/>
            <w:tcMar>
              <w:right w:w="170" w:type="dxa"/>
            </w:tcMar>
          </w:tcPr>
          <w:p w14:paraId="11BF6EA7" w14:textId="70BFB7E0" w:rsidR="0044253C" w:rsidRPr="00AC1994" w:rsidRDefault="0044253C" w:rsidP="0044253C">
            <w:pPr>
              <w:spacing w:line="259" w:lineRule="auto"/>
              <w:rPr>
                <w:szCs w:val="20"/>
              </w:rPr>
            </w:pPr>
            <w:r w:rsidRPr="00AC1994">
              <w:rPr>
                <w:szCs w:val="20"/>
              </w:rPr>
              <w:t xml:space="preserve">Return on </w:t>
            </w:r>
            <w:r w:rsidR="009C7664" w:rsidRPr="00AC1994">
              <w:rPr>
                <w:szCs w:val="20"/>
              </w:rPr>
              <w:t>A</w:t>
            </w:r>
            <w:r w:rsidRPr="00AC1994">
              <w:rPr>
                <w:szCs w:val="20"/>
              </w:rPr>
              <w:t>ssets</w:t>
            </w:r>
          </w:p>
        </w:tc>
      </w:tr>
      <w:tr w:rsidR="0086214D" w:rsidRPr="00AC1994" w14:paraId="04CEB77F" w14:textId="77777777" w:rsidTr="0064154B">
        <w:trPr>
          <w:trHeight w:val="335"/>
        </w:trPr>
        <w:tc>
          <w:tcPr>
            <w:tcW w:w="1120" w:type="dxa"/>
          </w:tcPr>
          <w:p w14:paraId="69BD8C64" w14:textId="3CDC3E07" w:rsidR="0044253C" w:rsidRPr="00AC1994" w:rsidRDefault="0044253C" w:rsidP="0064154B">
            <w:pPr>
              <w:spacing w:line="259" w:lineRule="auto"/>
              <w:rPr>
                <w:b/>
                <w:spacing w:val="-1"/>
                <w:szCs w:val="20"/>
              </w:rPr>
            </w:pPr>
            <w:proofErr w:type="spellStart"/>
            <w:r w:rsidRPr="00AC1994">
              <w:rPr>
                <w:b/>
                <w:spacing w:val="-1"/>
                <w:szCs w:val="20"/>
              </w:rPr>
              <w:t>R</w:t>
            </w:r>
            <w:r w:rsidR="00637238" w:rsidRPr="00AC1994">
              <w:rPr>
                <w:b/>
                <w:spacing w:val="-1"/>
                <w:szCs w:val="20"/>
              </w:rPr>
              <w:t>o</w:t>
            </w:r>
            <w:r w:rsidRPr="00AC1994">
              <w:rPr>
                <w:b/>
                <w:spacing w:val="-1"/>
                <w:szCs w:val="20"/>
              </w:rPr>
              <w:t>E</w:t>
            </w:r>
            <w:proofErr w:type="spellEnd"/>
          </w:p>
        </w:tc>
        <w:tc>
          <w:tcPr>
            <w:tcW w:w="3591" w:type="dxa"/>
            <w:tcMar>
              <w:right w:w="170" w:type="dxa"/>
            </w:tcMar>
          </w:tcPr>
          <w:p w14:paraId="27BFD157" w14:textId="05FE0E61" w:rsidR="0044253C" w:rsidRPr="00AC1994" w:rsidRDefault="0044253C" w:rsidP="0044253C">
            <w:pPr>
              <w:spacing w:line="259" w:lineRule="auto"/>
              <w:rPr>
                <w:szCs w:val="20"/>
              </w:rPr>
            </w:pPr>
            <w:r w:rsidRPr="00AC1994">
              <w:rPr>
                <w:szCs w:val="20"/>
              </w:rPr>
              <w:t xml:space="preserve">Return on </w:t>
            </w:r>
            <w:r w:rsidR="009C7664" w:rsidRPr="00AC1994">
              <w:rPr>
                <w:szCs w:val="20"/>
              </w:rPr>
              <w:t>E</w:t>
            </w:r>
            <w:r w:rsidRPr="00AC1994">
              <w:rPr>
                <w:szCs w:val="20"/>
              </w:rPr>
              <w:t>quity</w:t>
            </w:r>
          </w:p>
        </w:tc>
      </w:tr>
      <w:tr w:rsidR="0086214D" w:rsidRPr="00AC1994" w14:paraId="5CC20A4E" w14:textId="77777777" w:rsidTr="0064154B">
        <w:trPr>
          <w:trHeight w:val="354"/>
        </w:trPr>
        <w:tc>
          <w:tcPr>
            <w:tcW w:w="1120" w:type="dxa"/>
          </w:tcPr>
          <w:p w14:paraId="09624228" w14:textId="77777777" w:rsidR="0044253C" w:rsidRPr="00AC1994" w:rsidRDefault="0044253C" w:rsidP="0064154B">
            <w:pPr>
              <w:spacing w:line="259" w:lineRule="auto"/>
              <w:rPr>
                <w:b/>
                <w:spacing w:val="-1"/>
                <w:szCs w:val="20"/>
              </w:rPr>
            </w:pPr>
            <w:r w:rsidRPr="00AC1994">
              <w:rPr>
                <w:b/>
                <w:spacing w:val="-1"/>
                <w:szCs w:val="20"/>
              </w:rPr>
              <w:t>t</w:t>
            </w:r>
          </w:p>
        </w:tc>
        <w:tc>
          <w:tcPr>
            <w:tcW w:w="3591" w:type="dxa"/>
            <w:tcMar>
              <w:right w:w="170" w:type="dxa"/>
            </w:tcMar>
          </w:tcPr>
          <w:p w14:paraId="1990A2CB" w14:textId="77777777" w:rsidR="0044253C" w:rsidRPr="00AC1994" w:rsidRDefault="0044253C" w:rsidP="0044253C">
            <w:pPr>
              <w:spacing w:line="259" w:lineRule="auto"/>
              <w:rPr>
                <w:szCs w:val="20"/>
              </w:rPr>
            </w:pPr>
            <w:r w:rsidRPr="00AC1994">
              <w:rPr>
                <w:szCs w:val="20"/>
              </w:rPr>
              <w:t>Tonne = 1,000 kg</w:t>
            </w:r>
          </w:p>
        </w:tc>
      </w:tr>
      <w:tr w:rsidR="0086214D" w:rsidRPr="00AC1994" w14:paraId="369E0FF2" w14:textId="77777777" w:rsidTr="0064154B">
        <w:trPr>
          <w:trHeight w:val="354"/>
        </w:trPr>
        <w:tc>
          <w:tcPr>
            <w:tcW w:w="1120" w:type="dxa"/>
          </w:tcPr>
          <w:p w14:paraId="1B1233E5" w14:textId="77777777" w:rsidR="0044253C" w:rsidRPr="00AC1994" w:rsidRDefault="0044253C" w:rsidP="0064154B">
            <w:pPr>
              <w:spacing w:line="259" w:lineRule="auto"/>
              <w:rPr>
                <w:b/>
                <w:spacing w:val="-1"/>
                <w:szCs w:val="20"/>
              </w:rPr>
            </w:pPr>
            <w:proofErr w:type="spellStart"/>
            <w:r w:rsidRPr="00AC1994">
              <w:rPr>
                <w:b/>
                <w:spacing w:val="-1"/>
                <w:szCs w:val="20"/>
              </w:rPr>
              <w:t>tDM</w:t>
            </w:r>
            <w:proofErr w:type="spellEnd"/>
          </w:p>
        </w:tc>
        <w:tc>
          <w:tcPr>
            <w:tcW w:w="3591" w:type="dxa"/>
            <w:tcMar>
              <w:right w:w="170" w:type="dxa"/>
            </w:tcMar>
          </w:tcPr>
          <w:p w14:paraId="245D9EB3" w14:textId="5736F7CA" w:rsidR="0044253C" w:rsidRPr="00AC1994" w:rsidRDefault="0044253C" w:rsidP="0044253C">
            <w:pPr>
              <w:spacing w:line="259" w:lineRule="auto"/>
              <w:rPr>
                <w:szCs w:val="20"/>
              </w:rPr>
            </w:pPr>
            <w:r w:rsidRPr="00AC1994">
              <w:rPr>
                <w:szCs w:val="20"/>
              </w:rPr>
              <w:t>Dry matter of feed stuffs measured in tonnes</w:t>
            </w:r>
          </w:p>
        </w:tc>
      </w:tr>
      <w:tr w:rsidR="0086214D" w:rsidRPr="00AC1994" w14:paraId="5A5AD207" w14:textId="77777777" w:rsidTr="0064154B">
        <w:trPr>
          <w:trHeight w:val="220"/>
        </w:trPr>
        <w:tc>
          <w:tcPr>
            <w:tcW w:w="1120" w:type="dxa"/>
          </w:tcPr>
          <w:p w14:paraId="68D6855D" w14:textId="77777777" w:rsidR="0044253C" w:rsidRPr="00AC1994" w:rsidRDefault="0044253C" w:rsidP="0064154B">
            <w:pPr>
              <w:spacing w:line="259" w:lineRule="auto"/>
              <w:rPr>
                <w:b/>
                <w:spacing w:val="-1"/>
                <w:szCs w:val="20"/>
              </w:rPr>
            </w:pPr>
            <w:r w:rsidRPr="00AC1994">
              <w:rPr>
                <w:b/>
                <w:spacing w:val="-1"/>
                <w:szCs w:val="20"/>
              </w:rPr>
              <w:t>yrs</w:t>
            </w:r>
          </w:p>
        </w:tc>
        <w:tc>
          <w:tcPr>
            <w:tcW w:w="3591" w:type="dxa"/>
          </w:tcPr>
          <w:p w14:paraId="08C72172" w14:textId="77777777" w:rsidR="0044253C" w:rsidRPr="00AC1994" w:rsidRDefault="0044253C" w:rsidP="0044253C">
            <w:pPr>
              <w:spacing w:line="259" w:lineRule="auto"/>
              <w:rPr>
                <w:szCs w:val="20"/>
              </w:rPr>
            </w:pPr>
            <w:r w:rsidRPr="00AC1994">
              <w:rPr>
                <w:szCs w:val="20"/>
              </w:rPr>
              <w:t>Years old</w:t>
            </w:r>
          </w:p>
        </w:tc>
      </w:tr>
    </w:tbl>
    <w:p w14:paraId="6938388C" w14:textId="57BC15BA" w:rsidR="00B70C76" w:rsidRPr="0086214D" w:rsidRDefault="00B70C76" w:rsidP="00B70C76">
      <w:pPr>
        <w:rPr>
          <w:highlight w:val="yellow"/>
        </w:rPr>
      </w:pPr>
    </w:p>
    <w:p w14:paraId="4F0915B3" w14:textId="2A9246C0" w:rsidR="00B70C76" w:rsidRDefault="00B70C76" w:rsidP="00B70C76">
      <w:pPr>
        <w:rPr>
          <w:highlight w:val="yellow"/>
        </w:rPr>
      </w:pPr>
    </w:p>
    <w:p w14:paraId="01133631" w14:textId="77777777" w:rsidR="00C474D8" w:rsidRDefault="00C474D8" w:rsidP="00B70C76">
      <w:pPr>
        <w:rPr>
          <w:highlight w:val="yellow"/>
        </w:rPr>
      </w:pPr>
    </w:p>
    <w:p w14:paraId="3CDDAFFE" w14:textId="77777777" w:rsidR="00C474D8" w:rsidRDefault="00C474D8" w:rsidP="00B70C76">
      <w:pPr>
        <w:rPr>
          <w:highlight w:val="yellow"/>
        </w:rPr>
      </w:pPr>
    </w:p>
    <w:p w14:paraId="0E2C2EA1" w14:textId="77777777" w:rsidR="00C474D8" w:rsidRDefault="00C474D8" w:rsidP="00B70C76">
      <w:pPr>
        <w:rPr>
          <w:highlight w:val="yellow"/>
        </w:rPr>
      </w:pPr>
    </w:p>
    <w:p w14:paraId="7E2BEA2D" w14:textId="77777777" w:rsidR="00C474D8" w:rsidRDefault="00C474D8" w:rsidP="00B70C76">
      <w:pPr>
        <w:rPr>
          <w:highlight w:val="yellow"/>
        </w:rPr>
      </w:pPr>
    </w:p>
    <w:p w14:paraId="7248ACC2" w14:textId="77777777" w:rsidR="00C474D8" w:rsidRDefault="00C474D8" w:rsidP="00B70C76">
      <w:pPr>
        <w:rPr>
          <w:highlight w:val="yellow"/>
        </w:rPr>
      </w:pPr>
    </w:p>
    <w:p w14:paraId="6E3D79EC" w14:textId="77777777" w:rsidR="00C474D8" w:rsidRDefault="00C474D8" w:rsidP="00B70C76">
      <w:pPr>
        <w:rPr>
          <w:highlight w:val="yellow"/>
        </w:rPr>
      </w:pPr>
    </w:p>
    <w:p w14:paraId="5D32E0A9" w14:textId="77777777" w:rsidR="00C474D8" w:rsidRDefault="00C474D8" w:rsidP="00B70C76">
      <w:pPr>
        <w:rPr>
          <w:highlight w:val="yellow"/>
        </w:rPr>
      </w:pPr>
    </w:p>
    <w:p w14:paraId="0083967F" w14:textId="77777777" w:rsidR="00C474D8" w:rsidRDefault="00C474D8" w:rsidP="00B70C76">
      <w:pPr>
        <w:rPr>
          <w:highlight w:val="yellow"/>
        </w:rPr>
      </w:pPr>
    </w:p>
    <w:p w14:paraId="22CF69F6" w14:textId="77777777" w:rsidR="00C474D8" w:rsidRPr="0086214D" w:rsidRDefault="00C474D8" w:rsidP="00B70C76">
      <w:pPr>
        <w:rPr>
          <w:highlight w:val="yellow"/>
        </w:rPr>
      </w:pPr>
    </w:p>
    <w:p w14:paraId="2CDE432E" w14:textId="77777777" w:rsidR="00B70C76" w:rsidRPr="0064154B" w:rsidRDefault="00B70C76" w:rsidP="00B70C76">
      <w:pPr>
        <w:pStyle w:val="Heading3"/>
        <w:rPr>
          <w:rFonts w:ascii="VIC" w:eastAsiaTheme="minorHAnsi" w:hAnsi="VIC" w:cs="VIC-SemiBold"/>
          <w:b/>
          <w:bCs/>
          <w:color w:val="4C7329"/>
          <w:sz w:val="28"/>
          <w:szCs w:val="18"/>
          <w:lang w:val="en-US"/>
        </w:rPr>
      </w:pPr>
      <w:bookmarkStart w:id="57" w:name="_Toc214610589"/>
      <w:r w:rsidRPr="0064154B">
        <w:rPr>
          <w:rFonts w:ascii="VIC" w:eastAsiaTheme="minorHAnsi" w:hAnsi="VIC" w:cs="VIC-SemiBold"/>
          <w:b/>
          <w:bCs/>
          <w:color w:val="4C7329"/>
          <w:sz w:val="28"/>
          <w:szCs w:val="18"/>
          <w:lang w:val="en-US"/>
        </w:rPr>
        <w:t>References</w:t>
      </w:r>
      <w:bookmarkEnd w:id="57"/>
    </w:p>
    <w:p w14:paraId="65C3F9E6" w14:textId="07A3EA09" w:rsidR="00B70C76" w:rsidRPr="0086214D" w:rsidRDefault="00B70C76" w:rsidP="003B0D69">
      <w:pPr>
        <w:spacing w:before="240" w:after="29"/>
        <w:rPr>
          <w:bCs/>
          <w:szCs w:val="20"/>
        </w:rPr>
      </w:pPr>
      <w:r w:rsidRPr="0086214D">
        <w:rPr>
          <w:bCs/>
          <w:szCs w:val="20"/>
        </w:rPr>
        <w:t>Kay RD, Edwards WM, Duffy PA 'Farm Management' (</w:t>
      </w:r>
      <w:proofErr w:type="spellStart"/>
      <w:r w:rsidRPr="0086214D">
        <w:rPr>
          <w:bCs/>
          <w:szCs w:val="20"/>
        </w:rPr>
        <w:t>Mcgraw-Hill</w:t>
      </w:r>
      <w:proofErr w:type="spellEnd"/>
      <w:r w:rsidRPr="0086214D">
        <w:rPr>
          <w:bCs/>
          <w:szCs w:val="20"/>
        </w:rPr>
        <w:t xml:space="preserve"> Companies)</w:t>
      </w:r>
    </w:p>
    <w:p w14:paraId="3404F72F" w14:textId="2A753DB1" w:rsidR="00750013" w:rsidRDefault="00750013" w:rsidP="003B0D69">
      <w:pPr>
        <w:spacing w:before="240" w:after="29"/>
        <w:rPr>
          <w:bCs/>
          <w:szCs w:val="20"/>
        </w:rPr>
      </w:pPr>
      <w:r w:rsidRPr="00750013">
        <w:rPr>
          <w:bCs/>
          <w:szCs w:val="20"/>
        </w:rPr>
        <w:t>Langemeier</w:t>
      </w:r>
      <w:r w:rsidR="0005606C">
        <w:rPr>
          <w:bCs/>
          <w:szCs w:val="20"/>
        </w:rPr>
        <w:t xml:space="preserve"> </w:t>
      </w:r>
      <w:r w:rsidRPr="00750013">
        <w:rPr>
          <w:bCs/>
          <w:szCs w:val="20"/>
        </w:rPr>
        <w:t xml:space="preserve">M. (2016). Leverage and Financial Risk. </w:t>
      </w:r>
      <w:proofErr w:type="spellStart"/>
      <w:r w:rsidRPr="00750013">
        <w:rPr>
          <w:bCs/>
          <w:szCs w:val="20"/>
        </w:rPr>
        <w:t>farmdoc</w:t>
      </w:r>
      <w:proofErr w:type="spellEnd"/>
      <w:r w:rsidRPr="00750013">
        <w:rPr>
          <w:bCs/>
          <w:szCs w:val="20"/>
        </w:rPr>
        <w:t xml:space="preserve"> daily, 6.</w:t>
      </w:r>
    </w:p>
    <w:p w14:paraId="2A56E39E" w14:textId="163CC2AC" w:rsidR="00B70C76" w:rsidRDefault="00B70C76" w:rsidP="003B0D69">
      <w:pPr>
        <w:spacing w:before="240" w:after="29"/>
        <w:rPr>
          <w:bCs/>
          <w:szCs w:val="20"/>
        </w:rPr>
      </w:pPr>
      <w:r w:rsidRPr="0086214D">
        <w:rPr>
          <w:bCs/>
          <w:szCs w:val="20"/>
        </w:rPr>
        <w:t xml:space="preserve">Malcolm B, </w:t>
      </w:r>
      <w:proofErr w:type="spellStart"/>
      <w:r w:rsidRPr="0086214D">
        <w:rPr>
          <w:bCs/>
          <w:szCs w:val="20"/>
        </w:rPr>
        <w:t>Makeham</w:t>
      </w:r>
      <w:proofErr w:type="spellEnd"/>
      <w:r w:rsidRPr="0086214D">
        <w:rPr>
          <w:bCs/>
          <w:szCs w:val="20"/>
        </w:rPr>
        <w:t xml:space="preserve"> J, Wright V 'The Farming Game - Agricultural Management and Marketing.' (Cambridge University Press: Melbourne)</w:t>
      </w:r>
    </w:p>
    <w:p w14:paraId="23A8C657" w14:textId="6F703EE0" w:rsidR="00521AA5" w:rsidRDefault="00521AA5" w:rsidP="003B0D69">
      <w:pPr>
        <w:spacing w:before="240" w:after="29"/>
        <w:rPr>
          <w:bCs/>
          <w:szCs w:val="20"/>
        </w:rPr>
      </w:pPr>
      <w:r w:rsidRPr="00521AA5">
        <w:rPr>
          <w:bCs/>
          <w:szCs w:val="20"/>
        </w:rPr>
        <w:t>Malcolm</w:t>
      </w:r>
      <w:r w:rsidR="00C474D8">
        <w:rPr>
          <w:bCs/>
          <w:szCs w:val="20"/>
        </w:rPr>
        <w:t xml:space="preserve"> </w:t>
      </w:r>
      <w:r w:rsidRPr="00521AA5">
        <w:rPr>
          <w:bCs/>
          <w:szCs w:val="20"/>
        </w:rPr>
        <w:t>B. (2011). Financing matters. Australian Farm Business Management Journal, 8(1), 11-18.</w:t>
      </w:r>
    </w:p>
    <w:p w14:paraId="43370623" w14:textId="6D34F506" w:rsidR="007871BE" w:rsidRDefault="007871BE" w:rsidP="003B0D69">
      <w:pPr>
        <w:spacing w:before="240" w:after="29"/>
        <w:rPr>
          <w:bCs/>
          <w:szCs w:val="20"/>
        </w:rPr>
      </w:pPr>
      <w:r w:rsidRPr="007871BE">
        <w:rPr>
          <w:bCs/>
          <w:szCs w:val="20"/>
        </w:rPr>
        <w:t>Sinnett A, Ho</w:t>
      </w:r>
      <w:r>
        <w:rPr>
          <w:bCs/>
          <w:szCs w:val="20"/>
        </w:rPr>
        <w:t xml:space="preserve"> </w:t>
      </w:r>
      <w:r w:rsidRPr="007871BE">
        <w:rPr>
          <w:bCs/>
          <w:szCs w:val="20"/>
        </w:rPr>
        <w:t>C. K. M, &amp; Malcolm, B. (2016). Expanding a dairy business affects business and financial risk. Animal Production Science, 57(10), 2167-2174.</w:t>
      </w:r>
    </w:p>
    <w:p w14:paraId="38DD4E7B" w14:textId="77777777" w:rsidR="009951B1" w:rsidRPr="0086214D" w:rsidRDefault="009951B1" w:rsidP="003B0D69">
      <w:pPr>
        <w:spacing w:before="240" w:after="29"/>
        <w:rPr>
          <w:bCs/>
          <w:szCs w:val="20"/>
        </w:rPr>
      </w:pPr>
    </w:p>
    <w:p w14:paraId="35E33AC5" w14:textId="23310279" w:rsidR="00E827F7" w:rsidRPr="0086214D" w:rsidRDefault="00E827F7" w:rsidP="003B049E">
      <w:pPr>
        <w:rPr>
          <w:b/>
          <w:bCs/>
          <w:szCs w:val="20"/>
        </w:rPr>
      </w:pPr>
    </w:p>
    <w:sectPr w:rsidR="00E827F7" w:rsidRPr="0086214D" w:rsidSect="001F749A">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678C" w14:textId="77777777" w:rsidR="00A83B9C" w:rsidRDefault="00A83B9C" w:rsidP="00D62269">
      <w:pPr>
        <w:spacing w:after="0" w:line="240" w:lineRule="auto"/>
      </w:pPr>
      <w:r>
        <w:separator/>
      </w:r>
    </w:p>
  </w:endnote>
  <w:endnote w:type="continuationSeparator" w:id="0">
    <w:p w14:paraId="2B17804A" w14:textId="77777777" w:rsidR="00A83B9C" w:rsidRDefault="00A83B9C" w:rsidP="00D62269">
      <w:pPr>
        <w:spacing w:after="0" w:line="240" w:lineRule="auto"/>
      </w:pPr>
      <w:r>
        <w:continuationSeparator/>
      </w:r>
    </w:p>
  </w:endnote>
  <w:endnote w:type="continuationNotice" w:id="1">
    <w:p w14:paraId="2CF8B734" w14:textId="77777777" w:rsidR="00A83B9C" w:rsidRDefault="00A83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C">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D196" w14:textId="66DD3372" w:rsidR="001D5272" w:rsidRDefault="00212F22">
    <w:pPr>
      <w:pStyle w:val="Footer"/>
    </w:pPr>
    <w:r>
      <w:rPr>
        <w:noProof/>
      </w:rPr>
      <mc:AlternateContent>
        <mc:Choice Requires="wps">
          <w:drawing>
            <wp:anchor distT="0" distB="0" distL="0" distR="0" simplePos="0" relativeHeight="251658243" behindDoc="0" locked="0" layoutInCell="1" allowOverlap="1" wp14:anchorId="4F0B7727" wp14:editId="68B0D5AE">
              <wp:simplePos x="635" y="635"/>
              <wp:positionH relativeFrom="page">
                <wp:align>center</wp:align>
              </wp:positionH>
              <wp:positionV relativeFrom="page">
                <wp:align>bottom</wp:align>
              </wp:positionV>
              <wp:extent cx="551815" cy="391160"/>
              <wp:effectExtent l="0" t="0" r="635" b="0"/>
              <wp:wrapNone/>
              <wp:docPr id="191912532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0F0154F" w14:textId="156E1932" w:rsidR="00212F22" w:rsidRPr="00212F22" w:rsidRDefault="00212F22" w:rsidP="00212F22">
                          <w:pPr>
                            <w:spacing w:after="0"/>
                            <w:rPr>
                              <w:rFonts w:ascii="Calibri" w:eastAsia="Calibri" w:hAnsi="Calibri" w:cs="Calibri"/>
                              <w:noProof/>
                              <w:color w:val="000000"/>
                              <w:sz w:val="24"/>
                              <w:szCs w:val="24"/>
                            </w:rPr>
                          </w:pPr>
                          <w:r w:rsidRPr="00212F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0B7727" id="_x0000_t202" coordsize="21600,21600" o:spt="202" path="m,l,21600r21600,l21600,xe">
              <v:stroke joinstyle="miter"/>
              <v:path gradientshapeok="t" o:connecttype="rect"/>
            </v:shapetype>
            <v:shape id="Text Box 2" o:spid="_x0000_s1031"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00F0154F" w14:textId="156E1932" w:rsidR="00212F22" w:rsidRPr="00212F22" w:rsidRDefault="00212F22" w:rsidP="00212F22">
                    <w:pPr>
                      <w:spacing w:after="0"/>
                      <w:rPr>
                        <w:rFonts w:ascii="Calibri" w:eastAsia="Calibri" w:hAnsi="Calibri" w:cs="Calibri"/>
                        <w:noProof/>
                        <w:color w:val="000000"/>
                        <w:sz w:val="24"/>
                        <w:szCs w:val="24"/>
                      </w:rPr>
                    </w:pPr>
                    <w:r w:rsidRPr="00212F22">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DDFB" w14:textId="3847317F" w:rsidR="000C20E1" w:rsidRDefault="000C20E1">
    <w:pPr>
      <w:pStyle w:val="Footer"/>
    </w:pPr>
    <w:r>
      <w:rPr>
        <w:noProof/>
      </w:rPr>
      <mc:AlternateContent>
        <mc:Choice Requires="wps">
          <w:drawing>
            <wp:anchor distT="0" distB="0" distL="114300" distR="114300" simplePos="0" relativeHeight="251658240" behindDoc="0" locked="0" layoutInCell="0" allowOverlap="1" wp14:anchorId="548E4134" wp14:editId="1E42B413">
              <wp:simplePos x="0" y="0"/>
              <wp:positionH relativeFrom="page">
                <wp:posOffset>0</wp:posOffset>
              </wp:positionH>
              <wp:positionV relativeFrom="page">
                <wp:posOffset>10248900</wp:posOffset>
              </wp:positionV>
              <wp:extent cx="7560310" cy="252095"/>
              <wp:effectExtent l="0" t="0" r="0" b="14605"/>
              <wp:wrapNone/>
              <wp:docPr id="4" name="Text Box 4"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F9A3A" w14:textId="47C740BA" w:rsidR="000C20E1" w:rsidRPr="000C20E1" w:rsidRDefault="000C20E1" w:rsidP="000C20E1">
                          <w:pPr>
                            <w:spacing w:after="0"/>
                            <w:jc w:val="center"/>
                            <w:rPr>
                              <w:rFonts w:ascii="Arial" w:hAnsi="Arial" w:cs="Arial"/>
                              <w:color w:val="000000"/>
                              <w:sz w:val="24"/>
                            </w:rPr>
                          </w:pPr>
                          <w:r w:rsidRPr="000C20E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8E4134" id="_x0000_t202" coordsize="21600,21600" o:spt="202" path="m,l,21600r21600,l21600,xe">
              <v:stroke joinstyle="miter"/>
              <v:path gradientshapeok="t" o:connecttype="rect"/>
            </v:shapetype>
            <v:shape id="Text Box 4" o:spid="_x0000_s1032" type="#_x0000_t202" alt="{&quot;HashCode&quot;:376260202,&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nG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q72cYXAgAAKwQAAA4AAAAAAAAAAAAAAAAALgIAAGRycy9lMm9Eb2MueG1sUEsBAi0AFAAG&#10;AAgAAAAhAF6iDg7fAAAACwEAAA8AAAAAAAAAAAAAAAAAcQQAAGRycy9kb3ducmV2LnhtbFBLBQYA&#10;AAAABAAEAPMAAAB9BQAAAAA=&#10;" o:allowincell="f" filled="f" stroked="f" strokeweight=".5pt">
              <v:textbox inset=",0,,0">
                <w:txbxContent>
                  <w:p w14:paraId="595F9A3A" w14:textId="47C740BA" w:rsidR="000C20E1" w:rsidRPr="000C20E1" w:rsidRDefault="000C20E1" w:rsidP="000C20E1">
                    <w:pPr>
                      <w:spacing w:after="0"/>
                      <w:jc w:val="center"/>
                      <w:rPr>
                        <w:rFonts w:ascii="Arial" w:hAnsi="Arial" w:cs="Arial"/>
                        <w:color w:val="000000"/>
                        <w:sz w:val="24"/>
                      </w:rPr>
                    </w:pPr>
                    <w:r w:rsidRPr="000C20E1">
                      <w:rPr>
                        <w:rFonts w:ascii="Arial" w:hAnsi="Arial"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C754" w14:textId="1C4BDDD1" w:rsidR="001D5272" w:rsidRDefault="00212F22">
    <w:pPr>
      <w:pStyle w:val="Footer"/>
    </w:pPr>
    <w:r>
      <w:rPr>
        <w:noProof/>
      </w:rPr>
      <mc:AlternateContent>
        <mc:Choice Requires="wps">
          <w:drawing>
            <wp:anchor distT="0" distB="0" distL="0" distR="0" simplePos="0" relativeHeight="251658242" behindDoc="0" locked="0" layoutInCell="1" allowOverlap="1" wp14:anchorId="25896781" wp14:editId="586A9B23">
              <wp:simplePos x="635" y="635"/>
              <wp:positionH relativeFrom="page">
                <wp:align>center</wp:align>
              </wp:positionH>
              <wp:positionV relativeFrom="page">
                <wp:align>bottom</wp:align>
              </wp:positionV>
              <wp:extent cx="551815" cy="391160"/>
              <wp:effectExtent l="0" t="0" r="635" b="0"/>
              <wp:wrapNone/>
              <wp:docPr id="100463586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D82B81D" w14:textId="1ADE2F8B" w:rsidR="00212F22" w:rsidRPr="00212F22" w:rsidRDefault="00212F22" w:rsidP="00212F22">
                          <w:pPr>
                            <w:spacing w:after="0"/>
                            <w:rPr>
                              <w:rFonts w:ascii="Calibri" w:eastAsia="Calibri" w:hAnsi="Calibri" w:cs="Calibri"/>
                              <w:noProof/>
                              <w:color w:val="000000"/>
                              <w:sz w:val="24"/>
                              <w:szCs w:val="24"/>
                            </w:rPr>
                          </w:pPr>
                          <w:r w:rsidRPr="00212F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896781" id="_x0000_t202" coordsize="21600,21600" o:spt="202" path="m,l,21600r21600,l21600,xe">
              <v:stroke joinstyle="miter"/>
              <v:path gradientshapeok="t" o:connecttype="rect"/>
            </v:shapetype>
            <v:shape id="_x0000_s1033"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7D82B81D" w14:textId="1ADE2F8B" w:rsidR="00212F22" w:rsidRPr="00212F22" w:rsidRDefault="00212F22" w:rsidP="00212F22">
                    <w:pPr>
                      <w:spacing w:after="0"/>
                      <w:rPr>
                        <w:rFonts w:ascii="Calibri" w:eastAsia="Calibri" w:hAnsi="Calibri" w:cs="Calibri"/>
                        <w:noProof/>
                        <w:color w:val="000000"/>
                        <w:sz w:val="24"/>
                        <w:szCs w:val="24"/>
                      </w:rPr>
                    </w:pPr>
                    <w:r w:rsidRPr="00212F22">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3F5E" w14:textId="77777777" w:rsidR="00A83B9C" w:rsidRDefault="00A83B9C" w:rsidP="00D62269">
      <w:pPr>
        <w:spacing w:after="0" w:line="240" w:lineRule="auto"/>
      </w:pPr>
      <w:r>
        <w:separator/>
      </w:r>
    </w:p>
  </w:footnote>
  <w:footnote w:type="continuationSeparator" w:id="0">
    <w:p w14:paraId="1588AF7D" w14:textId="77777777" w:rsidR="00A83B9C" w:rsidRDefault="00A83B9C" w:rsidP="00D62269">
      <w:pPr>
        <w:spacing w:after="0" w:line="240" w:lineRule="auto"/>
      </w:pPr>
      <w:r>
        <w:continuationSeparator/>
      </w:r>
    </w:p>
  </w:footnote>
  <w:footnote w:type="continuationNotice" w:id="1">
    <w:p w14:paraId="014180D9" w14:textId="77777777" w:rsidR="00A83B9C" w:rsidRDefault="00A83B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48F8" w14:textId="4D94E35B" w:rsidR="000C20E1" w:rsidRDefault="000C20E1">
    <w:pPr>
      <w:pStyle w:val="Header"/>
    </w:pPr>
    <w:r>
      <w:rPr>
        <w:noProof/>
      </w:rPr>
      <mc:AlternateContent>
        <mc:Choice Requires="wps">
          <w:drawing>
            <wp:anchor distT="0" distB="0" distL="114300" distR="114300" simplePos="0" relativeHeight="251658241" behindDoc="0" locked="0" layoutInCell="0" allowOverlap="1" wp14:anchorId="63E2FCF6" wp14:editId="6EF2C176">
              <wp:simplePos x="0" y="0"/>
              <wp:positionH relativeFrom="page">
                <wp:posOffset>0</wp:posOffset>
              </wp:positionH>
              <wp:positionV relativeFrom="page">
                <wp:posOffset>190500</wp:posOffset>
              </wp:positionV>
              <wp:extent cx="7560310" cy="252095"/>
              <wp:effectExtent l="0" t="0" r="0" b="14605"/>
              <wp:wrapNone/>
              <wp:docPr id="6" name="Text Box 6"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B97A0" w14:textId="725821CE" w:rsidR="000C20E1" w:rsidRPr="000C20E1" w:rsidRDefault="000C20E1" w:rsidP="000C20E1">
                          <w:pPr>
                            <w:spacing w:after="0"/>
                            <w:jc w:val="center"/>
                            <w:rPr>
                              <w:rFonts w:ascii="Arial" w:hAnsi="Arial" w:cs="Arial"/>
                              <w:color w:val="000000"/>
                              <w:sz w:val="24"/>
                            </w:rPr>
                          </w:pPr>
                          <w:r w:rsidRPr="000C20E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3E2FCF6" id="_x0000_t202" coordsize="21600,21600" o:spt="202" path="m,l,21600r21600,l21600,xe">
              <v:stroke joinstyle="miter"/>
              <v:path gradientshapeok="t" o:connecttype="rect"/>
            </v:shapetype>
            <v:shape id="Text Box 6" o:spid="_x0000_s1030" type="#_x0000_t202" alt="{&quot;HashCode&quot;:352122633,&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5CB97A0" w14:textId="725821CE" w:rsidR="000C20E1" w:rsidRPr="000C20E1" w:rsidRDefault="000C20E1" w:rsidP="000C20E1">
                    <w:pPr>
                      <w:spacing w:after="0"/>
                      <w:jc w:val="center"/>
                      <w:rPr>
                        <w:rFonts w:ascii="Arial" w:hAnsi="Arial" w:cs="Arial"/>
                        <w:color w:val="000000"/>
                        <w:sz w:val="24"/>
                      </w:rPr>
                    </w:pPr>
                    <w:r w:rsidRPr="000C20E1">
                      <w:rPr>
                        <w:rFonts w:ascii="Arial" w:hAnsi="Arial" w:cs="Arial"/>
                        <w:color w:val="000000"/>
                        <w:sz w:val="24"/>
                      </w:rPr>
                      <w:t>OFFICIAL</w:t>
                    </w:r>
                  </w:p>
                </w:txbxContent>
              </v:textbox>
              <w10:wrap anchorx="page" anchory="page"/>
            </v:shape>
          </w:pict>
        </mc:Fallback>
      </mc:AlternateContent>
    </w:r>
  </w:p>
</w:hdr>
</file>

<file path=word/intelligence.xml><?xml version="1.0" encoding="utf-8"?>
<int:Intelligence xmlns:int="http://schemas.microsoft.com/office/intelligence/2019/intelligence">
  <int:IntelligenceSettings/>
  <int:Manifest>
    <int:WordHash hashCode="GodVyhi+po+kPi" id="KxuGbUNl"/>
    <int:WordHash hashCode="3QWm+MyH19Pf9Y" id="EHz3Ewok"/>
    <int:ParagraphRange paragraphId="1758889309" textId="2004318071" start="0" length="3" invalidationStart="0" invalidationLength="3" id="jBognnnS"/>
    <int:ParagraphRange paragraphId="1707342310" textId="2004318071" start="49" length="11" invalidationStart="49" invalidationLength="11" id="hmE5zScL"/>
    <int:ParagraphRange paragraphId="710337438" textId="2004318071" start="11" length="7" invalidationStart="11" invalidationLength="7" id="KseC55bG"/>
    <int:ParagraphRange paragraphId="1650913261" textId="2004318071" start="0" length="7" invalidationStart="0" invalidationLength="7" id="IJ3JjcnB"/>
    <int:WordHash hashCode="EOK2dUQ+H01/Sp" id="BUwE0EqY"/>
    <int:WordHash hashCode="EiQMiSsIs6wPXs" id="KgX0qE/0"/>
    <int:ParagraphRange paragraphId="580923284" textId="1641525791" start="0" length="10" invalidationStart="0" invalidationLength="10" id="J4rSl552"/>
    <int:ParagraphRange paragraphId="1475571601" textId="1978222774" start="0" length="10" invalidationStart="0" invalidationLength="10" id="8aQdiCOM"/>
    <int:ParagraphRange paragraphId="82362172" textId="946511229" start="335" length="10" invalidationStart="335" invalidationLength="10" id="QCJSaeC7"/>
    <int:ParagraphRange paragraphId="710595436" textId="1993063402" start="0" length="10" invalidationStart="0" invalidationLength="10" id="8/M0ZQQi"/>
    <int:ParagraphRange paragraphId="295284369" textId="1808181860" start="18" length="13" invalidationStart="18" invalidationLength="13" id="6TDzAwqW"/>
    <int:ParagraphRange paragraphId="295284369" textId="1400999228" start="517" length="9" invalidationStart="517" invalidationLength="9" id="zfcSnYZJ"/>
    <int:ParagraphRange paragraphId="969658608" textId="252408988" start="88" length="10" invalidationStart="88" invalidationLength="10" id="tdkJEKQk"/>
    <int:ParagraphRange paragraphId="969658608" textId="252408988" start="304" length="10" invalidationStart="304" invalidationLength="10" id="YqZm4rhy"/>
    <int:ParagraphRange paragraphId="969658608" textId="252408988" start="460" length="10" invalidationStart="460" invalidationLength="10" id="LHbAjNF2"/>
    <int:ParagraphRange paragraphId="1565680559" textId="200087333" start="59" length="10" invalidationStart="59" invalidationLength="10" id="yNjbuVbF"/>
    <int:ParagraphRange paragraphId="117378555" textId="995538502" start="38" length="10" invalidationStart="38" invalidationLength="10" id="nfUQmiNB"/>
    <int:ParagraphRange paragraphId="227704730" textId="487278806" start="43" length="10" invalidationStart="43" invalidationLength="10" id="vhr6bvVK"/>
    <int:ParagraphRange paragraphId="435253322" textId="406583826" start="51" length="10" invalidationStart="51" invalidationLength="10" id="v6kw+Nnf"/>
    <int:ParagraphRange paragraphId="242956091" textId="1854742848" start="55" length="10" invalidationStart="55" invalidationLength="10" id="SzRPLzG6"/>
    <int:ParagraphRange paragraphId="1769905343" textId="77442657" start="45" length="10" invalidationStart="45" invalidationLength="10" id="S3PMt+xd"/>
    <int:ParagraphRange paragraphId="1707342310" textId="2004318071" start="26" length="5" invalidationStart="26" invalidationLength="5" id="XJ0eAe74"/>
    <int:ParagraphRange paragraphId="1650913261" textId="2004318071" start="65" length="3" invalidationStart="65" invalidationLength="3" id="Wv5x7T3C"/>
    <int:ParagraphRange paragraphId="373666749" textId="1602568310" start="475" length="10" invalidationStart="475" invalidationLength="10" id="XoV0HkB8"/>
    <int:ParagraphRange paragraphId="373666749" textId="1602568310" start="377" length="10" invalidationStart="377" invalidationLength="10" id="UhXEQO/D"/>
    <int:ParagraphRange paragraphId="700215350" textId="710580056" start="104" length="10" invalidationStart="104" invalidationLength="10" id="AWNIO/uP"/>
    <int:ParagraphRange paragraphId="1974339943" textId="1142100443" start="89" length="10" invalidationStart="89" invalidationLength="10" id="Fmr3BYbI"/>
    <int:WordHash hashCode="EfatjsUqKYSrqv" id="xMybvhAI"/>
    <int:WordHash hashCode="zNHh1JJ3Wjq1kG" id="Hcl0jpWH"/>
    <int:WordHash hashCode="igXZWEBAnfBjtM" id="Tv8vY58j"/>
    <int:WordHash hashCode="yl7TYsfLveKqaK" id="jF3Dzl9Z"/>
    <int:WordHash hashCode="QuJyQSw0O+W4ZN" id="Q+eqVl/j"/>
    <int:WordHash hashCode="0V/BIrLOvvP5Xc" id="82XuR7E6"/>
    <int:WordHash hashCode="fV7iOu05ZrRImQ" id="3zQZ4Ho3"/>
    <int:WordHash hashCode="E5evpY6D0xoZkk" id="xuWP4yhG"/>
    <int:WordHash hashCode="OaDzGyp0RuAEHA" id="Kkap1KWy"/>
    <int:WordHash hashCode="6M26fTkkwtCevU" id="7zciPYfA"/>
    <int:WordHash hashCode="cFiEnU/w4xULJH" id="l6t2/HXy"/>
    <int:WordHash hashCode="pmhk9FpaEkZEmb" id="ospeC4RG"/>
    <int:WordHash hashCode="tNNiz891W4EbMF" id="71b0zMZd"/>
    <int:WordHash hashCode="ZGiF2xBzVmYk4i" id="ZKCgrxic"/>
    <int:WordHash hashCode="RoHRJMxsS3O6q/" id="5Xct9Gke"/>
    <int:WordHash hashCode="lcsL/Sl3x2EpjZ" id="5gPUpfAu"/>
  </int:Manifest>
  <int:Observations>
    <int:Content id="KxuGbUNl">
      <int:Rejection type="LegacyProofing"/>
    </int:Content>
    <int:Content id="EHz3Ewok">
      <int:Rejection type="LegacyProofing"/>
    </int:Content>
    <int:Content id="jBognnnS">
      <int:Rejection type="LegacyProofing"/>
    </int:Content>
    <int:Content id="hmE5zScL">
      <int:Rejection type="LegacyProofing"/>
    </int:Content>
    <int:Content id="KseC55bG">
      <int:Rejection type="LegacyProofing"/>
    </int:Content>
    <int:Content id="IJ3JjcnB">
      <int:Rejection type="LegacyProofing"/>
    </int:Content>
    <int:Content id="BUwE0EqY">
      <int:Rejection type="LegacyProofing"/>
    </int:Content>
    <int:Content id="KgX0qE/0">
      <int:Rejection type="LegacyProofing"/>
    </int:Content>
    <int:Content id="J4rSl552">
      <int:Rejection type="LegacyProofing"/>
    </int:Content>
    <int:Content id="8aQdiCOM">
      <int:Rejection type="LegacyProofing"/>
    </int:Content>
    <int:Content id="QCJSaeC7">
      <int:Rejection type="LegacyProofing"/>
    </int:Content>
    <int:Content id="8/M0ZQQi">
      <int:Rejection type="LegacyProofing"/>
    </int:Content>
    <int:Content id="6TDzAwqW">
      <int:Rejection type="LegacyProofing"/>
    </int:Content>
    <int:Content id="zfcSnYZJ">
      <int:Rejection type="LegacyProofing"/>
    </int:Content>
    <int:Content id="tdkJEKQk">
      <int:Rejection type="LegacyProofing"/>
    </int:Content>
    <int:Content id="YqZm4rhy">
      <int:Rejection type="LegacyProofing"/>
    </int:Content>
    <int:Content id="LHbAjNF2">
      <int:Rejection type="LegacyProofing"/>
    </int:Content>
    <int:Content id="yNjbuVbF">
      <int:Rejection type="LegacyProofing"/>
    </int:Content>
    <int:Content id="nfUQmiNB">
      <int:Rejection type="LegacyProofing"/>
    </int:Content>
    <int:Content id="vhr6bvVK">
      <int:Rejection type="LegacyProofing"/>
    </int:Content>
    <int:Content id="v6kw+Nnf">
      <int:Rejection type="LegacyProofing"/>
    </int:Content>
    <int:Content id="SzRPLzG6">
      <int:Rejection type="LegacyProofing"/>
    </int:Content>
    <int:Content id="S3PMt+xd">
      <int:Rejection type="LegacyProofing"/>
    </int:Content>
    <int:Content id="XJ0eAe74">
      <int:Rejection type="LegacyProofing"/>
    </int:Content>
    <int:Content id="Wv5x7T3C">
      <int:Rejection type="LegacyProofing"/>
    </int:Content>
    <int:Content id="XoV0HkB8">
      <int:Rejection type="LegacyProofing"/>
    </int:Content>
    <int:Content id="UhXEQO/D">
      <int:Rejection type="LegacyProofing"/>
    </int:Content>
    <int:Content id="AWNIO/uP">
      <int:Rejection type="LegacyProofing"/>
    </int:Content>
    <int:Content id="Fmr3BYbI">
      <int:Rejection type="LegacyProofing"/>
    </int:Content>
    <int:Content id="xMybvhAI">
      <int:Rejection type="AugLoop_Text_Critique"/>
    </int:Content>
    <int:Content id="Hcl0jpWH">
      <int:Rejection type="LegacyProofing"/>
    </int:Content>
    <int:Content id="Tv8vY58j">
      <int:Rejection type="LegacyProofing"/>
    </int:Content>
    <int:Content id="jF3Dzl9Z">
      <int:Rejection type="LegacyProofing"/>
    </int:Content>
    <int:Content id="Q+eqVl/j">
      <int:Rejection type="LegacyProofing"/>
    </int:Content>
    <int:Content id="82XuR7E6">
      <int:Rejection type="LegacyProofing"/>
    </int:Content>
    <int:Content id="3zQZ4Ho3">
      <int:Rejection type="LegacyProofing"/>
    </int:Content>
    <int:Content id="xuWP4yhG">
      <int:Rejection type="AugLoop_Acronyms_AcronymsCritique"/>
    </int:Content>
    <int:Content id="Kkap1KWy">
      <int:Rejection type="AugLoop_Acronyms_AcronymsCritique"/>
    </int:Content>
    <int:Content id="7zciPYfA">
      <int:Rejection type="AugLoop_Acronyms_AcronymsCritique"/>
    </int:Content>
    <int:Content id="l6t2/HXy">
      <int:Rejection type="AugLoop_Acronyms_AcronymsCritique"/>
    </int:Content>
    <int:Content id="ospeC4RG">
      <int:Rejection type="AugLoop_Acronyms_AcronymsCritique"/>
    </int:Content>
    <int:Content id="71b0zMZd">
      <int:Rejection type="AugLoop_Acronyms_AcronymsCritique"/>
    </int:Content>
    <int:Content id="ZKCgrxic">
      <int:Rejection type="AugLoop_Text_Critique"/>
    </int:Content>
    <int:Content id="5Xct9Gke">
      <int:Rejection type="AugLoop_Text_Critique"/>
    </int:Content>
    <int:Content id="5gPUpfAu">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028B"/>
    <w:multiLevelType w:val="hybridMultilevel"/>
    <w:tmpl w:val="593268AC"/>
    <w:lvl w:ilvl="0" w:tplc="1F0A3F32">
      <w:start w:val="1"/>
      <w:numFmt w:val="bullet"/>
      <w:lvlText w:val=""/>
      <w:lvlJc w:val="left"/>
      <w:pPr>
        <w:ind w:left="1440" w:hanging="360"/>
      </w:pPr>
      <w:rPr>
        <w:rFonts w:ascii="Symbol" w:hAnsi="Symbol"/>
      </w:rPr>
    </w:lvl>
    <w:lvl w:ilvl="1" w:tplc="CD445482">
      <w:start w:val="1"/>
      <w:numFmt w:val="bullet"/>
      <w:lvlText w:val=""/>
      <w:lvlJc w:val="left"/>
      <w:pPr>
        <w:ind w:left="1440" w:hanging="360"/>
      </w:pPr>
      <w:rPr>
        <w:rFonts w:ascii="Symbol" w:hAnsi="Symbol"/>
      </w:rPr>
    </w:lvl>
    <w:lvl w:ilvl="2" w:tplc="7AFA38B0">
      <w:start w:val="1"/>
      <w:numFmt w:val="bullet"/>
      <w:lvlText w:val=""/>
      <w:lvlJc w:val="left"/>
      <w:pPr>
        <w:ind w:left="1440" w:hanging="360"/>
      </w:pPr>
      <w:rPr>
        <w:rFonts w:ascii="Symbol" w:hAnsi="Symbol"/>
      </w:rPr>
    </w:lvl>
    <w:lvl w:ilvl="3" w:tplc="2C923F02">
      <w:start w:val="1"/>
      <w:numFmt w:val="bullet"/>
      <w:lvlText w:val=""/>
      <w:lvlJc w:val="left"/>
      <w:pPr>
        <w:ind w:left="1440" w:hanging="360"/>
      </w:pPr>
      <w:rPr>
        <w:rFonts w:ascii="Symbol" w:hAnsi="Symbol"/>
      </w:rPr>
    </w:lvl>
    <w:lvl w:ilvl="4" w:tplc="79BC96CA">
      <w:start w:val="1"/>
      <w:numFmt w:val="bullet"/>
      <w:lvlText w:val=""/>
      <w:lvlJc w:val="left"/>
      <w:pPr>
        <w:ind w:left="1440" w:hanging="360"/>
      </w:pPr>
      <w:rPr>
        <w:rFonts w:ascii="Symbol" w:hAnsi="Symbol"/>
      </w:rPr>
    </w:lvl>
    <w:lvl w:ilvl="5" w:tplc="279279C4">
      <w:start w:val="1"/>
      <w:numFmt w:val="bullet"/>
      <w:lvlText w:val=""/>
      <w:lvlJc w:val="left"/>
      <w:pPr>
        <w:ind w:left="1440" w:hanging="360"/>
      </w:pPr>
      <w:rPr>
        <w:rFonts w:ascii="Symbol" w:hAnsi="Symbol"/>
      </w:rPr>
    </w:lvl>
    <w:lvl w:ilvl="6" w:tplc="C12AE4B4">
      <w:start w:val="1"/>
      <w:numFmt w:val="bullet"/>
      <w:lvlText w:val=""/>
      <w:lvlJc w:val="left"/>
      <w:pPr>
        <w:ind w:left="1440" w:hanging="360"/>
      </w:pPr>
      <w:rPr>
        <w:rFonts w:ascii="Symbol" w:hAnsi="Symbol"/>
      </w:rPr>
    </w:lvl>
    <w:lvl w:ilvl="7" w:tplc="90BE47E4">
      <w:start w:val="1"/>
      <w:numFmt w:val="bullet"/>
      <w:lvlText w:val=""/>
      <w:lvlJc w:val="left"/>
      <w:pPr>
        <w:ind w:left="1440" w:hanging="360"/>
      </w:pPr>
      <w:rPr>
        <w:rFonts w:ascii="Symbol" w:hAnsi="Symbol"/>
      </w:rPr>
    </w:lvl>
    <w:lvl w:ilvl="8" w:tplc="50D20090">
      <w:start w:val="1"/>
      <w:numFmt w:val="bullet"/>
      <w:lvlText w:val=""/>
      <w:lvlJc w:val="left"/>
      <w:pPr>
        <w:ind w:left="1440" w:hanging="360"/>
      </w:pPr>
      <w:rPr>
        <w:rFonts w:ascii="Symbol" w:hAnsi="Symbol"/>
      </w:rPr>
    </w:lvl>
  </w:abstractNum>
  <w:abstractNum w:abstractNumId="1" w15:restartNumberingAfterBreak="0">
    <w:nsid w:val="037E22EB"/>
    <w:multiLevelType w:val="hybridMultilevel"/>
    <w:tmpl w:val="82902E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5AD710A"/>
    <w:multiLevelType w:val="multilevel"/>
    <w:tmpl w:val="978C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BB4978"/>
    <w:multiLevelType w:val="hybridMultilevel"/>
    <w:tmpl w:val="9CB2F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307C6"/>
    <w:multiLevelType w:val="hybridMultilevel"/>
    <w:tmpl w:val="B7CA7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181095"/>
    <w:multiLevelType w:val="hybridMultilevel"/>
    <w:tmpl w:val="7312EA40"/>
    <w:lvl w:ilvl="0" w:tplc="96EEA1D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D2216F"/>
    <w:multiLevelType w:val="hybridMultilevel"/>
    <w:tmpl w:val="817CD1C2"/>
    <w:lvl w:ilvl="0" w:tplc="B69CF0E8">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431BC3"/>
    <w:multiLevelType w:val="hybridMultilevel"/>
    <w:tmpl w:val="654EBE30"/>
    <w:lvl w:ilvl="0" w:tplc="9BEC19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A238DF"/>
    <w:multiLevelType w:val="hybridMultilevel"/>
    <w:tmpl w:val="194CE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EE5AA2"/>
    <w:multiLevelType w:val="hybridMultilevel"/>
    <w:tmpl w:val="98C8C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AA2CC9"/>
    <w:multiLevelType w:val="hybridMultilevel"/>
    <w:tmpl w:val="BB8C8ADE"/>
    <w:lvl w:ilvl="0" w:tplc="EDBA8E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0A705F"/>
    <w:multiLevelType w:val="hybridMultilevel"/>
    <w:tmpl w:val="9404F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265EB2"/>
    <w:multiLevelType w:val="hybridMultilevel"/>
    <w:tmpl w:val="23E0B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4409356">
    <w:abstractNumId w:val="7"/>
  </w:num>
  <w:num w:numId="2" w16cid:durableId="934751028">
    <w:abstractNumId w:val="5"/>
  </w:num>
  <w:num w:numId="3" w16cid:durableId="851457892">
    <w:abstractNumId w:val="10"/>
  </w:num>
  <w:num w:numId="4" w16cid:durableId="476608779">
    <w:abstractNumId w:val="6"/>
  </w:num>
  <w:num w:numId="5" w16cid:durableId="1132091811">
    <w:abstractNumId w:val="2"/>
  </w:num>
  <w:num w:numId="6" w16cid:durableId="1216694304">
    <w:abstractNumId w:val="3"/>
  </w:num>
  <w:num w:numId="7" w16cid:durableId="2001303290">
    <w:abstractNumId w:val="4"/>
  </w:num>
  <w:num w:numId="8" w16cid:durableId="1896548755">
    <w:abstractNumId w:val="12"/>
  </w:num>
  <w:num w:numId="9" w16cid:durableId="1697151476">
    <w:abstractNumId w:val="1"/>
  </w:num>
  <w:num w:numId="10" w16cid:durableId="1434087132">
    <w:abstractNumId w:val="11"/>
  </w:num>
  <w:num w:numId="11" w16cid:durableId="2083672385">
    <w:abstractNumId w:val="0"/>
  </w:num>
  <w:num w:numId="12" w16cid:durableId="1908689132">
    <w:abstractNumId w:val="8"/>
  </w:num>
  <w:num w:numId="13" w16cid:durableId="14461916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89"/>
    <w:rsid w:val="00000923"/>
    <w:rsid w:val="0000138D"/>
    <w:rsid w:val="000018D6"/>
    <w:rsid w:val="0000190D"/>
    <w:rsid w:val="00001CF4"/>
    <w:rsid w:val="00002085"/>
    <w:rsid w:val="00002088"/>
    <w:rsid w:val="00002137"/>
    <w:rsid w:val="0000277A"/>
    <w:rsid w:val="00002BC6"/>
    <w:rsid w:val="00002C43"/>
    <w:rsid w:val="00002EDB"/>
    <w:rsid w:val="000031BC"/>
    <w:rsid w:val="000031E7"/>
    <w:rsid w:val="00004120"/>
    <w:rsid w:val="00004126"/>
    <w:rsid w:val="00004895"/>
    <w:rsid w:val="00004C01"/>
    <w:rsid w:val="0000507C"/>
    <w:rsid w:val="00005138"/>
    <w:rsid w:val="00005965"/>
    <w:rsid w:val="00006204"/>
    <w:rsid w:val="000066B0"/>
    <w:rsid w:val="00006BD9"/>
    <w:rsid w:val="00006D2F"/>
    <w:rsid w:val="00006D8C"/>
    <w:rsid w:val="00006F8B"/>
    <w:rsid w:val="000073CA"/>
    <w:rsid w:val="000074DB"/>
    <w:rsid w:val="00007857"/>
    <w:rsid w:val="00007ACA"/>
    <w:rsid w:val="000101D9"/>
    <w:rsid w:val="00010625"/>
    <w:rsid w:val="000109C4"/>
    <w:rsid w:val="00010A09"/>
    <w:rsid w:val="00010C6F"/>
    <w:rsid w:val="00011183"/>
    <w:rsid w:val="000116E8"/>
    <w:rsid w:val="00011705"/>
    <w:rsid w:val="00011AF1"/>
    <w:rsid w:val="00011FEE"/>
    <w:rsid w:val="0001211E"/>
    <w:rsid w:val="000123EA"/>
    <w:rsid w:val="00012C9A"/>
    <w:rsid w:val="0001324E"/>
    <w:rsid w:val="00013694"/>
    <w:rsid w:val="000141CB"/>
    <w:rsid w:val="00014661"/>
    <w:rsid w:val="00014676"/>
    <w:rsid w:val="000146D1"/>
    <w:rsid w:val="00014FE9"/>
    <w:rsid w:val="00015080"/>
    <w:rsid w:val="000155B8"/>
    <w:rsid w:val="00015BF1"/>
    <w:rsid w:val="00015FCF"/>
    <w:rsid w:val="000160C3"/>
    <w:rsid w:val="00016531"/>
    <w:rsid w:val="00017128"/>
    <w:rsid w:val="000174FD"/>
    <w:rsid w:val="000175F2"/>
    <w:rsid w:val="000176D5"/>
    <w:rsid w:val="0001779D"/>
    <w:rsid w:val="00017E17"/>
    <w:rsid w:val="00017F99"/>
    <w:rsid w:val="00020146"/>
    <w:rsid w:val="0002026A"/>
    <w:rsid w:val="00020BB3"/>
    <w:rsid w:val="000214CB"/>
    <w:rsid w:val="000217F0"/>
    <w:rsid w:val="00022066"/>
    <w:rsid w:val="00022486"/>
    <w:rsid w:val="00022F45"/>
    <w:rsid w:val="00023065"/>
    <w:rsid w:val="00023125"/>
    <w:rsid w:val="000233E9"/>
    <w:rsid w:val="0002382E"/>
    <w:rsid w:val="00023D0B"/>
    <w:rsid w:val="00023DED"/>
    <w:rsid w:val="00023F13"/>
    <w:rsid w:val="000242E4"/>
    <w:rsid w:val="000243A7"/>
    <w:rsid w:val="00024587"/>
    <w:rsid w:val="0002464C"/>
    <w:rsid w:val="00024F24"/>
    <w:rsid w:val="000250D3"/>
    <w:rsid w:val="0002516E"/>
    <w:rsid w:val="0002521D"/>
    <w:rsid w:val="00025229"/>
    <w:rsid w:val="00025272"/>
    <w:rsid w:val="0002544F"/>
    <w:rsid w:val="000256DD"/>
    <w:rsid w:val="0002588A"/>
    <w:rsid w:val="00025C5A"/>
    <w:rsid w:val="00025E1C"/>
    <w:rsid w:val="0002609E"/>
    <w:rsid w:val="000260D7"/>
    <w:rsid w:val="000260E0"/>
    <w:rsid w:val="0002613C"/>
    <w:rsid w:val="00026287"/>
    <w:rsid w:val="000262B6"/>
    <w:rsid w:val="00026366"/>
    <w:rsid w:val="000268C6"/>
    <w:rsid w:val="00026A47"/>
    <w:rsid w:val="00026C18"/>
    <w:rsid w:val="00026DE5"/>
    <w:rsid w:val="0002702D"/>
    <w:rsid w:val="000271A4"/>
    <w:rsid w:val="00027667"/>
    <w:rsid w:val="00027838"/>
    <w:rsid w:val="0002785A"/>
    <w:rsid w:val="00027A3E"/>
    <w:rsid w:val="00027BDF"/>
    <w:rsid w:val="00030850"/>
    <w:rsid w:val="00030B14"/>
    <w:rsid w:val="00030BAA"/>
    <w:rsid w:val="00030C4C"/>
    <w:rsid w:val="000316B0"/>
    <w:rsid w:val="0003183F"/>
    <w:rsid w:val="000324A6"/>
    <w:rsid w:val="00032543"/>
    <w:rsid w:val="000325CB"/>
    <w:rsid w:val="000327E7"/>
    <w:rsid w:val="00032922"/>
    <w:rsid w:val="00032F35"/>
    <w:rsid w:val="00032F37"/>
    <w:rsid w:val="000332E0"/>
    <w:rsid w:val="00033BA0"/>
    <w:rsid w:val="00033FDC"/>
    <w:rsid w:val="0003434D"/>
    <w:rsid w:val="0003437D"/>
    <w:rsid w:val="0003461E"/>
    <w:rsid w:val="000346CE"/>
    <w:rsid w:val="000348B7"/>
    <w:rsid w:val="000349FD"/>
    <w:rsid w:val="00034AEB"/>
    <w:rsid w:val="000350AC"/>
    <w:rsid w:val="000354AE"/>
    <w:rsid w:val="000358DA"/>
    <w:rsid w:val="00035923"/>
    <w:rsid w:val="00035B06"/>
    <w:rsid w:val="00035BA4"/>
    <w:rsid w:val="00035D7F"/>
    <w:rsid w:val="00035E90"/>
    <w:rsid w:val="00035F19"/>
    <w:rsid w:val="00035F4F"/>
    <w:rsid w:val="00036179"/>
    <w:rsid w:val="00036455"/>
    <w:rsid w:val="000366F5"/>
    <w:rsid w:val="00036945"/>
    <w:rsid w:val="00036A63"/>
    <w:rsid w:val="00036A6A"/>
    <w:rsid w:val="00036BA7"/>
    <w:rsid w:val="00036BD5"/>
    <w:rsid w:val="00036BF6"/>
    <w:rsid w:val="00036FEC"/>
    <w:rsid w:val="000372A3"/>
    <w:rsid w:val="00037E7C"/>
    <w:rsid w:val="000402FB"/>
    <w:rsid w:val="000403C3"/>
    <w:rsid w:val="000408E0"/>
    <w:rsid w:val="00040D67"/>
    <w:rsid w:val="0004145A"/>
    <w:rsid w:val="00041555"/>
    <w:rsid w:val="0004164F"/>
    <w:rsid w:val="00041712"/>
    <w:rsid w:val="0004187A"/>
    <w:rsid w:val="000419D3"/>
    <w:rsid w:val="0004239E"/>
    <w:rsid w:val="00042445"/>
    <w:rsid w:val="0004253B"/>
    <w:rsid w:val="000425E9"/>
    <w:rsid w:val="00042D5E"/>
    <w:rsid w:val="00043504"/>
    <w:rsid w:val="0004354C"/>
    <w:rsid w:val="00043CF3"/>
    <w:rsid w:val="000440C5"/>
    <w:rsid w:val="00044107"/>
    <w:rsid w:val="00044B34"/>
    <w:rsid w:val="00044C60"/>
    <w:rsid w:val="00044E8E"/>
    <w:rsid w:val="0004509A"/>
    <w:rsid w:val="000452D6"/>
    <w:rsid w:val="000456C6"/>
    <w:rsid w:val="0004629E"/>
    <w:rsid w:val="0004641A"/>
    <w:rsid w:val="000464CA"/>
    <w:rsid w:val="000468DE"/>
    <w:rsid w:val="00046D51"/>
    <w:rsid w:val="00046F95"/>
    <w:rsid w:val="00046FD9"/>
    <w:rsid w:val="00047881"/>
    <w:rsid w:val="00047DAA"/>
    <w:rsid w:val="00050172"/>
    <w:rsid w:val="00050675"/>
    <w:rsid w:val="00050CAF"/>
    <w:rsid w:val="00050CDB"/>
    <w:rsid w:val="00051500"/>
    <w:rsid w:val="0005187C"/>
    <w:rsid w:val="00052092"/>
    <w:rsid w:val="0005254F"/>
    <w:rsid w:val="00052563"/>
    <w:rsid w:val="00052D8D"/>
    <w:rsid w:val="00052F3E"/>
    <w:rsid w:val="00052F4D"/>
    <w:rsid w:val="00052F90"/>
    <w:rsid w:val="0005367C"/>
    <w:rsid w:val="00053A23"/>
    <w:rsid w:val="00053A93"/>
    <w:rsid w:val="00053B2B"/>
    <w:rsid w:val="00053B2D"/>
    <w:rsid w:val="000544EE"/>
    <w:rsid w:val="00054801"/>
    <w:rsid w:val="000548E4"/>
    <w:rsid w:val="0005491C"/>
    <w:rsid w:val="00054B21"/>
    <w:rsid w:val="000551AA"/>
    <w:rsid w:val="00055C54"/>
    <w:rsid w:val="0005606C"/>
    <w:rsid w:val="00056156"/>
    <w:rsid w:val="00056579"/>
    <w:rsid w:val="0005693D"/>
    <w:rsid w:val="00056BBC"/>
    <w:rsid w:val="00056CF2"/>
    <w:rsid w:val="00056D9C"/>
    <w:rsid w:val="00056FE8"/>
    <w:rsid w:val="0005755A"/>
    <w:rsid w:val="0005783D"/>
    <w:rsid w:val="0006010B"/>
    <w:rsid w:val="0006023A"/>
    <w:rsid w:val="00060516"/>
    <w:rsid w:val="00060A2E"/>
    <w:rsid w:val="00060B13"/>
    <w:rsid w:val="00060B2E"/>
    <w:rsid w:val="000614B5"/>
    <w:rsid w:val="00061577"/>
    <w:rsid w:val="00061582"/>
    <w:rsid w:val="00061A0B"/>
    <w:rsid w:val="00061DE6"/>
    <w:rsid w:val="00062923"/>
    <w:rsid w:val="00063007"/>
    <w:rsid w:val="0006379C"/>
    <w:rsid w:val="00063BC1"/>
    <w:rsid w:val="000641D6"/>
    <w:rsid w:val="0006427C"/>
    <w:rsid w:val="00064693"/>
    <w:rsid w:val="000648A1"/>
    <w:rsid w:val="00064A68"/>
    <w:rsid w:val="00064B22"/>
    <w:rsid w:val="00064E2D"/>
    <w:rsid w:val="00065123"/>
    <w:rsid w:val="000651EC"/>
    <w:rsid w:val="0006550A"/>
    <w:rsid w:val="000656E0"/>
    <w:rsid w:val="00065AA6"/>
    <w:rsid w:val="00065AAC"/>
    <w:rsid w:val="00065C9F"/>
    <w:rsid w:val="000667CB"/>
    <w:rsid w:val="00066C63"/>
    <w:rsid w:val="00067841"/>
    <w:rsid w:val="00067916"/>
    <w:rsid w:val="00067D4A"/>
    <w:rsid w:val="00067EE2"/>
    <w:rsid w:val="00067F5C"/>
    <w:rsid w:val="00067FED"/>
    <w:rsid w:val="0007005C"/>
    <w:rsid w:val="00070221"/>
    <w:rsid w:val="00070B2A"/>
    <w:rsid w:val="00071119"/>
    <w:rsid w:val="00071514"/>
    <w:rsid w:val="00071786"/>
    <w:rsid w:val="00071A07"/>
    <w:rsid w:val="000722B7"/>
    <w:rsid w:val="000724B5"/>
    <w:rsid w:val="00072913"/>
    <w:rsid w:val="0007294A"/>
    <w:rsid w:val="00073883"/>
    <w:rsid w:val="00073B93"/>
    <w:rsid w:val="00074500"/>
    <w:rsid w:val="00074638"/>
    <w:rsid w:val="0007464C"/>
    <w:rsid w:val="00074883"/>
    <w:rsid w:val="000749DE"/>
    <w:rsid w:val="00075348"/>
    <w:rsid w:val="0007540D"/>
    <w:rsid w:val="00075929"/>
    <w:rsid w:val="00076350"/>
    <w:rsid w:val="00076758"/>
    <w:rsid w:val="00076B9D"/>
    <w:rsid w:val="00076EA1"/>
    <w:rsid w:val="00076EBE"/>
    <w:rsid w:val="00077212"/>
    <w:rsid w:val="000772A9"/>
    <w:rsid w:val="0008035B"/>
    <w:rsid w:val="000806DF"/>
    <w:rsid w:val="0008092F"/>
    <w:rsid w:val="0008123E"/>
    <w:rsid w:val="00081293"/>
    <w:rsid w:val="000814E0"/>
    <w:rsid w:val="00081679"/>
    <w:rsid w:val="00081C15"/>
    <w:rsid w:val="00081FAD"/>
    <w:rsid w:val="00082114"/>
    <w:rsid w:val="00082165"/>
    <w:rsid w:val="00082446"/>
    <w:rsid w:val="00083184"/>
    <w:rsid w:val="00083AFD"/>
    <w:rsid w:val="00083F27"/>
    <w:rsid w:val="000848C2"/>
    <w:rsid w:val="00084CD4"/>
    <w:rsid w:val="00084E93"/>
    <w:rsid w:val="00084FBE"/>
    <w:rsid w:val="000854C4"/>
    <w:rsid w:val="000857EF"/>
    <w:rsid w:val="00086314"/>
    <w:rsid w:val="00086A8D"/>
    <w:rsid w:val="00086D5A"/>
    <w:rsid w:val="00086EB9"/>
    <w:rsid w:val="00087149"/>
    <w:rsid w:val="00087546"/>
    <w:rsid w:val="00087679"/>
    <w:rsid w:val="00087731"/>
    <w:rsid w:val="00087C4F"/>
    <w:rsid w:val="00090BC1"/>
    <w:rsid w:val="00091013"/>
    <w:rsid w:val="00091583"/>
    <w:rsid w:val="00091708"/>
    <w:rsid w:val="0009171C"/>
    <w:rsid w:val="000917DE"/>
    <w:rsid w:val="00091A76"/>
    <w:rsid w:val="00091C66"/>
    <w:rsid w:val="00091DC3"/>
    <w:rsid w:val="0009212F"/>
    <w:rsid w:val="00092162"/>
    <w:rsid w:val="000926E5"/>
    <w:rsid w:val="00092C9B"/>
    <w:rsid w:val="000936E5"/>
    <w:rsid w:val="0009379D"/>
    <w:rsid w:val="00093A66"/>
    <w:rsid w:val="00093BE6"/>
    <w:rsid w:val="00093DE6"/>
    <w:rsid w:val="00093ECB"/>
    <w:rsid w:val="000942BB"/>
    <w:rsid w:val="0009489F"/>
    <w:rsid w:val="00094DE0"/>
    <w:rsid w:val="00094F03"/>
    <w:rsid w:val="0009508D"/>
    <w:rsid w:val="0009552C"/>
    <w:rsid w:val="00095AD7"/>
    <w:rsid w:val="00095C94"/>
    <w:rsid w:val="000963B7"/>
    <w:rsid w:val="000963E8"/>
    <w:rsid w:val="0009649B"/>
    <w:rsid w:val="00096971"/>
    <w:rsid w:val="00096DAE"/>
    <w:rsid w:val="00097018"/>
    <w:rsid w:val="00097585"/>
    <w:rsid w:val="000976FC"/>
    <w:rsid w:val="00097847"/>
    <w:rsid w:val="0009797E"/>
    <w:rsid w:val="00097A28"/>
    <w:rsid w:val="00097CA0"/>
    <w:rsid w:val="000A00E8"/>
    <w:rsid w:val="000A01DD"/>
    <w:rsid w:val="000A0958"/>
    <w:rsid w:val="000A0CEC"/>
    <w:rsid w:val="000A0EC2"/>
    <w:rsid w:val="000A0F27"/>
    <w:rsid w:val="000A0F4E"/>
    <w:rsid w:val="000A0F63"/>
    <w:rsid w:val="000A0FBD"/>
    <w:rsid w:val="000A1020"/>
    <w:rsid w:val="000A1065"/>
    <w:rsid w:val="000A15D9"/>
    <w:rsid w:val="000A1650"/>
    <w:rsid w:val="000A16C6"/>
    <w:rsid w:val="000A17E1"/>
    <w:rsid w:val="000A1ADD"/>
    <w:rsid w:val="000A2012"/>
    <w:rsid w:val="000A2081"/>
    <w:rsid w:val="000A240A"/>
    <w:rsid w:val="000A249F"/>
    <w:rsid w:val="000A2690"/>
    <w:rsid w:val="000A2DAA"/>
    <w:rsid w:val="000A2FDE"/>
    <w:rsid w:val="000A3180"/>
    <w:rsid w:val="000A3642"/>
    <w:rsid w:val="000A36B0"/>
    <w:rsid w:val="000A3827"/>
    <w:rsid w:val="000A3CB4"/>
    <w:rsid w:val="000A435F"/>
    <w:rsid w:val="000A4A46"/>
    <w:rsid w:val="000A4EB9"/>
    <w:rsid w:val="000A4ED9"/>
    <w:rsid w:val="000A58C6"/>
    <w:rsid w:val="000A5B17"/>
    <w:rsid w:val="000A5F6E"/>
    <w:rsid w:val="000A6374"/>
    <w:rsid w:val="000A6675"/>
    <w:rsid w:val="000A6AD7"/>
    <w:rsid w:val="000A6D1A"/>
    <w:rsid w:val="000A6D57"/>
    <w:rsid w:val="000A6F4F"/>
    <w:rsid w:val="000A7239"/>
    <w:rsid w:val="000A7473"/>
    <w:rsid w:val="000A754E"/>
    <w:rsid w:val="000A76D8"/>
    <w:rsid w:val="000A78F5"/>
    <w:rsid w:val="000A7BF3"/>
    <w:rsid w:val="000A7C70"/>
    <w:rsid w:val="000A7F7F"/>
    <w:rsid w:val="000B0196"/>
    <w:rsid w:val="000B0C9A"/>
    <w:rsid w:val="000B0EEF"/>
    <w:rsid w:val="000B0FF1"/>
    <w:rsid w:val="000B12AE"/>
    <w:rsid w:val="000B1C51"/>
    <w:rsid w:val="000B2399"/>
    <w:rsid w:val="000B25F4"/>
    <w:rsid w:val="000B2612"/>
    <w:rsid w:val="000B2924"/>
    <w:rsid w:val="000B2EF4"/>
    <w:rsid w:val="000B2F63"/>
    <w:rsid w:val="000B2FA2"/>
    <w:rsid w:val="000B2FFE"/>
    <w:rsid w:val="000B3448"/>
    <w:rsid w:val="000B3C4F"/>
    <w:rsid w:val="000B43AC"/>
    <w:rsid w:val="000B448B"/>
    <w:rsid w:val="000B4648"/>
    <w:rsid w:val="000B47A2"/>
    <w:rsid w:val="000B4E73"/>
    <w:rsid w:val="000B51DF"/>
    <w:rsid w:val="000B561E"/>
    <w:rsid w:val="000B565A"/>
    <w:rsid w:val="000B59C8"/>
    <w:rsid w:val="000B5ADD"/>
    <w:rsid w:val="000B5AEA"/>
    <w:rsid w:val="000B5EB4"/>
    <w:rsid w:val="000B5FDF"/>
    <w:rsid w:val="000B60DB"/>
    <w:rsid w:val="000B62FA"/>
    <w:rsid w:val="000B6939"/>
    <w:rsid w:val="000B6D59"/>
    <w:rsid w:val="000B6E2D"/>
    <w:rsid w:val="000B6FB9"/>
    <w:rsid w:val="000B6FD2"/>
    <w:rsid w:val="000B761E"/>
    <w:rsid w:val="000B77BC"/>
    <w:rsid w:val="000B78F5"/>
    <w:rsid w:val="000B7BE1"/>
    <w:rsid w:val="000C009B"/>
    <w:rsid w:val="000C0B8C"/>
    <w:rsid w:val="000C0C8E"/>
    <w:rsid w:val="000C1123"/>
    <w:rsid w:val="000C1125"/>
    <w:rsid w:val="000C129A"/>
    <w:rsid w:val="000C1A4D"/>
    <w:rsid w:val="000C1B7A"/>
    <w:rsid w:val="000C1F40"/>
    <w:rsid w:val="000C1FD8"/>
    <w:rsid w:val="000C2028"/>
    <w:rsid w:val="000C2029"/>
    <w:rsid w:val="000C2060"/>
    <w:rsid w:val="000C20E1"/>
    <w:rsid w:val="000C2156"/>
    <w:rsid w:val="000C2335"/>
    <w:rsid w:val="000C2590"/>
    <w:rsid w:val="000C2A6B"/>
    <w:rsid w:val="000C2C62"/>
    <w:rsid w:val="000C2C90"/>
    <w:rsid w:val="000C35D3"/>
    <w:rsid w:val="000C3C8D"/>
    <w:rsid w:val="000C4B45"/>
    <w:rsid w:val="000C5027"/>
    <w:rsid w:val="000C5141"/>
    <w:rsid w:val="000C5984"/>
    <w:rsid w:val="000C6037"/>
    <w:rsid w:val="000C67F0"/>
    <w:rsid w:val="000C729B"/>
    <w:rsid w:val="000C7427"/>
    <w:rsid w:val="000C74C5"/>
    <w:rsid w:val="000C777F"/>
    <w:rsid w:val="000C7D09"/>
    <w:rsid w:val="000C7E02"/>
    <w:rsid w:val="000D02F0"/>
    <w:rsid w:val="000D05FF"/>
    <w:rsid w:val="000D0CBF"/>
    <w:rsid w:val="000D0CD1"/>
    <w:rsid w:val="000D153C"/>
    <w:rsid w:val="000D175F"/>
    <w:rsid w:val="000D1ABD"/>
    <w:rsid w:val="000D1B2F"/>
    <w:rsid w:val="000D1C05"/>
    <w:rsid w:val="000D1CAC"/>
    <w:rsid w:val="000D1FC4"/>
    <w:rsid w:val="000D26AE"/>
    <w:rsid w:val="000D29D8"/>
    <w:rsid w:val="000D2E64"/>
    <w:rsid w:val="000D36AB"/>
    <w:rsid w:val="000D3F19"/>
    <w:rsid w:val="000D4B32"/>
    <w:rsid w:val="000D4C52"/>
    <w:rsid w:val="000D4E32"/>
    <w:rsid w:val="000D5499"/>
    <w:rsid w:val="000D5877"/>
    <w:rsid w:val="000D5D3E"/>
    <w:rsid w:val="000D5E6A"/>
    <w:rsid w:val="000D611B"/>
    <w:rsid w:val="000D67BF"/>
    <w:rsid w:val="000D6CFB"/>
    <w:rsid w:val="000D6F05"/>
    <w:rsid w:val="000D70A6"/>
    <w:rsid w:val="000D74A9"/>
    <w:rsid w:val="000D756D"/>
    <w:rsid w:val="000D761A"/>
    <w:rsid w:val="000D7765"/>
    <w:rsid w:val="000E000B"/>
    <w:rsid w:val="000E0163"/>
    <w:rsid w:val="000E0698"/>
    <w:rsid w:val="000E0824"/>
    <w:rsid w:val="000E098C"/>
    <w:rsid w:val="000E0B95"/>
    <w:rsid w:val="000E0CCB"/>
    <w:rsid w:val="000E1302"/>
    <w:rsid w:val="000E2C20"/>
    <w:rsid w:val="000E2FD1"/>
    <w:rsid w:val="000E3158"/>
    <w:rsid w:val="000E38CC"/>
    <w:rsid w:val="000E4070"/>
    <w:rsid w:val="000E4576"/>
    <w:rsid w:val="000E4ADC"/>
    <w:rsid w:val="000E524A"/>
    <w:rsid w:val="000E56C8"/>
    <w:rsid w:val="000E5B3D"/>
    <w:rsid w:val="000E5B46"/>
    <w:rsid w:val="000E5D3A"/>
    <w:rsid w:val="000E631E"/>
    <w:rsid w:val="000E65DA"/>
    <w:rsid w:val="000E68A5"/>
    <w:rsid w:val="000E6DFB"/>
    <w:rsid w:val="000E730A"/>
    <w:rsid w:val="000E7496"/>
    <w:rsid w:val="000E7A37"/>
    <w:rsid w:val="000E7ADB"/>
    <w:rsid w:val="000E7FDD"/>
    <w:rsid w:val="000F0604"/>
    <w:rsid w:val="000F06D4"/>
    <w:rsid w:val="000F06FF"/>
    <w:rsid w:val="000F078D"/>
    <w:rsid w:val="000F0B5C"/>
    <w:rsid w:val="000F0BB9"/>
    <w:rsid w:val="000F1071"/>
    <w:rsid w:val="000F117D"/>
    <w:rsid w:val="000F1B61"/>
    <w:rsid w:val="000F2534"/>
    <w:rsid w:val="000F261F"/>
    <w:rsid w:val="000F2DDE"/>
    <w:rsid w:val="000F2EEB"/>
    <w:rsid w:val="000F3119"/>
    <w:rsid w:val="000F334D"/>
    <w:rsid w:val="000F39DE"/>
    <w:rsid w:val="000F4379"/>
    <w:rsid w:val="000F4F43"/>
    <w:rsid w:val="000F4F88"/>
    <w:rsid w:val="000F54CF"/>
    <w:rsid w:val="000F5844"/>
    <w:rsid w:val="000F5A27"/>
    <w:rsid w:val="000F5BAA"/>
    <w:rsid w:val="000F5F51"/>
    <w:rsid w:val="000F6044"/>
    <w:rsid w:val="000F608E"/>
    <w:rsid w:val="000F6146"/>
    <w:rsid w:val="000F6EB3"/>
    <w:rsid w:val="000F711E"/>
    <w:rsid w:val="000F7484"/>
    <w:rsid w:val="000F74B8"/>
    <w:rsid w:val="000F7793"/>
    <w:rsid w:val="000F77F8"/>
    <w:rsid w:val="000F7C3E"/>
    <w:rsid w:val="000F7E08"/>
    <w:rsid w:val="000F7EF4"/>
    <w:rsid w:val="000F7F2F"/>
    <w:rsid w:val="000F7F4E"/>
    <w:rsid w:val="00100127"/>
    <w:rsid w:val="001006E9"/>
    <w:rsid w:val="00100B96"/>
    <w:rsid w:val="00100C8C"/>
    <w:rsid w:val="00101141"/>
    <w:rsid w:val="001011DE"/>
    <w:rsid w:val="00101373"/>
    <w:rsid w:val="00101441"/>
    <w:rsid w:val="0010148E"/>
    <w:rsid w:val="00101813"/>
    <w:rsid w:val="00101C9B"/>
    <w:rsid w:val="00101CD6"/>
    <w:rsid w:val="00101DDC"/>
    <w:rsid w:val="00101E96"/>
    <w:rsid w:val="00102408"/>
    <w:rsid w:val="00102A79"/>
    <w:rsid w:val="00102D37"/>
    <w:rsid w:val="001031D9"/>
    <w:rsid w:val="00103584"/>
    <w:rsid w:val="0010362B"/>
    <w:rsid w:val="00103BC4"/>
    <w:rsid w:val="001040FE"/>
    <w:rsid w:val="0010434F"/>
    <w:rsid w:val="001048C2"/>
    <w:rsid w:val="0010506F"/>
    <w:rsid w:val="00105095"/>
    <w:rsid w:val="001052E7"/>
    <w:rsid w:val="00105549"/>
    <w:rsid w:val="0010566E"/>
    <w:rsid w:val="00105A38"/>
    <w:rsid w:val="00105BA3"/>
    <w:rsid w:val="00105CC7"/>
    <w:rsid w:val="00105DF5"/>
    <w:rsid w:val="0010616E"/>
    <w:rsid w:val="00106329"/>
    <w:rsid w:val="001065E5"/>
    <w:rsid w:val="00106841"/>
    <w:rsid w:val="00106F8B"/>
    <w:rsid w:val="001070A5"/>
    <w:rsid w:val="001071DD"/>
    <w:rsid w:val="00110208"/>
    <w:rsid w:val="00110413"/>
    <w:rsid w:val="001105FF"/>
    <w:rsid w:val="001107B5"/>
    <w:rsid w:val="00110A00"/>
    <w:rsid w:val="00110BCF"/>
    <w:rsid w:val="00110C82"/>
    <w:rsid w:val="00110E07"/>
    <w:rsid w:val="0011151A"/>
    <w:rsid w:val="001115BF"/>
    <w:rsid w:val="001123ED"/>
    <w:rsid w:val="0011261C"/>
    <w:rsid w:val="00112869"/>
    <w:rsid w:val="00112899"/>
    <w:rsid w:val="001128A4"/>
    <w:rsid w:val="001128EF"/>
    <w:rsid w:val="001129EC"/>
    <w:rsid w:val="00112C34"/>
    <w:rsid w:val="00112EAE"/>
    <w:rsid w:val="00113281"/>
    <w:rsid w:val="00113297"/>
    <w:rsid w:val="00113645"/>
    <w:rsid w:val="00114044"/>
    <w:rsid w:val="001140D5"/>
    <w:rsid w:val="001146CC"/>
    <w:rsid w:val="00114FE8"/>
    <w:rsid w:val="0011504F"/>
    <w:rsid w:val="00115081"/>
    <w:rsid w:val="00115172"/>
    <w:rsid w:val="00115551"/>
    <w:rsid w:val="00115877"/>
    <w:rsid w:val="001159C9"/>
    <w:rsid w:val="00115CD8"/>
    <w:rsid w:val="00115E54"/>
    <w:rsid w:val="00115EB8"/>
    <w:rsid w:val="00115FCE"/>
    <w:rsid w:val="00116509"/>
    <w:rsid w:val="001165CB"/>
    <w:rsid w:val="00116CF3"/>
    <w:rsid w:val="00116FB6"/>
    <w:rsid w:val="001170AA"/>
    <w:rsid w:val="0011756F"/>
    <w:rsid w:val="001179E3"/>
    <w:rsid w:val="00117AEC"/>
    <w:rsid w:val="00117BEA"/>
    <w:rsid w:val="0012169B"/>
    <w:rsid w:val="001216FD"/>
    <w:rsid w:val="001219F7"/>
    <w:rsid w:val="00121B93"/>
    <w:rsid w:val="00121CCE"/>
    <w:rsid w:val="00121EB5"/>
    <w:rsid w:val="00122124"/>
    <w:rsid w:val="00122136"/>
    <w:rsid w:val="00122338"/>
    <w:rsid w:val="001223F6"/>
    <w:rsid w:val="0012295B"/>
    <w:rsid w:val="00122C67"/>
    <w:rsid w:val="001230DC"/>
    <w:rsid w:val="00123214"/>
    <w:rsid w:val="00123282"/>
    <w:rsid w:val="00123383"/>
    <w:rsid w:val="00123C75"/>
    <w:rsid w:val="00123FCD"/>
    <w:rsid w:val="001243A2"/>
    <w:rsid w:val="001244AC"/>
    <w:rsid w:val="001245EA"/>
    <w:rsid w:val="0012464B"/>
    <w:rsid w:val="00124BD1"/>
    <w:rsid w:val="001250DD"/>
    <w:rsid w:val="00125474"/>
    <w:rsid w:val="001254CA"/>
    <w:rsid w:val="001254ED"/>
    <w:rsid w:val="0012575F"/>
    <w:rsid w:val="00125858"/>
    <w:rsid w:val="00125BF8"/>
    <w:rsid w:val="00125C05"/>
    <w:rsid w:val="00125CD4"/>
    <w:rsid w:val="00125DF6"/>
    <w:rsid w:val="00126016"/>
    <w:rsid w:val="00126782"/>
    <w:rsid w:val="00126981"/>
    <w:rsid w:val="00126A67"/>
    <w:rsid w:val="00126B7B"/>
    <w:rsid w:val="00126BE1"/>
    <w:rsid w:val="0012729C"/>
    <w:rsid w:val="001274C0"/>
    <w:rsid w:val="001276D6"/>
    <w:rsid w:val="001277CC"/>
    <w:rsid w:val="001279CD"/>
    <w:rsid w:val="00127CDB"/>
    <w:rsid w:val="001301F4"/>
    <w:rsid w:val="001302AE"/>
    <w:rsid w:val="00130597"/>
    <w:rsid w:val="00130797"/>
    <w:rsid w:val="00130DE3"/>
    <w:rsid w:val="00130FC6"/>
    <w:rsid w:val="001316CF"/>
    <w:rsid w:val="00131AE4"/>
    <w:rsid w:val="00132228"/>
    <w:rsid w:val="001325D7"/>
    <w:rsid w:val="00132A0D"/>
    <w:rsid w:val="00132A78"/>
    <w:rsid w:val="00132AC1"/>
    <w:rsid w:val="00132F39"/>
    <w:rsid w:val="0013300D"/>
    <w:rsid w:val="0013342F"/>
    <w:rsid w:val="00133543"/>
    <w:rsid w:val="0013355A"/>
    <w:rsid w:val="00133564"/>
    <w:rsid w:val="001335BC"/>
    <w:rsid w:val="00133640"/>
    <w:rsid w:val="00133B08"/>
    <w:rsid w:val="00133F8D"/>
    <w:rsid w:val="0013449C"/>
    <w:rsid w:val="00134549"/>
    <w:rsid w:val="001346C6"/>
    <w:rsid w:val="001348F2"/>
    <w:rsid w:val="00134ED2"/>
    <w:rsid w:val="00134F5D"/>
    <w:rsid w:val="00134FCB"/>
    <w:rsid w:val="001355D8"/>
    <w:rsid w:val="0013579A"/>
    <w:rsid w:val="0013594D"/>
    <w:rsid w:val="00135B58"/>
    <w:rsid w:val="00135D46"/>
    <w:rsid w:val="0013668E"/>
    <w:rsid w:val="00136813"/>
    <w:rsid w:val="00136B07"/>
    <w:rsid w:val="00136B0B"/>
    <w:rsid w:val="00136F1D"/>
    <w:rsid w:val="00137033"/>
    <w:rsid w:val="001370DC"/>
    <w:rsid w:val="0013726F"/>
    <w:rsid w:val="00137605"/>
    <w:rsid w:val="00137648"/>
    <w:rsid w:val="001376C0"/>
    <w:rsid w:val="00137C0E"/>
    <w:rsid w:val="00137F59"/>
    <w:rsid w:val="00137FAA"/>
    <w:rsid w:val="00137FDC"/>
    <w:rsid w:val="001403E7"/>
    <w:rsid w:val="00140427"/>
    <w:rsid w:val="00140A2E"/>
    <w:rsid w:val="00140C74"/>
    <w:rsid w:val="00140C83"/>
    <w:rsid w:val="001414D1"/>
    <w:rsid w:val="00141562"/>
    <w:rsid w:val="00141574"/>
    <w:rsid w:val="001417C6"/>
    <w:rsid w:val="001417F1"/>
    <w:rsid w:val="001420B8"/>
    <w:rsid w:val="00142137"/>
    <w:rsid w:val="00142403"/>
    <w:rsid w:val="00142494"/>
    <w:rsid w:val="001424A0"/>
    <w:rsid w:val="0014256F"/>
    <w:rsid w:val="00142613"/>
    <w:rsid w:val="00143173"/>
    <w:rsid w:val="001433E4"/>
    <w:rsid w:val="00143856"/>
    <w:rsid w:val="00143CF0"/>
    <w:rsid w:val="00144619"/>
    <w:rsid w:val="00144915"/>
    <w:rsid w:val="00144EA1"/>
    <w:rsid w:val="00145235"/>
    <w:rsid w:val="00145A4F"/>
    <w:rsid w:val="00145A8A"/>
    <w:rsid w:val="00145DDF"/>
    <w:rsid w:val="0014611C"/>
    <w:rsid w:val="00146198"/>
    <w:rsid w:val="00146224"/>
    <w:rsid w:val="0014683C"/>
    <w:rsid w:val="001469B5"/>
    <w:rsid w:val="00146F61"/>
    <w:rsid w:val="001472D6"/>
    <w:rsid w:val="001473BF"/>
    <w:rsid w:val="0014773A"/>
    <w:rsid w:val="00147811"/>
    <w:rsid w:val="00147E03"/>
    <w:rsid w:val="00147F2E"/>
    <w:rsid w:val="00150046"/>
    <w:rsid w:val="0015088F"/>
    <w:rsid w:val="00150D9E"/>
    <w:rsid w:val="00150EEA"/>
    <w:rsid w:val="001514E3"/>
    <w:rsid w:val="001517A1"/>
    <w:rsid w:val="00151876"/>
    <w:rsid w:val="001518E3"/>
    <w:rsid w:val="0015198E"/>
    <w:rsid w:val="00151F66"/>
    <w:rsid w:val="001520B0"/>
    <w:rsid w:val="0015249D"/>
    <w:rsid w:val="001529D2"/>
    <w:rsid w:val="00152C87"/>
    <w:rsid w:val="00152CEF"/>
    <w:rsid w:val="001535FC"/>
    <w:rsid w:val="00153815"/>
    <w:rsid w:val="00153834"/>
    <w:rsid w:val="00153A0D"/>
    <w:rsid w:val="00153CEA"/>
    <w:rsid w:val="00153E21"/>
    <w:rsid w:val="00153E4B"/>
    <w:rsid w:val="00154206"/>
    <w:rsid w:val="001543E6"/>
    <w:rsid w:val="001547D2"/>
    <w:rsid w:val="00154C51"/>
    <w:rsid w:val="00154E68"/>
    <w:rsid w:val="0015553E"/>
    <w:rsid w:val="001557D2"/>
    <w:rsid w:val="00155B0D"/>
    <w:rsid w:val="00155D46"/>
    <w:rsid w:val="001560A7"/>
    <w:rsid w:val="00156434"/>
    <w:rsid w:val="00156575"/>
    <w:rsid w:val="001572F8"/>
    <w:rsid w:val="0015769C"/>
    <w:rsid w:val="001579B7"/>
    <w:rsid w:val="00157CF5"/>
    <w:rsid w:val="00157DA5"/>
    <w:rsid w:val="001606C2"/>
    <w:rsid w:val="00160935"/>
    <w:rsid w:val="001609E8"/>
    <w:rsid w:val="00160A01"/>
    <w:rsid w:val="00161165"/>
    <w:rsid w:val="0016117A"/>
    <w:rsid w:val="00161266"/>
    <w:rsid w:val="00161888"/>
    <w:rsid w:val="00161C15"/>
    <w:rsid w:val="00161ECB"/>
    <w:rsid w:val="00162155"/>
    <w:rsid w:val="001625F7"/>
    <w:rsid w:val="00162754"/>
    <w:rsid w:val="0016278F"/>
    <w:rsid w:val="00162835"/>
    <w:rsid w:val="00162A9B"/>
    <w:rsid w:val="001634F0"/>
    <w:rsid w:val="00163B0A"/>
    <w:rsid w:val="00163C04"/>
    <w:rsid w:val="00164371"/>
    <w:rsid w:val="001643F6"/>
    <w:rsid w:val="00164AC4"/>
    <w:rsid w:val="00165569"/>
    <w:rsid w:val="001655BB"/>
    <w:rsid w:val="00165622"/>
    <w:rsid w:val="001658AD"/>
    <w:rsid w:val="001658C4"/>
    <w:rsid w:val="001659D2"/>
    <w:rsid w:val="00165C78"/>
    <w:rsid w:val="00166041"/>
    <w:rsid w:val="00166407"/>
    <w:rsid w:val="00166629"/>
    <w:rsid w:val="0016674D"/>
    <w:rsid w:val="0016684C"/>
    <w:rsid w:val="00166914"/>
    <w:rsid w:val="00166B9C"/>
    <w:rsid w:val="00167226"/>
    <w:rsid w:val="00167B38"/>
    <w:rsid w:val="00167E17"/>
    <w:rsid w:val="00167E73"/>
    <w:rsid w:val="00170A44"/>
    <w:rsid w:val="00170C42"/>
    <w:rsid w:val="00170E76"/>
    <w:rsid w:val="00171273"/>
    <w:rsid w:val="001712A4"/>
    <w:rsid w:val="00171322"/>
    <w:rsid w:val="00171968"/>
    <w:rsid w:val="00171FD1"/>
    <w:rsid w:val="001729CE"/>
    <w:rsid w:val="00172FFC"/>
    <w:rsid w:val="00173113"/>
    <w:rsid w:val="0017369E"/>
    <w:rsid w:val="00173B10"/>
    <w:rsid w:val="001740D5"/>
    <w:rsid w:val="001742AD"/>
    <w:rsid w:val="00174376"/>
    <w:rsid w:val="00174779"/>
    <w:rsid w:val="0017493F"/>
    <w:rsid w:val="00174AB2"/>
    <w:rsid w:val="00174F8C"/>
    <w:rsid w:val="0017500D"/>
    <w:rsid w:val="00175707"/>
    <w:rsid w:val="00175A00"/>
    <w:rsid w:val="00175F48"/>
    <w:rsid w:val="001762BC"/>
    <w:rsid w:val="00176898"/>
    <w:rsid w:val="00176AA0"/>
    <w:rsid w:val="00176AE7"/>
    <w:rsid w:val="0017719E"/>
    <w:rsid w:val="001774AD"/>
    <w:rsid w:val="001778BB"/>
    <w:rsid w:val="00177EE7"/>
    <w:rsid w:val="0018003E"/>
    <w:rsid w:val="001800C0"/>
    <w:rsid w:val="00180434"/>
    <w:rsid w:val="001804D7"/>
    <w:rsid w:val="00180826"/>
    <w:rsid w:val="00180977"/>
    <w:rsid w:val="00181196"/>
    <w:rsid w:val="00181AC2"/>
    <w:rsid w:val="00181D9D"/>
    <w:rsid w:val="00181EC3"/>
    <w:rsid w:val="00182177"/>
    <w:rsid w:val="001822CB"/>
    <w:rsid w:val="00182734"/>
    <w:rsid w:val="001829B3"/>
    <w:rsid w:val="00182ADA"/>
    <w:rsid w:val="00182B84"/>
    <w:rsid w:val="0018377D"/>
    <w:rsid w:val="00183897"/>
    <w:rsid w:val="00183B34"/>
    <w:rsid w:val="00183E2F"/>
    <w:rsid w:val="00184035"/>
    <w:rsid w:val="001843A0"/>
    <w:rsid w:val="00184786"/>
    <w:rsid w:val="00184CD1"/>
    <w:rsid w:val="00184E2D"/>
    <w:rsid w:val="00185057"/>
    <w:rsid w:val="00185266"/>
    <w:rsid w:val="001857BB"/>
    <w:rsid w:val="001857C1"/>
    <w:rsid w:val="001860FB"/>
    <w:rsid w:val="0018613E"/>
    <w:rsid w:val="00186AC3"/>
    <w:rsid w:val="00186BC3"/>
    <w:rsid w:val="001873D6"/>
    <w:rsid w:val="0018761A"/>
    <w:rsid w:val="00187E17"/>
    <w:rsid w:val="00190055"/>
    <w:rsid w:val="001900C8"/>
    <w:rsid w:val="0019012F"/>
    <w:rsid w:val="00190209"/>
    <w:rsid w:val="001902CA"/>
    <w:rsid w:val="0019060C"/>
    <w:rsid w:val="00190893"/>
    <w:rsid w:val="00190B8F"/>
    <w:rsid w:val="00190D26"/>
    <w:rsid w:val="00191BA9"/>
    <w:rsid w:val="00191CB0"/>
    <w:rsid w:val="001923D6"/>
    <w:rsid w:val="001923E2"/>
    <w:rsid w:val="00192582"/>
    <w:rsid w:val="001927B1"/>
    <w:rsid w:val="00192814"/>
    <w:rsid w:val="00192EB0"/>
    <w:rsid w:val="00192EE9"/>
    <w:rsid w:val="0019344A"/>
    <w:rsid w:val="0019347A"/>
    <w:rsid w:val="00193594"/>
    <w:rsid w:val="001938F0"/>
    <w:rsid w:val="00193D91"/>
    <w:rsid w:val="00193EA2"/>
    <w:rsid w:val="00193F14"/>
    <w:rsid w:val="001943A8"/>
    <w:rsid w:val="001945C0"/>
    <w:rsid w:val="001946AA"/>
    <w:rsid w:val="001949A6"/>
    <w:rsid w:val="00195AD1"/>
    <w:rsid w:val="00196311"/>
    <w:rsid w:val="001965EA"/>
    <w:rsid w:val="0019698F"/>
    <w:rsid w:val="00196C1B"/>
    <w:rsid w:val="00196C4C"/>
    <w:rsid w:val="0019704C"/>
    <w:rsid w:val="0019745E"/>
    <w:rsid w:val="0019773C"/>
    <w:rsid w:val="00197E4A"/>
    <w:rsid w:val="00197E86"/>
    <w:rsid w:val="001A0055"/>
    <w:rsid w:val="001A0329"/>
    <w:rsid w:val="001A0C00"/>
    <w:rsid w:val="001A0CE5"/>
    <w:rsid w:val="001A0F50"/>
    <w:rsid w:val="001A17AC"/>
    <w:rsid w:val="001A1916"/>
    <w:rsid w:val="001A1C16"/>
    <w:rsid w:val="001A2278"/>
    <w:rsid w:val="001A2602"/>
    <w:rsid w:val="001A2786"/>
    <w:rsid w:val="001A2B3B"/>
    <w:rsid w:val="001A2F51"/>
    <w:rsid w:val="001A3353"/>
    <w:rsid w:val="001A37A8"/>
    <w:rsid w:val="001A3FCD"/>
    <w:rsid w:val="001A4425"/>
    <w:rsid w:val="001A4BC5"/>
    <w:rsid w:val="001A5360"/>
    <w:rsid w:val="001A55EB"/>
    <w:rsid w:val="001A5739"/>
    <w:rsid w:val="001A58BD"/>
    <w:rsid w:val="001A5A52"/>
    <w:rsid w:val="001A5ACB"/>
    <w:rsid w:val="001A5BF7"/>
    <w:rsid w:val="001A62A3"/>
    <w:rsid w:val="001A69CB"/>
    <w:rsid w:val="001A6BED"/>
    <w:rsid w:val="001A6E20"/>
    <w:rsid w:val="001A7670"/>
    <w:rsid w:val="001A76EB"/>
    <w:rsid w:val="001A7B59"/>
    <w:rsid w:val="001A7FC9"/>
    <w:rsid w:val="001B0185"/>
    <w:rsid w:val="001B030D"/>
    <w:rsid w:val="001B0318"/>
    <w:rsid w:val="001B0890"/>
    <w:rsid w:val="001B0DC5"/>
    <w:rsid w:val="001B0F55"/>
    <w:rsid w:val="001B1437"/>
    <w:rsid w:val="001B14B1"/>
    <w:rsid w:val="001B170C"/>
    <w:rsid w:val="001B17BF"/>
    <w:rsid w:val="001B18C8"/>
    <w:rsid w:val="001B1A31"/>
    <w:rsid w:val="001B1B23"/>
    <w:rsid w:val="001B1C61"/>
    <w:rsid w:val="001B22CE"/>
    <w:rsid w:val="001B2460"/>
    <w:rsid w:val="001B26A5"/>
    <w:rsid w:val="001B27EA"/>
    <w:rsid w:val="001B2D87"/>
    <w:rsid w:val="001B2FC9"/>
    <w:rsid w:val="001B32F9"/>
    <w:rsid w:val="001B3450"/>
    <w:rsid w:val="001B3537"/>
    <w:rsid w:val="001B36BC"/>
    <w:rsid w:val="001B3B5F"/>
    <w:rsid w:val="001B3C38"/>
    <w:rsid w:val="001B3DD5"/>
    <w:rsid w:val="001B3DF5"/>
    <w:rsid w:val="001B4A28"/>
    <w:rsid w:val="001B4C3D"/>
    <w:rsid w:val="001B4D30"/>
    <w:rsid w:val="001B52E9"/>
    <w:rsid w:val="001B55A5"/>
    <w:rsid w:val="001B59A6"/>
    <w:rsid w:val="001B5C2C"/>
    <w:rsid w:val="001B5E2F"/>
    <w:rsid w:val="001B5E52"/>
    <w:rsid w:val="001B5E85"/>
    <w:rsid w:val="001B5F96"/>
    <w:rsid w:val="001B6182"/>
    <w:rsid w:val="001B6A77"/>
    <w:rsid w:val="001B6C9F"/>
    <w:rsid w:val="001B7420"/>
    <w:rsid w:val="001B754B"/>
    <w:rsid w:val="001B76F5"/>
    <w:rsid w:val="001B77F6"/>
    <w:rsid w:val="001B7A69"/>
    <w:rsid w:val="001B7BB0"/>
    <w:rsid w:val="001B7C63"/>
    <w:rsid w:val="001C1152"/>
    <w:rsid w:val="001C1C6A"/>
    <w:rsid w:val="001C22AD"/>
    <w:rsid w:val="001C253F"/>
    <w:rsid w:val="001C2643"/>
    <w:rsid w:val="001C2712"/>
    <w:rsid w:val="001C28AB"/>
    <w:rsid w:val="001C292D"/>
    <w:rsid w:val="001C295A"/>
    <w:rsid w:val="001C3240"/>
    <w:rsid w:val="001C3626"/>
    <w:rsid w:val="001C4210"/>
    <w:rsid w:val="001C4325"/>
    <w:rsid w:val="001C43EF"/>
    <w:rsid w:val="001C4A02"/>
    <w:rsid w:val="001C4E52"/>
    <w:rsid w:val="001C557B"/>
    <w:rsid w:val="001C5BF5"/>
    <w:rsid w:val="001C5F34"/>
    <w:rsid w:val="001C6187"/>
    <w:rsid w:val="001C6412"/>
    <w:rsid w:val="001C6565"/>
    <w:rsid w:val="001C6579"/>
    <w:rsid w:val="001C6785"/>
    <w:rsid w:val="001C67FC"/>
    <w:rsid w:val="001C6A22"/>
    <w:rsid w:val="001C6B21"/>
    <w:rsid w:val="001C72B1"/>
    <w:rsid w:val="001C74D6"/>
    <w:rsid w:val="001C754C"/>
    <w:rsid w:val="001C783E"/>
    <w:rsid w:val="001C78A4"/>
    <w:rsid w:val="001C7E47"/>
    <w:rsid w:val="001D0095"/>
    <w:rsid w:val="001D0A58"/>
    <w:rsid w:val="001D0E4B"/>
    <w:rsid w:val="001D0EC5"/>
    <w:rsid w:val="001D136C"/>
    <w:rsid w:val="001D136F"/>
    <w:rsid w:val="001D15C2"/>
    <w:rsid w:val="001D1680"/>
    <w:rsid w:val="001D184D"/>
    <w:rsid w:val="001D1ABC"/>
    <w:rsid w:val="001D1C05"/>
    <w:rsid w:val="001D1F34"/>
    <w:rsid w:val="001D206F"/>
    <w:rsid w:val="001D23D0"/>
    <w:rsid w:val="001D25A2"/>
    <w:rsid w:val="001D29B6"/>
    <w:rsid w:val="001D3AD8"/>
    <w:rsid w:val="001D3D87"/>
    <w:rsid w:val="001D43FD"/>
    <w:rsid w:val="001D4497"/>
    <w:rsid w:val="001D450F"/>
    <w:rsid w:val="001D4F82"/>
    <w:rsid w:val="001D50DC"/>
    <w:rsid w:val="001D517C"/>
    <w:rsid w:val="001D5272"/>
    <w:rsid w:val="001D5342"/>
    <w:rsid w:val="001D55E5"/>
    <w:rsid w:val="001D56AB"/>
    <w:rsid w:val="001D57EA"/>
    <w:rsid w:val="001D580F"/>
    <w:rsid w:val="001D58D0"/>
    <w:rsid w:val="001D5A4A"/>
    <w:rsid w:val="001D5D79"/>
    <w:rsid w:val="001D5E4D"/>
    <w:rsid w:val="001D60E2"/>
    <w:rsid w:val="001D6938"/>
    <w:rsid w:val="001D6C0E"/>
    <w:rsid w:val="001D6EF1"/>
    <w:rsid w:val="001D7015"/>
    <w:rsid w:val="001D7099"/>
    <w:rsid w:val="001D721E"/>
    <w:rsid w:val="001D7C57"/>
    <w:rsid w:val="001D7D04"/>
    <w:rsid w:val="001D7E69"/>
    <w:rsid w:val="001D7F0A"/>
    <w:rsid w:val="001D7F4F"/>
    <w:rsid w:val="001E02CA"/>
    <w:rsid w:val="001E05C3"/>
    <w:rsid w:val="001E0B34"/>
    <w:rsid w:val="001E0C65"/>
    <w:rsid w:val="001E0D95"/>
    <w:rsid w:val="001E0E35"/>
    <w:rsid w:val="001E0F3A"/>
    <w:rsid w:val="001E1153"/>
    <w:rsid w:val="001E1434"/>
    <w:rsid w:val="001E1439"/>
    <w:rsid w:val="001E15E2"/>
    <w:rsid w:val="001E1669"/>
    <w:rsid w:val="001E16C8"/>
    <w:rsid w:val="001E1E13"/>
    <w:rsid w:val="001E234B"/>
    <w:rsid w:val="001E297D"/>
    <w:rsid w:val="001E29C3"/>
    <w:rsid w:val="001E2D67"/>
    <w:rsid w:val="001E32B1"/>
    <w:rsid w:val="001E372B"/>
    <w:rsid w:val="001E38CA"/>
    <w:rsid w:val="001E488F"/>
    <w:rsid w:val="001E4F81"/>
    <w:rsid w:val="001E516D"/>
    <w:rsid w:val="001E5C00"/>
    <w:rsid w:val="001E5FBE"/>
    <w:rsid w:val="001E625E"/>
    <w:rsid w:val="001E66F6"/>
    <w:rsid w:val="001E699F"/>
    <w:rsid w:val="001E6ACE"/>
    <w:rsid w:val="001E6BE7"/>
    <w:rsid w:val="001E6CB8"/>
    <w:rsid w:val="001E6E1B"/>
    <w:rsid w:val="001E71EB"/>
    <w:rsid w:val="001E76EF"/>
    <w:rsid w:val="001E7717"/>
    <w:rsid w:val="001E7754"/>
    <w:rsid w:val="001E78EC"/>
    <w:rsid w:val="001E791D"/>
    <w:rsid w:val="001F04B0"/>
    <w:rsid w:val="001F056E"/>
    <w:rsid w:val="001F0B78"/>
    <w:rsid w:val="001F0D8F"/>
    <w:rsid w:val="001F121B"/>
    <w:rsid w:val="001F137B"/>
    <w:rsid w:val="001F1718"/>
    <w:rsid w:val="001F1CD8"/>
    <w:rsid w:val="001F205F"/>
    <w:rsid w:val="001F20CA"/>
    <w:rsid w:val="001F2366"/>
    <w:rsid w:val="001F25A4"/>
    <w:rsid w:val="001F2723"/>
    <w:rsid w:val="001F2757"/>
    <w:rsid w:val="001F2886"/>
    <w:rsid w:val="001F2943"/>
    <w:rsid w:val="001F29FE"/>
    <w:rsid w:val="001F2E6E"/>
    <w:rsid w:val="001F3200"/>
    <w:rsid w:val="001F334B"/>
    <w:rsid w:val="001F3369"/>
    <w:rsid w:val="001F350E"/>
    <w:rsid w:val="001F35FF"/>
    <w:rsid w:val="001F37D5"/>
    <w:rsid w:val="001F3F18"/>
    <w:rsid w:val="001F4399"/>
    <w:rsid w:val="001F4455"/>
    <w:rsid w:val="001F44F9"/>
    <w:rsid w:val="001F45C9"/>
    <w:rsid w:val="001F4646"/>
    <w:rsid w:val="001F4914"/>
    <w:rsid w:val="001F4C5C"/>
    <w:rsid w:val="001F50F2"/>
    <w:rsid w:val="001F54F0"/>
    <w:rsid w:val="001F57BE"/>
    <w:rsid w:val="001F58C5"/>
    <w:rsid w:val="001F591E"/>
    <w:rsid w:val="001F60BC"/>
    <w:rsid w:val="001F60D6"/>
    <w:rsid w:val="001F68FE"/>
    <w:rsid w:val="001F6A02"/>
    <w:rsid w:val="001F6B9F"/>
    <w:rsid w:val="001F6BA4"/>
    <w:rsid w:val="001F73E2"/>
    <w:rsid w:val="001F749A"/>
    <w:rsid w:val="001F787C"/>
    <w:rsid w:val="001F7C33"/>
    <w:rsid w:val="001F7E62"/>
    <w:rsid w:val="001F7FBC"/>
    <w:rsid w:val="00200075"/>
    <w:rsid w:val="002002FE"/>
    <w:rsid w:val="0020048B"/>
    <w:rsid w:val="00200522"/>
    <w:rsid w:val="002005E9"/>
    <w:rsid w:val="002008F7"/>
    <w:rsid w:val="002008F9"/>
    <w:rsid w:val="00200A70"/>
    <w:rsid w:val="00200CAE"/>
    <w:rsid w:val="00200F07"/>
    <w:rsid w:val="00201857"/>
    <w:rsid w:val="002022E8"/>
    <w:rsid w:val="0020231E"/>
    <w:rsid w:val="00202565"/>
    <w:rsid w:val="0020293A"/>
    <w:rsid w:val="00203110"/>
    <w:rsid w:val="0020317A"/>
    <w:rsid w:val="00203637"/>
    <w:rsid w:val="00203C7C"/>
    <w:rsid w:val="00203C85"/>
    <w:rsid w:val="00203F75"/>
    <w:rsid w:val="00204510"/>
    <w:rsid w:val="0020456B"/>
    <w:rsid w:val="0020474F"/>
    <w:rsid w:val="00204809"/>
    <w:rsid w:val="00204922"/>
    <w:rsid w:val="00204D1C"/>
    <w:rsid w:val="00204FFE"/>
    <w:rsid w:val="002051F3"/>
    <w:rsid w:val="00205307"/>
    <w:rsid w:val="002055D3"/>
    <w:rsid w:val="00205EEA"/>
    <w:rsid w:val="0020654D"/>
    <w:rsid w:val="00206E4F"/>
    <w:rsid w:val="002075A7"/>
    <w:rsid w:val="00207996"/>
    <w:rsid w:val="00207D28"/>
    <w:rsid w:val="00207E3B"/>
    <w:rsid w:val="00210040"/>
    <w:rsid w:val="00210171"/>
    <w:rsid w:val="002101CE"/>
    <w:rsid w:val="00210390"/>
    <w:rsid w:val="0021079A"/>
    <w:rsid w:val="00210CA6"/>
    <w:rsid w:val="00210F87"/>
    <w:rsid w:val="0021151F"/>
    <w:rsid w:val="002119C9"/>
    <w:rsid w:val="00211B1B"/>
    <w:rsid w:val="00211B3D"/>
    <w:rsid w:val="00211E91"/>
    <w:rsid w:val="002121E9"/>
    <w:rsid w:val="00212354"/>
    <w:rsid w:val="002125EC"/>
    <w:rsid w:val="00212669"/>
    <w:rsid w:val="00212D37"/>
    <w:rsid w:val="00212F22"/>
    <w:rsid w:val="002130EC"/>
    <w:rsid w:val="00213329"/>
    <w:rsid w:val="0021355B"/>
    <w:rsid w:val="00213EA2"/>
    <w:rsid w:val="00214518"/>
    <w:rsid w:val="002147BB"/>
    <w:rsid w:val="00214A1A"/>
    <w:rsid w:val="00214B10"/>
    <w:rsid w:val="00214B90"/>
    <w:rsid w:val="00215336"/>
    <w:rsid w:val="002157E8"/>
    <w:rsid w:val="00215AD8"/>
    <w:rsid w:val="00215F4D"/>
    <w:rsid w:val="00216135"/>
    <w:rsid w:val="00216302"/>
    <w:rsid w:val="00216503"/>
    <w:rsid w:val="00216998"/>
    <w:rsid w:val="00216C77"/>
    <w:rsid w:val="00217787"/>
    <w:rsid w:val="00217AA8"/>
    <w:rsid w:val="00217C90"/>
    <w:rsid w:val="00217CAB"/>
    <w:rsid w:val="002201F3"/>
    <w:rsid w:val="00220418"/>
    <w:rsid w:val="002204FE"/>
    <w:rsid w:val="00220637"/>
    <w:rsid w:val="00220656"/>
    <w:rsid w:val="0022078C"/>
    <w:rsid w:val="00221428"/>
    <w:rsid w:val="00221B7F"/>
    <w:rsid w:val="002221AE"/>
    <w:rsid w:val="00222464"/>
    <w:rsid w:val="002229C2"/>
    <w:rsid w:val="00222F41"/>
    <w:rsid w:val="00222F49"/>
    <w:rsid w:val="0022305D"/>
    <w:rsid w:val="002231ED"/>
    <w:rsid w:val="002232B2"/>
    <w:rsid w:val="0022349B"/>
    <w:rsid w:val="002234D4"/>
    <w:rsid w:val="00223727"/>
    <w:rsid w:val="00223880"/>
    <w:rsid w:val="00223AB9"/>
    <w:rsid w:val="00223B12"/>
    <w:rsid w:val="00223BEB"/>
    <w:rsid w:val="002240F7"/>
    <w:rsid w:val="0022445D"/>
    <w:rsid w:val="00224B88"/>
    <w:rsid w:val="00224D0F"/>
    <w:rsid w:val="00225005"/>
    <w:rsid w:val="00225521"/>
    <w:rsid w:val="00225669"/>
    <w:rsid w:val="00225BB5"/>
    <w:rsid w:val="00225BE9"/>
    <w:rsid w:val="00225CCA"/>
    <w:rsid w:val="00225D60"/>
    <w:rsid w:val="00225E87"/>
    <w:rsid w:val="002264B0"/>
    <w:rsid w:val="0022669E"/>
    <w:rsid w:val="002272FE"/>
    <w:rsid w:val="00227998"/>
    <w:rsid w:val="00227AC1"/>
    <w:rsid w:val="00230523"/>
    <w:rsid w:val="00230EA0"/>
    <w:rsid w:val="0023144E"/>
    <w:rsid w:val="00231463"/>
    <w:rsid w:val="00231EF3"/>
    <w:rsid w:val="0023213E"/>
    <w:rsid w:val="0023238B"/>
    <w:rsid w:val="0023247E"/>
    <w:rsid w:val="00232510"/>
    <w:rsid w:val="00232675"/>
    <w:rsid w:val="00232AB9"/>
    <w:rsid w:val="00232E86"/>
    <w:rsid w:val="00233062"/>
    <w:rsid w:val="00233741"/>
    <w:rsid w:val="002337B8"/>
    <w:rsid w:val="002337EC"/>
    <w:rsid w:val="002339E4"/>
    <w:rsid w:val="00233C31"/>
    <w:rsid w:val="00233CC3"/>
    <w:rsid w:val="0023435F"/>
    <w:rsid w:val="002346BF"/>
    <w:rsid w:val="00234845"/>
    <w:rsid w:val="0023539D"/>
    <w:rsid w:val="00235794"/>
    <w:rsid w:val="00236A94"/>
    <w:rsid w:val="00237300"/>
    <w:rsid w:val="00237A39"/>
    <w:rsid w:val="00237D56"/>
    <w:rsid w:val="0024018B"/>
    <w:rsid w:val="002411AF"/>
    <w:rsid w:val="0024144A"/>
    <w:rsid w:val="002415E9"/>
    <w:rsid w:val="002415F2"/>
    <w:rsid w:val="00241973"/>
    <w:rsid w:val="00241BB2"/>
    <w:rsid w:val="00241D7C"/>
    <w:rsid w:val="00241FEB"/>
    <w:rsid w:val="002420A3"/>
    <w:rsid w:val="002430A7"/>
    <w:rsid w:val="002434B0"/>
    <w:rsid w:val="002437DA"/>
    <w:rsid w:val="0024383B"/>
    <w:rsid w:val="00243B75"/>
    <w:rsid w:val="00243BF4"/>
    <w:rsid w:val="00243BF7"/>
    <w:rsid w:val="0024463F"/>
    <w:rsid w:val="0024497D"/>
    <w:rsid w:val="00244BA6"/>
    <w:rsid w:val="002451D2"/>
    <w:rsid w:val="00245221"/>
    <w:rsid w:val="0024588C"/>
    <w:rsid w:val="002458C1"/>
    <w:rsid w:val="002458C2"/>
    <w:rsid w:val="00245A74"/>
    <w:rsid w:val="00245AC7"/>
    <w:rsid w:val="00245E43"/>
    <w:rsid w:val="002461E4"/>
    <w:rsid w:val="002464B5"/>
    <w:rsid w:val="00246675"/>
    <w:rsid w:val="00246916"/>
    <w:rsid w:val="00247539"/>
    <w:rsid w:val="00247644"/>
    <w:rsid w:val="002476A5"/>
    <w:rsid w:val="00247854"/>
    <w:rsid w:val="00247906"/>
    <w:rsid w:val="00247CB1"/>
    <w:rsid w:val="00247FDC"/>
    <w:rsid w:val="00250F7F"/>
    <w:rsid w:val="0025105B"/>
    <w:rsid w:val="002510DF"/>
    <w:rsid w:val="00251117"/>
    <w:rsid w:val="002515C4"/>
    <w:rsid w:val="002515D8"/>
    <w:rsid w:val="0025192B"/>
    <w:rsid w:val="00251966"/>
    <w:rsid w:val="0025271B"/>
    <w:rsid w:val="00252B8E"/>
    <w:rsid w:val="00252E1A"/>
    <w:rsid w:val="0025312E"/>
    <w:rsid w:val="002532BA"/>
    <w:rsid w:val="0025393D"/>
    <w:rsid w:val="00253C9E"/>
    <w:rsid w:val="00253F8A"/>
    <w:rsid w:val="00254196"/>
    <w:rsid w:val="00254D54"/>
    <w:rsid w:val="00255015"/>
    <w:rsid w:val="0025584F"/>
    <w:rsid w:val="00255AA9"/>
    <w:rsid w:val="00255B7E"/>
    <w:rsid w:val="00255EF2"/>
    <w:rsid w:val="00256667"/>
    <w:rsid w:val="002567BD"/>
    <w:rsid w:val="00256DAD"/>
    <w:rsid w:val="00256E23"/>
    <w:rsid w:val="0025720C"/>
    <w:rsid w:val="002572D3"/>
    <w:rsid w:val="00257571"/>
    <w:rsid w:val="002575F1"/>
    <w:rsid w:val="00257A22"/>
    <w:rsid w:val="00257B2E"/>
    <w:rsid w:val="002601CA"/>
    <w:rsid w:val="002604F7"/>
    <w:rsid w:val="00260C20"/>
    <w:rsid w:val="00261079"/>
    <w:rsid w:val="00261154"/>
    <w:rsid w:val="002613A0"/>
    <w:rsid w:val="002613BD"/>
    <w:rsid w:val="002614FA"/>
    <w:rsid w:val="002615C8"/>
    <w:rsid w:val="0026168E"/>
    <w:rsid w:val="00262339"/>
    <w:rsid w:val="002630E1"/>
    <w:rsid w:val="00263B07"/>
    <w:rsid w:val="00263B83"/>
    <w:rsid w:val="00263CF5"/>
    <w:rsid w:val="00263E1B"/>
    <w:rsid w:val="00263E73"/>
    <w:rsid w:val="00263FC1"/>
    <w:rsid w:val="00264A86"/>
    <w:rsid w:val="00264AEE"/>
    <w:rsid w:val="002655E1"/>
    <w:rsid w:val="00265687"/>
    <w:rsid w:val="002658F2"/>
    <w:rsid w:val="00265DD2"/>
    <w:rsid w:val="00265DFD"/>
    <w:rsid w:val="00266218"/>
    <w:rsid w:val="00266512"/>
    <w:rsid w:val="00266530"/>
    <w:rsid w:val="002665CF"/>
    <w:rsid w:val="0026663A"/>
    <w:rsid w:val="002666E2"/>
    <w:rsid w:val="00266923"/>
    <w:rsid w:val="00266C63"/>
    <w:rsid w:val="00266CFD"/>
    <w:rsid w:val="002672A8"/>
    <w:rsid w:val="00267455"/>
    <w:rsid w:val="002676E5"/>
    <w:rsid w:val="00267871"/>
    <w:rsid w:val="002679F2"/>
    <w:rsid w:val="00267B2A"/>
    <w:rsid w:val="00267C2F"/>
    <w:rsid w:val="00267D55"/>
    <w:rsid w:val="00267E83"/>
    <w:rsid w:val="00267EAD"/>
    <w:rsid w:val="00270005"/>
    <w:rsid w:val="002701A3"/>
    <w:rsid w:val="002702F5"/>
    <w:rsid w:val="00270775"/>
    <w:rsid w:val="00270B14"/>
    <w:rsid w:val="00270BA1"/>
    <w:rsid w:val="00270C62"/>
    <w:rsid w:val="002716C8"/>
    <w:rsid w:val="00271765"/>
    <w:rsid w:val="00271956"/>
    <w:rsid w:val="002721C5"/>
    <w:rsid w:val="0027260A"/>
    <w:rsid w:val="002729F9"/>
    <w:rsid w:val="002730A1"/>
    <w:rsid w:val="0027316C"/>
    <w:rsid w:val="002734D8"/>
    <w:rsid w:val="00273691"/>
    <w:rsid w:val="0027369B"/>
    <w:rsid w:val="00273961"/>
    <w:rsid w:val="00273B83"/>
    <w:rsid w:val="00273BB0"/>
    <w:rsid w:val="00273DA7"/>
    <w:rsid w:val="00274467"/>
    <w:rsid w:val="00274501"/>
    <w:rsid w:val="00274561"/>
    <w:rsid w:val="0027489D"/>
    <w:rsid w:val="00274925"/>
    <w:rsid w:val="00274EFB"/>
    <w:rsid w:val="0027524C"/>
    <w:rsid w:val="002752A4"/>
    <w:rsid w:val="00275346"/>
    <w:rsid w:val="002758D2"/>
    <w:rsid w:val="00275E4E"/>
    <w:rsid w:val="00275FA4"/>
    <w:rsid w:val="00276575"/>
    <w:rsid w:val="002765D3"/>
    <w:rsid w:val="0027660C"/>
    <w:rsid w:val="00276C99"/>
    <w:rsid w:val="00276E77"/>
    <w:rsid w:val="0027729D"/>
    <w:rsid w:val="002772E1"/>
    <w:rsid w:val="0027747F"/>
    <w:rsid w:val="0027756A"/>
    <w:rsid w:val="00277D85"/>
    <w:rsid w:val="0028033F"/>
    <w:rsid w:val="0028044B"/>
    <w:rsid w:val="002807C4"/>
    <w:rsid w:val="0028125A"/>
    <w:rsid w:val="002813F3"/>
    <w:rsid w:val="002814DC"/>
    <w:rsid w:val="0028151D"/>
    <w:rsid w:val="00281DA2"/>
    <w:rsid w:val="00282258"/>
    <w:rsid w:val="00282637"/>
    <w:rsid w:val="00283270"/>
    <w:rsid w:val="002834D0"/>
    <w:rsid w:val="00283A3C"/>
    <w:rsid w:val="002842B5"/>
    <w:rsid w:val="00285275"/>
    <w:rsid w:val="00285458"/>
    <w:rsid w:val="0028549C"/>
    <w:rsid w:val="002854AF"/>
    <w:rsid w:val="002857C4"/>
    <w:rsid w:val="00285CB5"/>
    <w:rsid w:val="0028620C"/>
    <w:rsid w:val="0028643F"/>
    <w:rsid w:val="002864A8"/>
    <w:rsid w:val="00286C2F"/>
    <w:rsid w:val="00286C45"/>
    <w:rsid w:val="00287170"/>
    <w:rsid w:val="002876CA"/>
    <w:rsid w:val="00287A39"/>
    <w:rsid w:val="00287C2C"/>
    <w:rsid w:val="00287D5E"/>
    <w:rsid w:val="00287E33"/>
    <w:rsid w:val="00287EC4"/>
    <w:rsid w:val="00290081"/>
    <w:rsid w:val="002902DD"/>
    <w:rsid w:val="00290460"/>
    <w:rsid w:val="002908E5"/>
    <w:rsid w:val="0029097E"/>
    <w:rsid w:val="00290C8F"/>
    <w:rsid w:val="00290EBE"/>
    <w:rsid w:val="00290F5C"/>
    <w:rsid w:val="00291591"/>
    <w:rsid w:val="0029183E"/>
    <w:rsid w:val="00291FB1"/>
    <w:rsid w:val="002921E5"/>
    <w:rsid w:val="00292416"/>
    <w:rsid w:val="002926BA"/>
    <w:rsid w:val="002935EA"/>
    <w:rsid w:val="00293CFE"/>
    <w:rsid w:val="00293D77"/>
    <w:rsid w:val="00294058"/>
    <w:rsid w:val="00294174"/>
    <w:rsid w:val="0029470F"/>
    <w:rsid w:val="00294CAF"/>
    <w:rsid w:val="002951B3"/>
    <w:rsid w:val="00295207"/>
    <w:rsid w:val="002953A4"/>
    <w:rsid w:val="00295661"/>
    <w:rsid w:val="00295674"/>
    <w:rsid w:val="00295736"/>
    <w:rsid w:val="00295AE8"/>
    <w:rsid w:val="00296085"/>
    <w:rsid w:val="002963F7"/>
    <w:rsid w:val="00296436"/>
    <w:rsid w:val="002966E9"/>
    <w:rsid w:val="002968F6"/>
    <w:rsid w:val="00297525"/>
    <w:rsid w:val="00297ADB"/>
    <w:rsid w:val="00297C1A"/>
    <w:rsid w:val="00297E1F"/>
    <w:rsid w:val="002A0053"/>
    <w:rsid w:val="002A0322"/>
    <w:rsid w:val="002A03AF"/>
    <w:rsid w:val="002A05C8"/>
    <w:rsid w:val="002A060C"/>
    <w:rsid w:val="002A0C46"/>
    <w:rsid w:val="002A11AA"/>
    <w:rsid w:val="002A17A8"/>
    <w:rsid w:val="002A1B56"/>
    <w:rsid w:val="002A1D47"/>
    <w:rsid w:val="002A1F14"/>
    <w:rsid w:val="002A206B"/>
    <w:rsid w:val="002A2197"/>
    <w:rsid w:val="002A2413"/>
    <w:rsid w:val="002A27C2"/>
    <w:rsid w:val="002A2857"/>
    <w:rsid w:val="002A2C7D"/>
    <w:rsid w:val="002A33D7"/>
    <w:rsid w:val="002A3584"/>
    <w:rsid w:val="002A3621"/>
    <w:rsid w:val="002A3766"/>
    <w:rsid w:val="002A3819"/>
    <w:rsid w:val="002A411D"/>
    <w:rsid w:val="002A429C"/>
    <w:rsid w:val="002A46D9"/>
    <w:rsid w:val="002A4A51"/>
    <w:rsid w:val="002A4FBC"/>
    <w:rsid w:val="002A5081"/>
    <w:rsid w:val="002A5559"/>
    <w:rsid w:val="002A56B4"/>
    <w:rsid w:val="002A58CE"/>
    <w:rsid w:val="002A5937"/>
    <w:rsid w:val="002A5D2F"/>
    <w:rsid w:val="002A5D7B"/>
    <w:rsid w:val="002A61B6"/>
    <w:rsid w:val="002A658F"/>
    <w:rsid w:val="002A6759"/>
    <w:rsid w:val="002A6A94"/>
    <w:rsid w:val="002A6B59"/>
    <w:rsid w:val="002A6BCE"/>
    <w:rsid w:val="002A74D0"/>
    <w:rsid w:val="002A753B"/>
    <w:rsid w:val="002B03A9"/>
    <w:rsid w:val="002B08E2"/>
    <w:rsid w:val="002B0CAD"/>
    <w:rsid w:val="002B0DAB"/>
    <w:rsid w:val="002B17A9"/>
    <w:rsid w:val="002B17E7"/>
    <w:rsid w:val="002B1815"/>
    <w:rsid w:val="002B1DC3"/>
    <w:rsid w:val="002B1E30"/>
    <w:rsid w:val="002B1ECA"/>
    <w:rsid w:val="002B20D9"/>
    <w:rsid w:val="002B2158"/>
    <w:rsid w:val="002B21CB"/>
    <w:rsid w:val="002B228D"/>
    <w:rsid w:val="002B24F0"/>
    <w:rsid w:val="002B2B96"/>
    <w:rsid w:val="002B2CFA"/>
    <w:rsid w:val="002B2D15"/>
    <w:rsid w:val="002B2ECE"/>
    <w:rsid w:val="002B353B"/>
    <w:rsid w:val="002B36A3"/>
    <w:rsid w:val="002B3A8F"/>
    <w:rsid w:val="002B3B97"/>
    <w:rsid w:val="002B3F38"/>
    <w:rsid w:val="002B3FF8"/>
    <w:rsid w:val="002B40BA"/>
    <w:rsid w:val="002B44B1"/>
    <w:rsid w:val="002B45A1"/>
    <w:rsid w:val="002B465B"/>
    <w:rsid w:val="002B4706"/>
    <w:rsid w:val="002B49CC"/>
    <w:rsid w:val="002B4AFE"/>
    <w:rsid w:val="002B5708"/>
    <w:rsid w:val="002B5D06"/>
    <w:rsid w:val="002B5FDF"/>
    <w:rsid w:val="002B61EA"/>
    <w:rsid w:val="002B6254"/>
    <w:rsid w:val="002B62CB"/>
    <w:rsid w:val="002B64FA"/>
    <w:rsid w:val="002B689D"/>
    <w:rsid w:val="002B6ADF"/>
    <w:rsid w:val="002B6E55"/>
    <w:rsid w:val="002B730D"/>
    <w:rsid w:val="002B7329"/>
    <w:rsid w:val="002B76BB"/>
    <w:rsid w:val="002B77D3"/>
    <w:rsid w:val="002B78ED"/>
    <w:rsid w:val="002B7B82"/>
    <w:rsid w:val="002C00CF"/>
    <w:rsid w:val="002C038B"/>
    <w:rsid w:val="002C053D"/>
    <w:rsid w:val="002C0687"/>
    <w:rsid w:val="002C078D"/>
    <w:rsid w:val="002C1199"/>
    <w:rsid w:val="002C1997"/>
    <w:rsid w:val="002C1C07"/>
    <w:rsid w:val="002C2176"/>
    <w:rsid w:val="002C2EC5"/>
    <w:rsid w:val="002C33F1"/>
    <w:rsid w:val="002C34AC"/>
    <w:rsid w:val="002C34DF"/>
    <w:rsid w:val="002C36CC"/>
    <w:rsid w:val="002C3B06"/>
    <w:rsid w:val="002C4701"/>
    <w:rsid w:val="002C47D5"/>
    <w:rsid w:val="002C4B56"/>
    <w:rsid w:val="002C4B80"/>
    <w:rsid w:val="002C4EA9"/>
    <w:rsid w:val="002C5050"/>
    <w:rsid w:val="002C5116"/>
    <w:rsid w:val="002C516A"/>
    <w:rsid w:val="002C5A02"/>
    <w:rsid w:val="002C5B76"/>
    <w:rsid w:val="002C5D32"/>
    <w:rsid w:val="002C608E"/>
    <w:rsid w:val="002C61E0"/>
    <w:rsid w:val="002C6274"/>
    <w:rsid w:val="002C665A"/>
    <w:rsid w:val="002C665F"/>
    <w:rsid w:val="002C6B2E"/>
    <w:rsid w:val="002C752A"/>
    <w:rsid w:val="002C790C"/>
    <w:rsid w:val="002C7FB4"/>
    <w:rsid w:val="002D026E"/>
    <w:rsid w:val="002D101F"/>
    <w:rsid w:val="002D1166"/>
    <w:rsid w:val="002D13DA"/>
    <w:rsid w:val="002D179D"/>
    <w:rsid w:val="002D1E9E"/>
    <w:rsid w:val="002D1FE0"/>
    <w:rsid w:val="002D2A68"/>
    <w:rsid w:val="002D2C88"/>
    <w:rsid w:val="002D2E59"/>
    <w:rsid w:val="002D2F8A"/>
    <w:rsid w:val="002D30C8"/>
    <w:rsid w:val="002D359B"/>
    <w:rsid w:val="002D3611"/>
    <w:rsid w:val="002D39E1"/>
    <w:rsid w:val="002D4308"/>
    <w:rsid w:val="002D4392"/>
    <w:rsid w:val="002D464F"/>
    <w:rsid w:val="002D47B2"/>
    <w:rsid w:val="002D4882"/>
    <w:rsid w:val="002D4F63"/>
    <w:rsid w:val="002D4F64"/>
    <w:rsid w:val="002D533C"/>
    <w:rsid w:val="002D53E6"/>
    <w:rsid w:val="002D572C"/>
    <w:rsid w:val="002D575F"/>
    <w:rsid w:val="002D5975"/>
    <w:rsid w:val="002D5B2F"/>
    <w:rsid w:val="002D5BF2"/>
    <w:rsid w:val="002D5C25"/>
    <w:rsid w:val="002D60A0"/>
    <w:rsid w:val="002D635D"/>
    <w:rsid w:val="002D639E"/>
    <w:rsid w:val="002D6646"/>
    <w:rsid w:val="002D66FE"/>
    <w:rsid w:val="002D70DC"/>
    <w:rsid w:val="002D7275"/>
    <w:rsid w:val="002D78B1"/>
    <w:rsid w:val="002D7C04"/>
    <w:rsid w:val="002E029F"/>
    <w:rsid w:val="002E0529"/>
    <w:rsid w:val="002E11A7"/>
    <w:rsid w:val="002E120D"/>
    <w:rsid w:val="002E2B27"/>
    <w:rsid w:val="002E2BD6"/>
    <w:rsid w:val="002E2BE7"/>
    <w:rsid w:val="002E2CDE"/>
    <w:rsid w:val="002E2E3C"/>
    <w:rsid w:val="002E3243"/>
    <w:rsid w:val="002E38D8"/>
    <w:rsid w:val="002E3996"/>
    <w:rsid w:val="002E3A31"/>
    <w:rsid w:val="002E3C66"/>
    <w:rsid w:val="002E414F"/>
    <w:rsid w:val="002E41F8"/>
    <w:rsid w:val="002E4380"/>
    <w:rsid w:val="002E46C7"/>
    <w:rsid w:val="002E4A40"/>
    <w:rsid w:val="002E4C39"/>
    <w:rsid w:val="002E58A3"/>
    <w:rsid w:val="002E6141"/>
    <w:rsid w:val="002E61F4"/>
    <w:rsid w:val="002E6802"/>
    <w:rsid w:val="002E6963"/>
    <w:rsid w:val="002E6ABD"/>
    <w:rsid w:val="002E6F68"/>
    <w:rsid w:val="002E700D"/>
    <w:rsid w:val="002E7027"/>
    <w:rsid w:val="002E7456"/>
    <w:rsid w:val="002E7837"/>
    <w:rsid w:val="002E793C"/>
    <w:rsid w:val="002E7AE7"/>
    <w:rsid w:val="002E7C33"/>
    <w:rsid w:val="002E7FF7"/>
    <w:rsid w:val="002F02CA"/>
    <w:rsid w:val="002F03DA"/>
    <w:rsid w:val="002F0421"/>
    <w:rsid w:val="002F0786"/>
    <w:rsid w:val="002F0AF9"/>
    <w:rsid w:val="002F0BC7"/>
    <w:rsid w:val="002F0EB0"/>
    <w:rsid w:val="002F12B2"/>
    <w:rsid w:val="002F13A3"/>
    <w:rsid w:val="002F1556"/>
    <w:rsid w:val="002F190D"/>
    <w:rsid w:val="002F1C39"/>
    <w:rsid w:val="002F1CE0"/>
    <w:rsid w:val="002F2281"/>
    <w:rsid w:val="002F2776"/>
    <w:rsid w:val="002F283D"/>
    <w:rsid w:val="002F2AC7"/>
    <w:rsid w:val="002F313C"/>
    <w:rsid w:val="002F355C"/>
    <w:rsid w:val="002F371B"/>
    <w:rsid w:val="002F38E5"/>
    <w:rsid w:val="002F395D"/>
    <w:rsid w:val="002F3987"/>
    <w:rsid w:val="002F47F8"/>
    <w:rsid w:val="002F54FF"/>
    <w:rsid w:val="002F56AE"/>
    <w:rsid w:val="002F56FF"/>
    <w:rsid w:val="002F59C0"/>
    <w:rsid w:val="002F6057"/>
    <w:rsid w:val="002F660E"/>
    <w:rsid w:val="002F6673"/>
    <w:rsid w:val="002F6851"/>
    <w:rsid w:val="002F6C6B"/>
    <w:rsid w:val="002F73E7"/>
    <w:rsid w:val="002F7468"/>
    <w:rsid w:val="002F7C8D"/>
    <w:rsid w:val="002F7F06"/>
    <w:rsid w:val="00300BC7"/>
    <w:rsid w:val="0030165F"/>
    <w:rsid w:val="003017B7"/>
    <w:rsid w:val="003018FA"/>
    <w:rsid w:val="00301CCE"/>
    <w:rsid w:val="00302024"/>
    <w:rsid w:val="003027D6"/>
    <w:rsid w:val="00302B1F"/>
    <w:rsid w:val="00303217"/>
    <w:rsid w:val="00303CF5"/>
    <w:rsid w:val="00303D31"/>
    <w:rsid w:val="003041E9"/>
    <w:rsid w:val="00304271"/>
    <w:rsid w:val="00304311"/>
    <w:rsid w:val="00304AE6"/>
    <w:rsid w:val="00304DB1"/>
    <w:rsid w:val="00304EB9"/>
    <w:rsid w:val="00304FE0"/>
    <w:rsid w:val="00305100"/>
    <w:rsid w:val="0030539A"/>
    <w:rsid w:val="003054DA"/>
    <w:rsid w:val="0030584A"/>
    <w:rsid w:val="0030590A"/>
    <w:rsid w:val="00305DD7"/>
    <w:rsid w:val="003062EB"/>
    <w:rsid w:val="0030637B"/>
    <w:rsid w:val="003064A8"/>
    <w:rsid w:val="003068A3"/>
    <w:rsid w:val="003070CF"/>
    <w:rsid w:val="00307171"/>
    <w:rsid w:val="00307607"/>
    <w:rsid w:val="00307CD8"/>
    <w:rsid w:val="003101F8"/>
    <w:rsid w:val="00310974"/>
    <w:rsid w:val="00310991"/>
    <w:rsid w:val="00310DC3"/>
    <w:rsid w:val="00310FA2"/>
    <w:rsid w:val="003112C1"/>
    <w:rsid w:val="00311645"/>
    <w:rsid w:val="00311983"/>
    <w:rsid w:val="00311C0E"/>
    <w:rsid w:val="00311C2C"/>
    <w:rsid w:val="003122BF"/>
    <w:rsid w:val="00312CE4"/>
    <w:rsid w:val="00312DEA"/>
    <w:rsid w:val="00312EEC"/>
    <w:rsid w:val="00313201"/>
    <w:rsid w:val="003139B4"/>
    <w:rsid w:val="00313C3D"/>
    <w:rsid w:val="003144F8"/>
    <w:rsid w:val="00314712"/>
    <w:rsid w:val="00314D98"/>
    <w:rsid w:val="0031516D"/>
    <w:rsid w:val="003154AC"/>
    <w:rsid w:val="003155FF"/>
    <w:rsid w:val="003165A8"/>
    <w:rsid w:val="003165F0"/>
    <w:rsid w:val="00316731"/>
    <w:rsid w:val="003168B9"/>
    <w:rsid w:val="00316A07"/>
    <w:rsid w:val="00316B57"/>
    <w:rsid w:val="00316CF7"/>
    <w:rsid w:val="003171BE"/>
    <w:rsid w:val="00317528"/>
    <w:rsid w:val="003178BC"/>
    <w:rsid w:val="00317AA7"/>
    <w:rsid w:val="00317BB2"/>
    <w:rsid w:val="0032028E"/>
    <w:rsid w:val="0032041A"/>
    <w:rsid w:val="0032083B"/>
    <w:rsid w:val="00320AC3"/>
    <w:rsid w:val="00320E01"/>
    <w:rsid w:val="0032158B"/>
    <w:rsid w:val="00321AAB"/>
    <w:rsid w:val="003221AA"/>
    <w:rsid w:val="003224E9"/>
    <w:rsid w:val="00322654"/>
    <w:rsid w:val="00322782"/>
    <w:rsid w:val="00322A30"/>
    <w:rsid w:val="00322BA9"/>
    <w:rsid w:val="00323056"/>
    <w:rsid w:val="003233F9"/>
    <w:rsid w:val="00323EDA"/>
    <w:rsid w:val="0032463E"/>
    <w:rsid w:val="003252DE"/>
    <w:rsid w:val="003253F8"/>
    <w:rsid w:val="003258E2"/>
    <w:rsid w:val="00325B81"/>
    <w:rsid w:val="00325BB4"/>
    <w:rsid w:val="00326754"/>
    <w:rsid w:val="0032675D"/>
    <w:rsid w:val="00326AE0"/>
    <w:rsid w:val="00326F62"/>
    <w:rsid w:val="0032736B"/>
    <w:rsid w:val="00327492"/>
    <w:rsid w:val="0032779D"/>
    <w:rsid w:val="00327EF8"/>
    <w:rsid w:val="0033026C"/>
    <w:rsid w:val="00330277"/>
    <w:rsid w:val="00330665"/>
    <w:rsid w:val="00330BDA"/>
    <w:rsid w:val="00330ED4"/>
    <w:rsid w:val="00331518"/>
    <w:rsid w:val="00331562"/>
    <w:rsid w:val="00331712"/>
    <w:rsid w:val="00331BC0"/>
    <w:rsid w:val="00331BF4"/>
    <w:rsid w:val="00331F2D"/>
    <w:rsid w:val="003322FD"/>
    <w:rsid w:val="00332702"/>
    <w:rsid w:val="00332A2A"/>
    <w:rsid w:val="00332FFF"/>
    <w:rsid w:val="0033379C"/>
    <w:rsid w:val="003337D2"/>
    <w:rsid w:val="003339FB"/>
    <w:rsid w:val="00333A6E"/>
    <w:rsid w:val="00333C3D"/>
    <w:rsid w:val="00333C7B"/>
    <w:rsid w:val="00333E09"/>
    <w:rsid w:val="003341A7"/>
    <w:rsid w:val="00334292"/>
    <w:rsid w:val="003344C5"/>
    <w:rsid w:val="003346AB"/>
    <w:rsid w:val="003349C7"/>
    <w:rsid w:val="00334EC6"/>
    <w:rsid w:val="0033529C"/>
    <w:rsid w:val="00335433"/>
    <w:rsid w:val="0033569B"/>
    <w:rsid w:val="003357BF"/>
    <w:rsid w:val="00335CFB"/>
    <w:rsid w:val="00335D55"/>
    <w:rsid w:val="00335EDC"/>
    <w:rsid w:val="003368C6"/>
    <w:rsid w:val="003369B1"/>
    <w:rsid w:val="003369BC"/>
    <w:rsid w:val="00336FA0"/>
    <w:rsid w:val="00337773"/>
    <w:rsid w:val="0033777C"/>
    <w:rsid w:val="0034047E"/>
    <w:rsid w:val="00340646"/>
    <w:rsid w:val="003407EE"/>
    <w:rsid w:val="003415E0"/>
    <w:rsid w:val="0034161C"/>
    <w:rsid w:val="003416D7"/>
    <w:rsid w:val="0034177F"/>
    <w:rsid w:val="00341A92"/>
    <w:rsid w:val="0034200B"/>
    <w:rsid w:val="0034227D"/>
    <w:rsid w:val="00342970"/>
    <w:rsid w:val="00342B61"/>
    <w:rsid w:val="003435F8"/>
    <w:rsid w:val="003436AD"/>
    <w:rsid w:val="00343F75"/>
    <w:rsid w:val="003446AB"/>
    <w:rsid w:val="0034471D"/>
    <w:rsid w:val="00344830"/>
    <w:rsid w:val="00344B47"/>
    <w:rsid w:val="00344EB2"/>
    <w:rsid w:val="0034538E"/>
    <w:rsid w:val="003456B5"/>
    <w:rsid w:val="00345713"/>
    <w:rsid w:val="00345730"/>
    <w:rsid w:val="00345CDE"/>
    <w:rsid w:val="00345D53"/>
    <w:rsid w:val="00345E92"/>
    <w:rsid w:val="003462C2"/>
    <w:rsid w:val="0034639B"/>
    <w:rsid w:val="003465C8"/>
    <w:rsid w:val="00346968"/>
    <w:rsid w:val="003471DD"/>
    <w:rsid w:val="0034725A"/>
    <w:rsid w:val="003473A4"/>
    <w:rsid w:val="00347E69"/>
    <w:rsid w:val="003500A6"/>
    <w:rsid w:val="003501C3"/>
    <w:rsid w:val="003503F5"/>
    <w:rsid w:val="00350585"/>
    <w:rsid w:val="003506CA"/>
    <w:rsid w:val="003508FB"/>
    <w:rsid w:val="00350974"/>
    <w:rsid w:val="0035099B"/>
    <w:rsid w:val="003509A2"/>
    <w:rsid w:val="0035108D"/>
    <w:rsid w:val="003516C2"/>
    <w:rsid w:val="00351A27"/>
    <w:rsid w:val="00351E0C"/>
    <w:rsid w:val="00351E1A"/>
    <w:rsid w:val="00352560"/>
    <w:rsid w:val="0035263E"/>
    <w:rsid w:val="003529B3"/>
    <w:rsid w:val="00352A80"/>
    <w:rsid w:val="00352DD0"/>
    <w:rsid w:val="00352DF8"/>
    <w:rsid w:val="00353297"/>
    <w:rsid w:val="003535F8"/>
    <w:rsid w:val="00353895"/>
    <w:rsid w:val="00353903"/>
    <w:rsid w:val="00353B50"/>
    <w:rsid w:val="00353B5D"/>
    <w:rsid w:val="0035437B"/>
    <w:rsid w:val="00354A7A"/>
    <w:rsid w:val="00354FA4"/>
    <w:rsid w:val="003551EE"/>
    <w:rsid w:val="00355AE7"/>
    <w:rsid w:val="00356420"/>
    <w:rsid w:val="003566AF"/>
    <w:rsid w:val="00356E81"/>
    <w:rsid w:val="00356FE3"/>
    <w:rsid w:val="00357263"/>
    <w:rsid w:val="00357FC2"/>
    <w:rsid w:val="0036017C"/>
    <w:rsid w:val="003601C7"/>
    <w:rsid w:val="0036031C"/>
    <w:rsid w:val="003607A1"/>
    <w:rsid w:val="00360ADB"/>
    <w:rsid w:val="00360F1D"/>
    <w:rsid w:val="00360F92"/>
    <w:rsid w:val="00361051"/>
    <w:rsid w:val="0036122F"/>
    <w:rsid w:val="003612F9"/>
    <w:rsid w:val="00361368"/>
    <w:rsid w:val="0036147B"/>
    <w:rsid w:val="00361E67"/>
    <w:rsid w:val="00361F4C"/>
    <w:rsid w:val="00361F70"/>
    <w:rsid w:val="003629A6"/>
    <w:rsid w:val="00362C8F"/>
    <w:rsid w:val="00362CFC"/>
    <w:rsid w:val="0036325C"/>
    <w:rsid w:val="003632CE"/>
    <w:rsid w:val="00363521"/>
    <w:rsid w:val="00363663"/>
    <w:rsid w:val="003636F4"/>
    <w:rsid w:val="0036370E"/>
    <w:rsid w:val="003637CD"/>
    <w:rsid w:val="00363A73"/>
    <w:rsid w:val="00364255"/>
    <w:rsid w:val="0036428B"/>
    <w:rsid w:val="0036476B"/>
    <w:rsid w:val="003648D3"/>
    <w:rsid w:val="00364E4D"/>
    <w:rsid w:val="00365048"/>
    <w:rsid w:val="003658A3"/>
    <w:rsid w:val="00365D68"/>
    <w:rsid w:val="003660E9"/>
    <w:rsid w:val="00366444"/>
    <w:rsid w:val="003665AB"/>
    <w:rsid w:val="003668DD"/>
    <w:rsid w:val="00366910"/>
    <w:rsid w:val="0036692A"/>
    <w:rsid w:val="00366EF0"/>
    <w:rsid w:val="00367869"/>
    <w:rsid w:val="003678F9"/>
    <w:rsid w:val="00367951"/>
    <w:rsid w:val="00367C65"/>
    <w:rsid w:val="003700C2"/>
    <w:rsid w:val="003701BA"/>
    <w:rsid w:val="00370976"/>
    <w:rsid w:val="0037099E"/>
    <w:rsid w:val="00370DEA"/>
    <w:rsid w:val="00370E97"/>
    <w:rsid w:val="0037132B"/>
    <w:rsid w:val="0037141C"/>
    <w:rsid w:val="0037176F"/>
    <w:rsid w:val="003718F2"/>
    <w:rsid w:val="00371D19"/>
    <w:rsid w:val="00372277"/>
    <w:rsid w:val="0037243B"/>
    <w:rsid w:val="00372AF7"/>
    <w:rsid w:val="003731F7"/>
    <w:rsid w:val="0037324E"/>
    <w:rsid w:val="003733F7"/>
    <w:rsid w:val="00373798"/>
    <w:rsid w:val="003737DA"/>
    <w:rsid w:val="0037392B"/>
    <w:rsid w:val="0037398D"/>
    <w:rsid w:val="00373B05"/>
    <w:rsid w:val="00373C3B"/>
    <w:rsid w:val="00373E8A"/>
    <w:rsid w:val="00374583"/>
    <w:rsid w:val="00374781"/>
    <w:rsid w:val="00374DB2"/>
    <w:rsid w:val="00374EF9"/>
    <w:rsid w:val="00375206"/>
    <w:rsid w:val="003753E2"/>
    <w:rsid w:val="00375B83"/>
    <w:rsid w:val="00375F42"/>
    <w:rsid w:val="00375F62"/>
    <w:rsid w:val="003761E6"/>
    <w:rsid w:val="003762B0"/>
    <w:rsid w:val="00377567"/>
    <w:rsid w:val="0037762B"/>
    <w:rsid w:val="003778A7"/>
    <w:rsid w:val="003779E8"/>
    <w:rsid w:val="00377AB5"/>
    <w:rsid w:val="003806D6"/>
    <w:rsid w:val="00380CC7"/>
    <w:rsid w:val="003811E2"/>
    <w:rsid w:val="003816D1"/>
    <w:rsid w:val="003818F0"/>
    <w:rsid w:val="003823F1"/>
    <w:rsid w:val="003825D5"/>
    <w:rsid w:val="0038299D"/>
    <w:rsid w:val="003829A2"/>
    <w:rsid w:val="003829AA"/>
    <w:rsid w:val="00382BC6"/>
    <w:rsid w:val="00382FCA"/>
    <w:rsid w:val="00383324"/>
    <w:rsid w:val="003833C1"/>
    <w:rsid w:val="00383701"/>
    <w:rsid w:val="00383737"/>
    <w:rsid w:val="003838F2"/>
    <w:rsid w:val="00383A30"/>
    <w:rsid w:val="00383AAC"/>
    <w:rsid w:val="00383BEF"/>
    <w:rsid w:val="00383FBB"/>
    <w:rsid w:val="003843C6"/>
    <w:rsid w:val="00384451"/>
    <w:rsid w:val="00384877"/>
    <w:rsid w:val="00384DF2"/>
    <w:rsid w:val="00384F71"/>
    <w:rsid w:val="003853A9"/>
    <w:rsid w:val="003857D3"/>
    <w:rsid w:val="003857FF"/>
    <w:rsid w:val="003858DB"/>
    <w:rsid w:val="00385E67"/>
    <w:rsid w:val="003864E2"/>
    <w:rsid w:val="0038662E"/>
    <w:rsid w:val="00386697"/>
    <w:rsid w:val="00386866"/>
    <w:rsid w:val="00386AFA"/>
    <w:rsid w:val="00386CE5"/>
    <w:rsid w:val="00386E7A"/>
    <w:rsid w:val="003874E1"/>
    <w:rsid w:val="00387722"/>
    <w:rsid w:val="0039010B"/>
    <w:rsid w:val="003902FD"/>
    <w:rsid w:val="00390746"/>
    <w:rsid w:val="00390A9B"/>
    <w:rsid w:val="00390C01"/>
    <w:rsid w:val="0039100D"/>
    <w:rsid w:val="003910BE"/>
    <w:rsid w:val="0039113D"/>
    <w:rsid w:val="0039124E"/>
    <w:rsid w:val="0039129B"/>
    <w:rsid w:val="003913B8"/>
    <w:rsid w:val="00391B4E"/>
    <w:rsid w:val="00391BAE"/>
    <w:rsid w:val="00391CD2"/>
    <w:rsid w:val="00391D6C"/>
    <w:rsid w:val="00391DCA"/>
    <w:rsid w:val="00391F0C"/>
    <w:rsid w:val="003921E0"/>
    <w:rsid w:val="00392249"/>
    <w:rsid w:val="003922E9"/>
    <w:rsid w:val="00392379"/>
    <w:rsid w:val="0039294A"/>
    <w:rsid w:val="00392CA6"/>
    <w:rsid w:val="003930BC"/>
    <w:rsid w:val="00393296"/>
    <w:rsid w:val="003935FE"/>
    <w:rsid w:val="00393E42"/>
    <w:rsid w:val="00393FED"/>
    <w:rsid w:val="00394577"/>
    <w:rsid w:val="00394BC9"/>
    <w:rsid w:val="00395028"/>
    <w:rsid w:val="0039506B"/>
    <w:rsid w:val="003957B2"/>
    <w:rsid w:val="0039580C"/>
    <w:rsid w:val="00395D47"/>
    <w:rsid w:val="00395E3C"/>
    <w:rsid w:val="00395EA9"/>
    <w:rsid w:val="00395FCD"/>
    <w:rsid w:val="00395FFC"/>
    <w:rsid w:val="003960C2"/>
    <w:rsid w:val="00396C74"/>
    <w:rsid w:val="003971D5"/>
    <w:rsid w:val="003971E9"/>
    <w:rsid w:val="00397358"/>
    <w:rsid w:val="003976B5"/>
    <w:rsid w:val="00397B2E"/>
    <w:rsid w:val="00397FD4"/>
    <w:rsid w:val="00397FF2"/>
    <w:rsid w:val="003A0569"/>
    <w:rsid w:val="003A0B2A"/>
    <w:rsid w:val="003A12FF"/>
    <w:rsid w:val="003A1F16"/>
    <w:rsid w:val="003A25C1"/>
    <w:rsid w:val="003A2A8E"/>
    <w:rsid w:val="003A3212"/>
    <w:rsid w:val="003A322A"/>
    <w:rsid w:val="003A3404"/>
    <w:rsid w:val="003A3422"/>
    <w:rsid w:val="003A346C"/>
    <w:rsid w:val="003A356E"/>
    <w:rsid w:val="003A379F"/>
    <w:rsid w:val="003A37F5"/>
    <w:rsid w:val="003A3C53"/>
    <w:rsid w:val="003A3E02"/>
    <w:rsid w:val="003A4175"/>
    <w:rsid w:val="003A41C0"/>
    <w:rsid w:val="003A48C1"/>
    <w:rsid w:val="003A49F1"/>
    <w:rsid w:val="003A5589"/>
    <w:rsid w:val="003A5A0D"/>
    <w:rsid w:val="003A60B3"/>
    <w:rsid w:val="003A6138"/>
    <w:rsid w:val="003A6646"/>
    <w:rsid w:val="003A68FA"/>
    <w:rsid w:val="003A6B5A"/>
    <w:rsid w:val="003A70A9"/>
    <w:rsid w:val="003B004F"/>
    <w:rsid w:val="003B015D"/>
    <w:rsid w:val="003B03D2"/>
    <w:rsid w:val="003B049E"/>
    <w:rsid w:val="003B065D"/>
    <w:rsid w:val="003B084D"/>
    <w:rsid w:val="003B0875"/>
    <w:rsid w:val="003B0922"/>
    <w:rsid w:val="003B0B17"/>
    <w:rsid w:val="003B0D30"/>
    <w:rsid w:val="003B0D69"/>
    <w:rsid w:val="003B112C"/>
    <w:rsid w:val="003B114A"/>
    <w:rsid w:val="003B130A"/>
    <w:rsid w:val="003B1389"/>
    <w:rsid w:val="003B148E"/>
    <w:rsid w:val="003B14CD"/>
    <w:rsid w:val="003B150B"/>
    <w:rsid w:val="003B1C83"/>
    <w:rsid w:val="003B253F"/>
    <w:rsid w:val="003B2A01"/>
    <w:rsid w:val="003B2F1D"/>
    <w:rsid w:val="003B2FC9"/>
    <w:rsid w:val="003B330A"/>
    <w:rsid w:val="003B35E0"/>
    <w:rsid w:val="003B3661"/>
    <w:rsid w:val="003B404D"/>
    <w:rsid w:val="003B4710"/>
    <w:rsid w:val="003B538C"/>
    <w:rsid w:val="003B578C"/>
    <w:rsid w:val="003B58B0"/>
    <w:rsid w:val="003B58C8"/>
    <w:rsid w:val="003B5E1D"/>
    <w:rsid w:val="003B6045"/>
    <w:rsid w:val="003B6A05"/>
    <w:rsid w:val="003B6CD9"/>
    <w:rsid w:val="003B6F33"/>
    <w:rsid w:val="003B74E4"/>
    <w:rsid w:val="003B7518"/>
    <w:rsid w:val="003B757C"/>
    <w:rsid w:val="003B782B"/>
    <w:rsid w:val="003B7CFF"/>
    <w:rsid w:val="003C0324"/>
    <w:rsid w:val="003C038E"/>
    <w:rsid w:val="003C0430"/>
    <w:rsid w:val="003C0872"/>
    <w:rsid w:val="003C0FDB"/>
    <w:rsid w:val="003C12B3"/>
    <w:rsid w:val="003C1367"/>
    <w:rsid w:val="003C1984"/>
    <w:rsid w:val="003C1D30"/>
    <w:rsid w:val="003C20B9"/>
    <w:rsid w:val="003C2142"/>
    <w:rsid w:val="003C22E3"/>
    <w:rsid w:val="003C2A03"/>
    <w:rsid w:val="003C3051"/>
    <w:rsid w:val="003C32E5"/>
    <w:rsid w:val="003C33D9"/>
    <w:rsid w:val="003C343D"/>
    <w:rsid w:val="003C3AA6"/>
    <w:rsid w:val="003C3EEA"/>
    <w:rsid w:val="003C3F81"/>
    <w:rsid w:val="003C40F3"/>
    <w:rsid w:val="003C4738"/>
    <w:rsid w:val="003C4BE8"/>
    <w:rsid w:val="003C4E43"/>
    <w:rsid w:val="003C4E5D"/>
    <w:rsid w:val="003C4F01"/>
    <w:rsid w:val="003C5254"/>
    <w:rsid w:val="003C53EB"/>
    <w:rsid w:val="003C55E2"/>
    <w:rsid w:val="003C5890"/>
    <w:rsid w:val="003C5916"/>
    <w:rsid w:val="003C5AA1"/>
    <w:rsid w:val="003C5DAC"/>
    <w:rsid w:val="003C5F99"/>
    <w:rsid w:val="003C5FD7"/>
    <w:rsid w:val="003C609C"/>
    <w:rsid w:val="003C6DD1"/>
    <w:rsid w:val="003C74DF"/>
    <w:rsid w:val="003C7726"/>
    <w:rsid w:val="003C795E"/>
    <w:rsid w:val="003C7E23"/>
    <w:rsid w:val="003D0320"/>
    <w:rsid w:val="003D0620"/>
    <w:rsid w:val="003D06A0"/>
    <w:rsid w:val="003D06F7"/>
    <w:rsid w:val="003D0833"/>
    <w:rsid w:val="003D0FA3"/>
    <w:rsid w:val="003D1025"/>
    <w:rsid w:val="003D1339"/>
    <w:rsid w:val="003D1608"/>
    <w:rsid w:val="003D1D6B"/>
    <w:rsid w:val="003D23CC"/>
    <w:rsid w:val="003D2890"/>
    <w:rsid w:val="003D2B08"/>
    <w:rsid w:val="003D31FC"/>
    <w:rsid w:val="003D3249"/>
    <w:rsid w:val="003D33B0"/>
    <w:rsid w:val="003D366F"/>
    <w:rsid w:val="003D37E0"/>
    <w:rsid w:val="003D3888"/>
    <w:rsid w:val="003D3957"/>
    <w:rsid w:val="003D3F28"/>
    <w:rsid w:val="003D3F81"/>
    <w:rsid w:val="003D459E"/>
    <w:rsid w:val="003D4800"/>
    <w:rsid w:val="003D4B6A"/>
    <w:rsid w:val="003D5258"/>
    <w:rsid w:val="003D547D"/>
    <w:rsid w:val="003D5D74"/>
    <w:rsid w:val="003D5EC6"/>
    <w:rsid w:val="003D6B84"/>
    <w:rsid w:val="003D6EAC"/>
    <w:rsid w:val="003D701B"/>
    <w:rsid w:val="003D7796"/>
    <w:rsid w:val="003D77A3"/>
    <w:rsid w:val="003D78FA"/>
    <w:rsid w:val="003E06E3"/>
    <w:rsid w:val="003E097C"/>
    <w:rsid w:val="003E097F"/>
    <w:rsid w:val="003E0B5A"/>
    <w:rsid w:val="003E1069"/>
    <w:rsid w:val="003E1355"/>
    <w:rsid w:val="003E1575"/>
    <w:rsid w:val="003E1963"/>
    <w:rsid w:val="003E2433"/>
    <w:rsid w:val="003E2435"/>
    <w:rsid w:val="003E248C"/>
    <w:rsid w:val="003E24E9"/>
    <w:rsid w:val="003E297A"/>
    <w:rsid w:val="003E2A5D"/>
    <w:rsid w:val="003E2AEA"/>
    <w:rsid w:val="003E2D1F"/>
    <w:rsid w:val="003E34EB"/>
    <w:rsid w:val="003E3C65"/>
    <w:rsid w:val="003E3E73"/>
    <w:rsid w:val="003E4131"/>
    <w:rsid w:val="003E4888"/>
    <w:rsid w:val="003E5158"/>
    <w:rsid w:val="003E55C4"/>
    <w:rsid w:val="003E5630"/>
    <w:rsid w:val="003E569B"/>
    <w:rsid w:val="003E59E3"/>
    <w:rsid w:val="003E63A0"/>
    <w:rsid w:val="003E6752"/>
    <w:rsid w:val="003E6CF3"/>
    <w:rsid w:val="003E700B"/>
    <w:rsid w:val="003E71A9"/>
    <w:rsid w:val="003E766A"/>
    <w:rsid w:val="003E7829"/>
    <w:rsid w:val="003E7894"/>
    <w:rsid w:val="003E790E"/>
    <w:rsid w:val="003F0180"/>
    <w:rsid w:val="003F0339"/>
    <w:rsid w:val="003F0357"/>
    <w:rsid w:val="003F05C1"/>
    <w:rsid w:val="003F05EB"/>
    <w:rsid w:val="003F0B7F"/>
    <w:rsid w:val="003F14CB"/>
    <w:rsid w:val="003F1671"/>
    <w:rsid w:val="003F1C80"/>
    <w:rsid w:val="003F1D95"/>
    <w:rsid w:val="003F1E5C"/>
    <w:rsid w:val="003F208A"/>
    <w:rsid w:val="003F23B5"/>
    <w:rsid w:val="003F265A"/>
    <w:rsid w:val="003F2AB9"/>
    <w:rsid w:val="003F2B91"/>
    <w:rsid w:val="003F2E6B"/>
    <w:rsid w:val="003F3206"/>
    <w:rsid w:val="003F3246"/>
    <w:rsid w:val="003F3A18"/>
    <w:rsid w:val="003F3AE0"/>
    <w:rsid w:val="003F3C65"/>
    <w:rsid w:val="003F3D68"/>
    <w:rsid w:val="003F3D80"/>
    <w:rsid w:val="003F3ED9"/>
    <w:rsid w:val="003F4765"/>
    <w:rsid w:val="003F4B0F"/>
    <w:rsid w:val="003F4E70"/>
    <w:rsid w:val="003F4E97"/>
    <w:rsid w:val="003F5061"/>
    <w:rsid w:val="003F5484"/>
    <w:rsid w:val="003F581F"/>
    <w:rsid w:val="003F5B2F"/>
    <w:rsid w:val="003F5CC3"/>
    <w:rsid w:val="003F5DC1"/>
    <w:rsid w:val="003F60DB"/>
    <w:rsid w:val="003F614E"/>
    <w:rsid w:val="003F6773"/>
    <w:rsid w:val="003F6A98"/>
    <w:rsid w:val="003F6D2D"/>
    <w:rsid w:val="003F7E95"/>
    <w:rsid w:val="003F7F37"/>
    <w:rsid w:val="004005D2"/>
    <w:rsid w:val="0040067F"/>
    <w:rsid w:val="004006BF"/>
    <w:rsid w:val="00400C43"/>
    <w:rsid w:val="00400F8B"/>
    <w:rsid w:val="00400FD6"/>
    <w:rsid w:val="00401044"/>
    <w:rsid w:val="0040170C"/>
    <w:rsid w:val="00401918"/>
    <w:rsid w:val="00401B7E"/>
    <w:rsid w:val="00401D4A"/>
    <w:rsid w:val="00401E2A"/>
    <w:rsid w:val="004022B6"/>
    <w:rsid w:val="004024D3"/>
    <w:rsid w:val="004027AE"/>
    <w:rsid w:val="00402AAD"/>
    <w:rsid w:val="00402C89"/>
    <w:rsid w:val="00402DE7"/>
    <w:rsid w:val="00402F23"/>
    <w:rsid w:val="004032CC"/>
    <w:rsid w:val="004036EC"/>
    <w:rsid w:val="004039B7"/>
    <w:rsid w:val="004039C0"/>
    <w:rsid w:val="00403A5B"/>
    <w:rsid w:val="0040415B"/>
    <w:rsid w:val="00404185"/>
    <w:rsid w:val="00404396"/>
    <w:rsid w:val="00404ABA"/>
    <w:rsid w:val="00404F3D"/>
    <w:rsid w:val="0040570A"/>
    <w:rsid w:val="00405A90"/>
    <w:rsid w:val="00405DE3"/>
    <w:rsid w:val="004060D4"/>
    <w:rsid w:val="0040632E"/>
    <w:rsid w:val="0040642E"/>
    <w:rsid w:val="00406BE7"/>
    <w:rsid w:val="00406D88"/>
    <w:rsid w:val="00406E7A"/>
    <w:rsid w:val="00406FCB"/>
    <w:rsid w:val="004073F9"/>
    <w:rsid w:val="00407BF3"/>
    <w:rsid w:val="00407FFC"/>
    <w:rsid w:val="00410493"/>
    <w:rsid w:val="00410810"/>
    <w:rsid w:val="00410940"/>
    <w:rsid w:val="00410A71"/>
    <w:rsid w:val="00410BC7"/>
    <w:rsid w:val="00410EA9"/>
    <w:rsid w:val="004117D3"/>
    <w:rsid w:val="00411988"/>
    <w:rsid w:val="00411C9E"/>
    <w:rsid w:val="00412055"/>
    <w:rsid w:val="00412BE6"/>
    <w:rsid w:val="00413257"/>
    <w:rsid w:val="00413316"/>
    <w:rsid w:val="0041363A"/>
    <w:rsid w:val="0041368A"/>
    <w:rsid w:val="00413765"/>
    <w:rsid w:val="004138BC"/>
    <w:rsid w:val="00413AFB"/>
    <w:rsid w:val="00413F8D"/>
    <w:rsid w:val="0041410E"/>
    <w:rsid w:val="0041430F"/>
    <w:rsid w:val="00414658"/>
    <w:rsid w:val="00414A03"/>
    <w:rsid w:val="00414BD0"/>
    <w:rsid w:val="00414C55"/>
    <w:rsid w:val="00414E47"/>
    <w:rsid w:val="004152A5"/>
    <w:rsid w:val="00415495"/>
    <w:rsid w:val="00415847"/>
    <w:rsid w:val="004158E4"/>
    <w:rsid w:val="00415AE9"/>
    <w:rsid w:val="00415E1B"/>
    <w:rsid w:val="00415E2C"/>
    <w:rsid w:val="00415E4E"/>
    <w:rsid w:val="00415E92"/>
    <w:rsid w:val="00415E9F"/>
    <w:rsid w:val="00416522"/>
    <w:rsid w:val="004168CF"/>
    <w:rsid w:val="00416DE0"/>
    <w:rsid w:val="00416E55"/>
    <w:rsid w:val="00417255"/>
    <w:rsid w:val="00417DFF"/>
    <w:rsid w:val="00420099"/>
    <w:rsid w:val="00420251"/>
    <w:rsid w:val="0042047C"/>
    <w:rsid w:val="004204D0"/>
    <w:rsid w:val="004206C0"/>
    <w:rsid w:val="00420932"/>
    <w:rsid w:val="004209D9"/>
    <w:rsid w:val="00420B3A"/>
    <w:rsid w:val="00421080"/>
    <w:rsid w:val="004211F0"/>
    <w:rsid w:val="0042166D"/>
    <w:rsid w:val="004219F6"/>
    <w:rsid w:val="00421BDC"/>
    <w:rsid w:val="00421F2B"/>
    <w:rsid w:val="004224B9"/>
    <w:rsid w:val="00422B72"/>
    <w:rsid w:val="00423105"/>
    <w:rsid w:val="00423167"/>
    <w:rsid w:val="00423598"/>
    <w:rsid w:val="00423615"/>
    <w:rsid w:val="0042373D"/>
    <w:rsid w:val="0042376B"/>
    <w:rsid w:val="00423C07"/>
    <w:rsid w:val="00423C9D"/>
    <w:rsid w:val="00423EB9"/>
    <w:rsid w:val="00424434"/>
    <w:rsid w:val="004244FE"/>
    <w:rsid w:val="004245A1"/>
    <w:rsid w:val="00424629"/>
    <w:rsid w:val="004248B9"/>
    <w:rsid w:val="00424C13"/>
    <w:rsid w:val="00424F6D"/>
    <w:rsid w:val="0042557A"/>
    <w:rsid w:val="00425D4D"/>
    <w:rsid w:val="0042643C"/>
    <w:rsid w:val="0042656D"/>
    <w:rsid w:val="00426607"/>
    <w:rsid w:val="00426858"/>
    <w:rsid w:val="004268F2"/>
    <w:rsid w:val="00426B6B"/>
    <w:rsid w:val="00426C7B"/>
    <w:rsid w:val="00426F47"/>
    <w:rsid w:val="00426F7F"/>
    <w:rsid w:val="00427048"/>
    <w:rsid w:val="00427605"/>
    <w:rsid w:val="004278A5"/>
    <w:rsid w:val="00427B09"/>
    <w:rsid w:val="00427BE1"/>
    <w:rsid w:val="00427D4B"/>
    <w:rsid w:val="004300C4"/>
    <w:rsid w:val="00430297"/>
    <w:rsid w:val="004302EA"/>
    <w:rsid w:val="00430AA1"/>
    <w:rsid w:val="0043138F"/>
    <w:rsid w:val="0043175A"/>
    <w:rsid w:val="00431788"/>
    <w:rsid w:val="00431DBB"/>
    <w:rsid w:val="00432590"/>
    <w:rsid w:val="00432693"/>
    <w:rsid w:val="00432F7D"/>
    <w:rsid w:val="004331E4"/>
    <w:rsid w:val="004334A3"/>
    <w:rsid w:val="004337D5"/>
    <w:rsid w:val="00433ADE"/>
    <w:rsid w:val="00433C8A"/>
    <w:rsid w:val="00434167"/>
    <w:rsid w:val="0043450D"/>
    <w:rsid w:val="004347E7"/>
    <w:rsid w:val="004349B5"/>
    <w:rsid w:val="00434B2F"/>
    <w:rsid w:val="00435819"/>
    <w:rsid w:val="00435C0F"/>
    <w:rsid w:val="00436118"/>
    <w:rsid w:val="00436123"/>
    <w:rsid w:val="0043629B"/>
    <w:rsid w:val="00436852"/>
    <w:rsid w:val="00436B1A"/>
    <w:rsid w:val="00436E87"/>
    <w:rsid w:val="00436EE2"/>
    <w:rsid w:val="004370DE"/>
    <w:rsid w:val="004373BA"/>
    <w:rsid w:val="00437408"/>
    <w:rsid w:val="00437B6D"/>
    <w:rsid w:val="00437BF4"/>
    <w:rsid w:val="00437C52"/>
    <w:rsid w:val="00440402"/>
    <w:rsid w:val="0044063D"/>
    <w:rsid w:val="00440D18"/>
    <w:rsid w:val="00440EF8"/>
    <w:rsid w:val="004416AC"/>
    <w:rsid w:val="00441A39"/>
    <w:rsid w:val="00441A9C"/>
    <w:rsid w:val="00441B18"/>
    <w:rsid w:val="004421BC"/>
    <w:rsid w:val="0044253C"/>
    <w:rsid w:val="00443122"/>
    <w:rsid w:val="004436C7"/>
    <w:rsid w:val="0044392E"/>
    <w:rsid w:val="004441B4"/>
    <w:rsid w:val="004444A8"/>
    <w:rsid w:val="00444670"/>
    <w:rsid w:val="0044468E"/>
    <w:rsid w:val="00444972"/>
    <w:rsid w:val="00444B67"/>
    <w:rsid w:val="004452FF"/>
    <w:rsid w:val="00445320"/>
    <w:rsid w:val="00445776"/>
    <w:rsid w:val="00445B3E"/>
    <w:rsid w:val="00445D95"/>
    <w:rsid w:val="00445E2D"/>
    <w:rsid w:val="00446AF7"/>
    <w:rsid w:val="00446DC3"/>
    <w:rsid w:val="00446EFC"/>
    <w:rsid w:val="004476CB"/>
    <w:rsid w:val="004477CE"/>
    <w:rsid w:val="00447A28"/>
    <w:rsid w:val="00447E97"/>
    <w:rsid w:val="00450274"/>
    <w:rsid w:val="00450372"/>
    <w:rsid w:val="0045041D"/>
    <w:rsid w:val="00450539"/>
    <w:rsid w:val="0045062F"/>
    <w:rsid w:val="00450895"/>
    <w:rsid w:val="00450D41"/>
    <w:rsid w:val="00450E6C"/>
    <w:rsid w:val="00450EAF"/>
    <w:rsid w:val="004516CD"/>
    <w:rsid w:val="004518E9"/>
    <w:rsid w:val="00451A78"/>
    <w:rsid w:val="00451C21"/>
    <w:rsid w:val="004529BC"/>
    <w:rsid w:val="00452BB2"/>
    <w:rsid w:val="00452C70"/>
    <w:rsid w:val="00452C77"/>
    <w:rsid w:val="00452D6D"/>
    <w:rsid w:val="00452E63"/>
    <w:rsid w:val="00452F9A"/>
    <w:rsid w:val="0045311C"/>
    <w:rsid w:val="004539B8"/>
    <w:rsid w:val="00453B74"/>
    <w:rsid w:val="00453BCF"/>
    <w:rsid w:val="00454223"/>
    <w:rsid w:val="004544E5"/>
    <w:rsid w:val="00454742"/>
    <w:rsid w:val="0045499A"/>
    <w:rsid w:val="00454CE9"/>
    <w:rsid w:val="00454EE0"/>
    <w:rsid w:val="00454FBD"/>
    <w:rsid w:val="00455236"/>
    <w:rsid w:val="004556DA"/>
    <w:rsid w:val="00455C7B"/>
    <w:rsid w:val="00455CAC"/>
    <w:rsid w:val="00455DB5"/>
    <w:rsid w:val="004560EE"/>
    <w:rsid w:val="00456DFB"/>
    <w:rsid w:val="00457333"/>
    <w:rsid w:val="004578A6"/>
    <w:rsid w:val="00460175"/>
    <w:rsid w:val="004606BF"/>
    <w:rsid w:val="00460913"/>
    <w:rsid w:val="00460ADD"/>
    <w:rsid w:val="00460CCE"/>
    <w:rsid w:val="00460FB6"/>
    <w:rsid w:val="004610D8"/>
    <w:rsid w:val="004615FD"/>
    <w:rsid w:val="00461D07"/>
    <w:rsid w:val="00461F56"/>
    <w:rsid w:val="00462260"/>
    <w:rsid w:val="00462323"/>
    <w:rsid w:val="0046254D"/>
    <w:rsid w:val="0046258B"/>
    <w:rsid w:val="0046271A"/>
    <w:rsid w:val="00462A0A"/>
    <w:rsid w:val="00462B70"/>
    <w:rsid w:val="00462CD9"/>
    <w:rsid w:val="00462E33"/>
    <w:rsid w:val="00462FB7"/>
    <w:rsid w:val="00463317"/>
    <w:rsid w:val="004633A2"/>
    <w:rsid w:val="00463586"/>
    <w:rsid w:val="004637D9"/>
    <w:rsid w:val="00463C38"/>
    <w:rsid w:val="004640FA"/>
    <w:rsid w:val="00464236"/>
    <w:rsid w:val="0046476D"/>
    <w:rsid w:val="0046477E"/>
    <w:rsid w:val="0046478E"/>
    <w:rsid w:val="004647EB"/>
    <w:rsid w:val="00464C7D"/>
    <w:rsid w:val="00464DA2"/>
    <w:rsid w:val="00465D17"/>
    <w:rsid w:val="00466187"/>
    <w:rsid w:val="004668F2"/>
    <w:rsid w:val="00466B28"/>
    <w:rsid w:val="0046706E"/>
    <w:rsid w:val="00467159"/>
    <w:rsid w:val="00467AC4"/>
    <w:rsid w:val="00467D40"/>
    <w:rsid w:val="00467ECC"/>
    <w:rsid w:val="00470425"/>
    <w:rsid w:val="00470633"/>
    <w:rsid w:val="00470961"/>
    <w:rsid w:val="00470A79"/>
    <w:rsid w:val="00470B61"/>
    <w:rsid w:val="00470C67"/>
    <w:rsid w:val="0047183A"/>
    <w:rsid w:val="00471862"/>
    <w:rsid w:val="00472084"/>
    <w:rsid w:val="004722C0"/>
    <w:rsid w:val="0047253A"/>
    <w:rsid w:val="00472966"/>
    <w:rsid w:val="00472A40"/>
    <w:rsid w:val="00472B64"/>
    <w:rsid w:val="00472E08"/>
    <w:rsid w:val="004731D9"/>
    <w:rsid w:val="004731F9"/>
    <w:rsid w:val="0047369A"/>
    <w:rsid w:val="004740BC"/>
    <w:rsid w:val="004746D4"/>
    <w:rsid w:val="00474793"/>
    <w:rsid w:val="00474887"/>
    <w:rsid w:val="00474B91"/>
    <w:rsid w:val="00474E10"/>
    <w:rsid w:val="004760C9"/>
    <w:rsid w:val="004760DC"/>
    <w:rsid w:val="004762DB"/>
    <w:rsid w:val="0047637D"/>
    <w:rsid w:val="00476EA5"/>
    <w:rsid w:val="00477710"/>
    <w:rsid w:val="00477D73"/>
    <w:rsid w:val="00480039"/>
    <w:rsid w:val="004802B7"/>
    <w:rsid w:val="0048050A"/>
    <w:rsid w:val="0048076C"/>
    <w:rsid w:val="00481049"/>
    <w:rsid w:val="004810A6"/>
    <w:rsid w:val="00481C73"/>
    <w:rsid w:val="00481D7D"/>
    <w:rsid w:val="004822A4"/>
    <w:rsid w:val="00482437"/>
    <w:rsid w:val="00482A0A"/>
    <w:rsid w:val="00482B8F"/>
    <w:rsid w:val="00482D6A"/>
    <w:rsid w:val="00482F0A"/>
    <w:rsid w:val="004831E6"/>
    <w:rsid w:val="004834F8"/>
    <w:rsid w:val="004838A1"/>
    <w:rsid w:val="00483A5B"/>
    <w:rsid w:val="004843E9"/>
    <w:rsid w:val="0048492A"/>
    <w:rsid w:val="00484B66"/>
    <w:rsid w:val="00484B98"/>
    <w:rsid w:val="00484C93"/>
    <w:rsid w:val="004850E3"/>
    <w:rsid w:val="00485275"/>
    <w:rsid w:val="004852DE"/>
    <w:rsid w:val="00485311"/>
    <w:rsid w:val="0048542F"/>
    <w:rsid w:val="0048565E"/>
    <w:rsid w:val="004858AF"/>
    <w:rsid w:val="00485A42"/>
    <w:rsid w:val="00485D0D"/>
    <w:rsid w:val="00485F8C"/>
    <w:rsid w:val="00486034"/>
    <w:rsid w:val="0048631A"/>
    <w:rsid w:val="004863AE"/>
    <w:rsid w:val="00486407"/>
    <w:rsid w:val="00486808"/>
    <w:rsid w:val="00486859"/>
    <w:rsid w:val="00486867"/>
    <w:rsid w:val="00486CCC"/>
    <w:rsid w:val="00487469"/>
    <w:rsid w:val="00487712"/>
    <w:rsid w:val="00487923"/>
    <w:rsid w:val="00487CAF"/>
    <w:rsid w:val="00487EB3"/>
    <w:rsid w:val="00490849"/>
    <w:rsid w:val="00490B5F"/>
    <w:rsid w:val="00490D7D"/>
    <w:rsid w:val="00490F0B"/>
    <w:rsid w:val="00490F80"/>
    <w:rsid w:val="004914B4"/>
    <w:rsid w:val="004915E4"/>
    <w:rsid w:val="00491946"/>
    <w:rsid w:val="004919E8"/>
    <w:rsid w:val="004922BE"/>
    <w:rsid w:val="00492500"/>
    <w:rsid w:val="00492550"/>
    <w:rsid w:val="00492B9A"/>
    <w:rsid w:val="00492E75"/>
    <w:rsid w:val="00492F9C"/>
    <w:rsid w:val="00493132"/>
    <w:rsid w:val="00493171"/>
    <w:rsid w:val="004936E6"/>
    <w:rsid w:val="00493B2F"/>
    <w:rsid w:val="00493EA8"/>
    <w:rsid w:val="00493F28"/>
    <w:rsid w:val="00494180"/>
    <w:rsid w:val="00494271"/>
    <w:rsid w:val="00494AAF"/>
    <w:rsid w:val="00494E90"/>
    <w:rsid w:val="004950BE"/>
    <w:rsid w:val="00495654"/>
    <w:rsid w:val="00495A85"/>
    <w:rsid w:val="00496149"/>
    <w:rsid w:val="0049634A"/>
    <w:rsid w:val="0049683C"/>
    <w:rsid w:val="004968CD"/>
    <w:rsid w:val="00496B85"/>
    <w:rsid w:val="00496C92"/>
    <w:rsid w:val="00496FB5"/>
    <w:rsid w:val="004979C2"/>
    <w:rsid w:val="00497E2F"/>
    <w:rsid w:val="004A005D"/>
    <w:rsid w:val="004A0303"/>
    <w:rsid w:val="004A0502"/>
    <w:rsid w:val="004A0520"/>
    <w:rsid w:val="004A079B"/>
    <w:rsid w:val="004A07A8"/>
    <w:rsid w:val="004A0D4E"/>
    <w:rsid w:val="004A0D70"/>
    <w:rsid w:val="004A0E0D"/>
    <w:rsid w:val="004A0FF2"/>
    <w:rsid w:val="004A1010"/>
    <w:rsid w:val="004A1402"/>
    <w:rsid w:val="004A1741"/>
    <w:rsid w:val="004A1AEC"/>
    <w:rsid w:val="004A1C1F"/>
    <w:rsid w:val="004A1D03"/>
    <w:rsid w:val="004A2510"/>
    <w:rsid w:val="004A2A52"/>
    <w:rsid w:val="004A2B9B"/>
    <w:rsid w:val="004A2CBC"/>
    <w:rsid w:val="004A2E82"/>
    <w:rsid w:val="004A331B"/>
    <w:rsid w:val="004A33C6"/>
    <w:rsid w:val="004A33F1"/>
    <w:rsid w:val="004A3427"/>
    <w:rsid w:val="004A3653"/>
    <w:rsid w:val="004A373C"/>
    <w:rsid w:val="004A39E7"/>
    <w:rsid w:val="004A3AE3"/>
    <w:rsid w:val="004A3F98"/>
    <w:rsid w:val="004A4403"/>
    <w:rsid w:val="004A4A0F"/>
    <w:rsid w:val="004A4C5D"/>
    <w:rsid w:val="004A541B"/>
    <w:rsid w:val="004A5636"/>
    <w:rsid w:val="004A56EA"/>
    <w:rsid w:val="004A5A9E"/>
    <w:rsid w:val="004A5F54"/>
    <w:rsid w:val="004A6220"/>
    <w:rsid w:val="004A683A"/>
    <w:rsid w:val="004A7377"/>
    <w:rsid w:val="004B000C"/>
    <w:rsid w:val="004B035B"/>
    <w:rsid w:val="004B03BB"/>
    <w:rsid w:val="004B086B"/>
    <w:rsid w:val="004B0B3F"/>
    <w:rsid w:val="004B0BEA"/>
    <w:rsid w:val="004B0CBD"/>
    <w:rsid w:val="004B13DC"/>
    <w:rsid w:val="004B1628"/>
    <w:rsid w:val="004B16AC"/>
    <w:rsid w:val="004B2035"/>
    <w:rsid w:val="004B23AB"/>
    <w:rsid w:val="004B25F5"/>
    <w:rsid w:val="004B261A"/>
    <w:rsid w:val="004B2B0D"/>
    <w:rsid w:val="004B2B91"/>
    <w:rsid w:val="004B2D7D"/>
    <w:rsid w:val="004B321B"/>
    <w:rsid w:val="004B3275"/>
    <w:rsid w:val="004B329D"/>
    <w:rsid w:val="004B3323"/>
    <w:rsid w:val="004B3CF0"/>
    <w:rsid w:val="004B407A"/>
    <w:rsid w:val="004B434B"/>
    <w:rsid w:val="004B4BE4"/>
    <w:rsid w:val="004B500F"/>
    <w:rsid w:val="004B548A"/>
    <w:rsid w:val="004B54E9"/>
    <w:rsid w:val="004B5757"/>
    <w:rsid w:val="004B5B9F"/>
    <w:rsid w:val="004B5CB4"/>
    <w:rsid w:val="004B5CD1"/>
    <w:rsid w:val="004B5FB7"/>
    <w:rsid w:val="004B622D"/>
    <w:rsid w:val="004B65DF"/>
    <w:rsid w:val="004B6F45"/>
    <w:rsid w:val="004B7389"/>
    <w:rsid w:val="004B756C"/>
    <w:rsid w:val="004B776F"/>
    <w:rsid w:val="004B7C52"/>
    <w:rsid w:val="004C05B8"/>
    <w:rsid w:val="004C0B28"/>
    <w:rsid w:val="004C0BB9"/>
    <w:rsid w:val="004C105B"/>
    <w:rsid w:val="004C15F8"/>
    <w:rsid w:val="004C1AEB"/>
    <w:rsid w:val="004C1AED"/>
    <w:rsid w:val="004C1D92"/>
    <w:rsid w:val="004C1F6E"/>
    <w:rsid w:val="004C1FEA"/>
    <w:rsid w:val="004C26FD"/>
    <w:rsid w:val="004C28FE"/>
    <w:rsid w:val="004C2A43"/>
    <w:rsid w:val="004C2AEB"/>
    <w:rsid w:val="004C30DF"/>
    <w:rsid w:val="004C330B"/>
    <w:rsid w:val="004C344E"/>
    <w:rsid w:val="004C36BB"/>
    <w:rsid w:val="004C395C"/>
    <w:rsid w:val="004C42FA"/>
    <w:rsid w:val="004C480F"/>
    <w:rsid w:val="004C4BB5"/>
    <w:rsid w:val="004C4D03"/>
    <w:rsid w:val="004C4D21"/>
    <w:rsid w:val="004C4E66"/>
    <w:rsid w:val="004C4F60"/>
    <w:rsid w:val="004C577B"/>
    <w:rsid w:val="004C580F"/>
    <w:rsid w:val="004C5AC8"/>
    <w:rsid w:val="004C5CFF"/>
    <w:rsid w:val="004C6794"/>
    <w:rsid w:val="004C7021"/>
    <w:rsid w:val="004C73A8"/>
    <w:rsid w:val="004C76D8"/>
    <w:rsid w:val="004C7D2C"/>
    <w:rsid w:val="004D0124"/>
    <w:rsid w:val="004D08D1"/>
    <w:rsid w:val="004D0951"/>
    <w:rsid w:val="004D0B6C"/>
    <w:rsid w:val="004D1163"/>
    <w:rsid w:val="004D1395"/>
    <w:rsid w:val="004D1751"/>
    <w:rsid w:val="004D1829"/>
    <w:rsid w:val="004D186B"/>
    <w:rsid w:val="004D18A1"/>
    <w:rsid w:val="004D1BEF"/>
    <w:rsid w:val="004D2AFD"/>
    <w:rsid w:val="004D2B61"/>
    <w:rsid w:val="004D2C8B"/>
    <w:rsid w:val="004D2D65"/>
    <w:rsid w:val="004D2FFB"/>
    <w:rsid w:val="004D375F"/>
    <w:rsid w:val="004D3A7D"/>
    <w:rsid w:val="004D3BC3"/>
    <w:rsid w:val="004D44F6"/>
    <w:rsid w:val="004D4B77"/>
    <w:rsid w:val="004D50A4"/>
    <w:rsid w:val="004D514E"/>
    <w:rsid w:val="004D5157"/>
    <w:rsid w:val="004D51D8"/>
    <w:rsid w:val="004D5569"/>
    <w:rsid w:val="004D556D"/>
    <w:rsid w:val="004D583D"/>
    <w:rsid w:val="004D5BEE"/>
    <w:rsid w:val="004D5C3F"/>
    <w:rsid w:val="004D60B5"/>
    <w:rsid w:val="004D63B9"/>
    <w:rsid w:val="004D6432"/>
    <w:rsid w:val="004D64E6"/>
    <w:rsid w:val="004D6763"/>
    <w:rsid w:val="004D6C50"/>
    <w:rsid w:val="004D741B"/>
    <w:rsid w:val="004D7625"/>
    <w:rsid w:val="004D7E43"/>
    <w:rsid w:val="004E02A7"/>
    <w:rsid w:val="004E04F3"/>
    <w:rsid w:val="004E06DE"/>
    <w:rsid w:val="004E0C03"/>
    <w:rsid w:val="004E1001"/>
    <w:rsid w:val="004E1263"/>
    <w:rsid w:val="004E14D5"/>
    <w:rsid w:val="004E15CD"/>
    <w:rsid w:val="004E1622"/>
    <w:rsid w:val="004E1D5D"/>
    <w:rsid w:val="004E1F3E"/>
    <w:rsid w:val="004E2058"/>
    <w:rsid w:val="004E28A0"/>
    <w:rsid w:val="004E28A9"/>
    <w:rsid w:val="004E28F8"/>
    <w:rsid w:val="004E2913"/>
    <w:rsid w:val="004E293C"/>
    <w:rsid w:val="004E320D"/>
    <w:rsid w:val="004E35F7"/>
    <w:rsid w:val="004E3724"/>
    <w:rsid w:val="004E3D81"/>
    <w:rsid w:val="004E3FDD"/>
    <w:rsid w:val="004E465F"/>
    <w:rsid w:val="004E47B3"/>
    <w:rsid w:val="004E4B2E"/>
    <w:rsid w:val="004E4C7B"/>
    <w:rsid w:val="004E5110"/>
    <w:rsid w:val="004E5199"/>
    <w:rsid w:val="004E539E"/>
    <w:rsid w:val="004E55D5"/>
    <w:rsid w:val="004E5DC9"/>
    <w:rsid w:val="004E634E"/>
    <w:rsid w:val="004E6EB8"/>
    <w:rsid w:val="004E71FA"/>
    <w:rsid w:val="004E721D"/>
    <w:rsid w:val="004E740E"/>
    <w:rsid w:val="004E7456"/>
    <w:rsid w:val="004E7676"/>
    <w:rsid w:val="004E7788"/>
    <w:rsid w:val="004E7869"/>
    <w:rsid w:val="004E7A26"/>
    <w:rsid w:val="004E7B5C"/>
    <w:rsid w:val="004F00E9"/>
    <w:rsid w:val="004F015F"/>
    <w:rsid w:val="004F01E9"/>
    <w:rsid w:val="004F01EB"/>
    <w:rsid w:val="004F063E"/>
    <w:rsid w:val="004F06F4"/>
    <w:rsid w:val="004F071F"/>
    <w:rsid w:val="004F097B"/>
    <w:rsid w:val="004F0F7E"/>
    <w:rsid w:val="004F1018"/>
    <w:rsid w:val="004F149F"/>
    <w:rsid w:val="004F1A10"/>
    <w:rsid w:val="004F1BCF"/>
    <w:rsid w:val="004F2171"/>
    <w:rsid w:val="004F2242"/>
    <w:rsid w:val="004F26D5"/>
    <w:rsid w:val="004F2B89"/>
    <w:rsid w:val="004F2C58"/>
    <w:rsid w:val="004F2D2D"/>
    <w:rsid w:val="004F329A"/>
    <w:rsid w:val="004F3312"/>
    <w:rsid w:val="004F36CF"/>
    <w:rsid w:val="004F3923"/>
    <w:rsid w:val="004F3936"/>
    <w:rsid w:val="004F3C20"/>
    <w:rsid w:val="004F4082"/>
    <w:rsid w:val="004F4D10"/>
    <w:rsid w:val="004F50FA"/>
    <w:rsid w:val="004F580C"/>
    <w:rsid w:val="004F5A2D"/>
    <w:rsid w:val="004F5E3E"/>
    <w:rsid w:val="004F67FC"/>
    <w:rsid w:val="004F6B00"/>
    <w:rsid w:val="004F6F30"/>
    <w:rsid w:val="004F738F"/>
    <w:rsid w:val="004F745C"/>
    <w:rsid w:val="004F7838"/>
    <w:rsid w:val="004F78A1"/>
    <w:rsid w:val="004F7AA9"/>
    <w:rsid w:val="004F7B73"/>
    <w:rsid w:val="004F7C01"/>
    <w:rsid w:val="005002E2"/>
    <w:rsid w:val="00500355"/>
    <w:rsid w:val="0050041E"/>
    <w:rsid w:val="005006A1"/>
    <w:rsid w:val="005008DE"/>
    <w:rsid w:val="00500B6A"/>
    <w:rsid w:val="005010E0"/>
    <w:rsid w:val="00501301"/>
    <w:rsid w:val="0050153F"/>
    <w:rsid w:val="0050157E"/>
    <w:rsid w:val="0050161C"/>
    <w:rsid w:val="0050171E"/>
    <w:rsid w:val="005019A1"/>
    <w:rsid w:val="00501A2D"/>
    <w:rsid w:val="00501B5C"/>
    <w:rsid w:val="00501FEF"/>
    <w:rsid w:val="005022AC"/>
    <w:rsid w:val="0050234A"/>
    <w:rsid w:val="0050238E"/>
    <w:rsid w:val="005029FE"/>
    <w:rsid w:val="005034FB"/>
    <w:rsid w:val="0050379A"/>
    <w:rsid w:val="00503CC8"/>
    <w:rsid w:val="00503D07"/>
    <w:rsid w:val="005042DF"/>
    <w:rsid w:val="005043EB"/>
    <w:rsid w:val="005045FC"/>
    <w:rsid w:val="00504C8F"/>
    <w:rsid w:val="00504D9C"/>
    <w:rsid w:val="00504ECB"/>
    <w:rsid w:val="00505451"/>
    <w:rsid w:val="00505553"/>
    <w:rsid w:val="00505A29"/>
    <w:rsid w:val="00505C30"/>
    <w:rsid w:val="00505DB4"/>
    <w:rsid w:val="00505EE2"/>
    <w:rsid w:val="00505F1B"/>
    <w:rsid w:val="0050604B"/>
    <w:rsid w:val="0050633E"/>
    <w:rsid w:val="005065B5"/>
    <w:rsid w:val="00506F61"/>
    <w:rsid w:val="005073CF"/>
    <w:rsid w:val="005079C3"/>
    <w:rsid w:val="005079EE"/>
    <w:rsid w:val="00510DD1"/>
    <w:rsid w:val="00510E87"/>
    <w:rsid w:val="00510EFE"/>
    <w:rsid w:val="00511209"/>
    <w:rsid w:val="00511278"/>
    <w:rsid w:val="00511654"/>
    <w:rsid w:val="00511DB4"/>
    <w:rsid w:val="00511EF6"/>
    <w:rsid w:val="005123D9"/>
    <w:rsid w:val="00512597"/>
    <w:rsid w:val="0051262A"/>
    <w:rsid w:val="00512782"/>
    <w:rsid w:val="005129DB"/>
    <w:rsid w:val="00512D2B"/>
    <w:rsid w:val="00512F50"/>
    <w:rsid w:val="005130A1"/>
    <w:rsid w:val="005133F6"/>
    <w:rsid w:val="005136FB"/>
    <w:rsid w:val="00513A79"/>
    <w:rsid w:val="00513C5D"/>
    <w:rsid w:val="00513E93"/>
    <w:rsid w:val="005140FF"/>
    <w:rsid w:val="00514EA2"/>
    <w:rsid w:val="00515229"/>
    <w:rsid w:val="005152A0"/>
    <w:rsid w:val="00515658"/>
    <w:rsid w:val="00515722"/>
    <w:rsid w:val="00515CB3"/>
    <w:rsid w:val="00516127"/>
    <w:rsid w:val="00516553"/>
    <w:rsid w:val="00516604"/>
    <w:rsid w:val="00516959"/>
    <w:rsid w:val="00516DFC"/>
    <w:rsid w:val="00516F9E"/>
    <w:rsid w:val="0051732B"/>
    <w:rsid w:val="0051747C"/>
    <w:rsid w:val="005176A3"/>
    <w:rsid w:val="00517AC5"/>
    <w:rsid w:val="00520298"/>
    <w:rsid w:val="00520477"/>
    <w:rsid w:val="00520DCF"/>
    <w:rsid w:val="005215F2"/>
    <w:rsid w:val="005216D6"/>
    <w:rsid w:val="00521833"/>
    <w:rsid w:val="0052183D"/>
    <w:rsid w:val="00521AA5"/>
    <w:rsid w:val="00521CC6"/>
    <w:rsid w:val="0052274B"/>
    <w:rsid w:val="005227C8"/>
    <w:rsid w:val="0052295A"/>
    <w:rsid w:val="00522B12"/>
    <w:rsid w:val="00523193"/>
    <w:rsid w:val="0052325A"/>
    <w:rsid w:val="005235F0"/>
    <w:rsid w:val="0052370D"/>
    <w:rsid w:val="005238C9"/>
    <w:rsid w:val="005242DD"/>
    <w:rsid w:val="005252DD"/>
    <w:rsid w:val="005256A5"/>
    <w:rsid w:val="005257A2"/>
    <w:rsid w:val="0052676C"/>
    <w:rsid w:val="00526EF0"/>
    <w:rsid w:val="00527B09"/>
    <w:rsid w:val="00527D07"/>
    <w:rsid w:val="00527DE1"/>
    <w:rsid w:val="00527F6E"/>
    <w:rsid w:val="0053070E"/>
    <w:rsid w:val="00530D7B"/>
    <w:rsid w:val="00531017"/>
    <w:rsid w:val="00531391"/>
    <w:rsid w:val="00531B56"/>
    <w:rsid w:val="00531F60"/>
    <w:rsid w:val="005322F8"/>
    <w:rsid w:val="0053258F"/>
    <w:rsid w:val="00532808"/>
    <w:rsid w:val="00532D76"/>
    <w:rsid w:val="005339A1"/>
    <w:rsid w:val="00533B6E"/>
    <w:rsid w:val="00533DFA"/>
    <w:rsid w:val="00533F95"/>
    <w:rsid w:val="00534236"/>
    <w:rsid w:val="005342AD"/>
    <w:rsid w:val="005346DD"/>
    <w:rsid w:val="005347B6"/>
    <w:rsid w:val="005348A8"/>
    <w:rsid w:val="005349AA"/>
    <w:rsid w:val="00535376"/>
    <w:rsid w:val="0053596D"/>
    <w:rsid w:val="00535974"/>
    <w:rsid w:val="00536359"/>
    <w:rsid w:val="00536F9F"/>
    <w:rsid w:val="00537301"/>
    <w:rsid w:val="00537737"/>
    <w:rsid w:val="005378CE"/>
    <w:rsid w:val="00537A82"/>
    <w:rsid w:val="00537C26"/>
    <w:rsid w:val="005404A7"/>
    <w:rsid w:val="005405F2"/>
    <w:rsid w:val="0054062D"/>
    <w:rsid w:val="00540703"/>
    <w:rsid w:val="005408EE"/>
    <w:rsid w:val="00540905"/>
    <w:rsid w:val="005409FB"/>
    <w:rsid w:val="00540DBA"/>
    <w:rsid w:val="00540EA6"/>
    <w:rsid w:val="005414BB"/>
    <w:rsid w:val="00541C3D"/>
    <w:rsid w:val="00542455"/>
    <w:rsid w:val="005424BC"/>
    <w:rsid w:val="00542596"/>
    <w:rsid w:val="0054274A"/>
    <w:rsid w:val="005428F4"/>
    <w:rsid w:val="00542BC2"/>
    <w:rsid w:val="00542DE3"/>
    <w:rsid w:val="00543049"/>
    <w:rsid w:val="005431C4"/>
    <w:rsid w:val="0054331F"/>
    <w:rsid w:val="00543476"/>
    <w:rsid w:val="00543999"/>
    <w:rsid w:val="00543F20"/>
    <w:rsid w:val="00544026"/>
    <w:rsid w:val="0054453E"/>
    <w:rsid w:val="00544867"/>
    <w:rsid w:val="005449E6"/>
    <w:rsid w:val="00544EE5"/>
    <w:rsid w:val="005451D0"/>
    <w:rsid w:val="00545711"/>
    <w:rsid w:val="005457C3"/>
    <w:rsid w:val="00545914"/>
    <w:rsid w:val="0054609C"/>
    <w:rsid w:val="005466AD"/>
    <w:rsid w:val="0054682D"/>
    <w:rsid w:val="005470CD"/>
    <w:rsid w:val="005476F1"/>
    <w:rsid w:val="005477AA"/>
    <w:rsid w:val="00547A73"/>
    <w:rsid w:val="0055088B"/>
    <w:rsid w:val="00550A2E"/>
    <w:rsid w:val="00550E0F"/>
    <w:rsid w:val="005511CE"/>
    <w:rsid w:val="005517BE"/>
    <w:rsid w:val="005520FF"/>
    <w:rsid w:val="00552476"/>
    <w:rsid w:val="0055286C"/>
    <w:rsid w:val="00552AA8"/>
    <w:rsid w:val="00552BAB"/>
    <w:rsid w:val="00553063"/>
    <w:rsid w:val="005537A2"/>
    <w:rsid w:val="00553EE3"/>
    <w:rsid w:val="005547A1"/>
    <w:rsid w:val="00554852"/>
    <w:rsid w:val="00554E4E"/>
    <w:rsid w:val="0055564A"/>
    <w:rsid w:val="00555684"/>
    <w:rsid w:val="00555C77"/>
    <w:rsid w:val="0055640C"/>
    <w:rsid w:val="00556514"/>
    <w:rsid w:val="00556742"/>
    <w:rsid w:val="005568AF"/>
    <w:rsid w:val="005568BE"/>
    <w:rsid w:val="00556928"/>
    <w:rsid w:val="00556D6A"/>
    <w:rsid w:val="00557013"/>
    <w:rsid w:val="00557973"/>
    <w:rsid w:val="00557CF0"/>
    <w:rsid w:val="00560230"/>
    <w:rsid w:val="005602E6"/>
    <w:rsid w:val="005605E2"/>
    <w:rsid w:val="00560976"/>
    <w:rsid w:val="00560B67"/>
    <w:rsid w:val="00560BD4"/>
    <w:rsid w:val="00560D67"/>
    <w:rsid w:val="00560FE2"/>
    <w:rsid w:val="0056125A"/>
    <w:rsid w:val="00561403"/>
    <w:rsid w:val="005616B0"/>
    <w:rsid w:val="005616E1"/>
    <w:rsid w:val="00561BC5"/>
    <w:rsid w:val="00561D1F"/>
    <w:rsid w:val="00562D07"/>
    <w:rsid w:val="005630BE"/>
    <w:rsid w:val="005631E3"/>
    <w:rsid w:val="005640FB"/>
    <w:rsid w:val="0056423B"/>
    <w:rsid w:val="005646C0"/>
    <w:rsid w:val="00564720"/>
    <w:rsid w:val="00564B13"/>
    <w:rsid w:val="00564F4B"/>
    <w:rsid w:val="00565416"/>
    <w:rsid w:val="00565A39"/>
    <w:rsid w:val="005662C7"/>
    <w:rsid w:val="0056647F"/>
    <w:rsid w:val="00566BF8"/>
    <w:rsid w:val="00566F29"/>
    <w:rsid w:val="00567286"/>
    <w:rsid w:val="0056748B"/>
    <w:rsid w:val="0056767A"/>
    <w:rsid w:val="0056796D"/>
    <w:rsid w:val="005679BB"/>
    <w:rsid w:val="00567ED4"/>
    <w:rsid w:val="00570A05"/>
    <w:rsid w:val="00570CD5"/>
    <w:rsid w:val="005713AB"/>
    <w:rsid w:val="0057153D"/>
    <w:rsid w:val="00571796"/>
    <w:rsid w:val="005718BB"/>
    <w:rsid w:val="00571B52"/>
    <w:rsid w:val="00571CFB"/>
    <w:rsid w:val="00571F72"/>
    <w:rsid w:val="0057216B"/>
    <w:rsid w:val="00572258"/>
    <w:rsid w:val="00572429"/>
    <w:rsid w:val="00572655"/>
    <w:rsid w:val="00572B33"/>
    <w:rsid w:val="0057323D"/>
    <w:rsid w:val="005732C8"/>
    <w:rsid w:val="005732E0"/>
    <w:rsid w:val="00573E3E"/>
    <w:rsid w:val="00574016"/>
    <w:rsid w:val="005740D2"/>
    <w:rsid w:val="0057438B"/>
    <w:rsid w:val="005744BE"/>
    <w:rsid w:val="0057459D"/>
    <w:rsid w:val="005748F4"/>
    <w:rsid w:val="00574C76"/>
    <w:rsid w:val="00574CD7"/>
    <w:rsid w:val="00575270"/>
    <w:rsid w:val="0057571F"/>
    <w:rsid w:val="00575C19"/>
    <w:rsid w:val="00575D16"/>
    <w:rsid w:val="00575D6C"/>
    <w:rsid w:val="00575D8E"/>
    <w:rsid w:val="0057622C"/>
    <w:rsid w:val="0057649E"/>
    <w:rsid w:val="00576794"/>
    <w:rsid w:val="00576EF0"/>
    <w:rsid w:val="00576FBD"/>
    <w:rsid w:val="00577198"/>
    <w:rsid w:val="0058076C"/>
    <w:rsid w:val="005808F9"/>
    <w:rsid w:val="00580B19"/>
    <w:rsid w:val="00580CCF"/>
    <w:rsid w:val="00580E0C"/>
    <w:rsid w:val="00581351"/>
    <w:rsid w:val="005813A0"/>
    <w:rsid w:val="005813BE"/>
    <w:rsid w:val="005814F3"/>
    <w:rsid w:val="00581704"/>
    <w:rsid w:val="00581EBC"/>
    <w:rsid w:val="005822AE"/>
    <w:rsid w:val="005822EF"/>
    <w:rsid w:val="0058232C"/>
    <w:rsid w:val="0058266A"/>
    <w:rsid w:val="005827E0"/>
    <w:rsid w:val="00582CEA"/>
    <w:rsid w:val="00582DB7"/>
    <w:rsid w:val="00582DEB"/>
    <w:rsid w:val="00583243"/>
    <w:rsid w:val="00583566"/>
    <w:rsid w:val="00583574"/>
    <w:rsid w:val="005836F2"/>
    <w:rsid w:val="005838FC"/>
    <w:rsid w:val="0058394E"/>
    <w:rsid w:val="00583F53"/>
    <w:rsid w:val="00583FAD"/>
    <w:rsid w:val="00583FBE"/>
    <w:rsid w:val="00584010"/>
    <w:rsid w:val="00584742"/>
    <w:rsid w:val="00584B2B"/>
    <w:rsid w:val="00585635"/>
    <w:rsid w:val="00585897"/>
    <w:rsid w:val="00585C8B"/>
    <w:rsid w:val="00585C91"/>
    <w:rsid w:val="00585DFD"/>
    <w:rsid w:val="00586681"/>
    <w:rsid w:val="00586733"/>
    <w:rsid w:val="005869CD"/>
    <w:rsid w:val="005869F6"/>
    <w:rsid w:val="00586C2F"/>
    <w:rsid w:val="00586EA7"/>
    <w:rsid w:val="00586F6D"/>
    <w:rsid w:val="005871E8"/>
    <w:rsid w:val="00587273"/>
    <w:rsid w:val="005873AD"/>
    <w:rsid w:val="00587787"/>
    <w:rsid w:val="00587E13"/>
    <w:rsid w:val="00587E74"/>
    <w:rsid w:val="00587F0B"/>
    <w:rsid w:val="00590382"/>
    <w:rsid w:val="00590CAA"/>
    <w:rsid w:val="00591516"/>
    <w:rsid w:val="005915BA"/>
    <w:rsid w:val="005917D7"/>
    <w:rsid w:val="00591BB1"/>
    <w:rsid w:val="00592579"/>
    <w:rsid w:val="00592AC4"/>
    <w:rsid w:val="00593217"/>
    <w:rsid w:val="00593AC6"/>
    <w:rsid w:val="00593B02"/>
    <w:rsid w:val="0059403F"/>
    <w:rsid w:val="005940DA"/>
    <w:rsid w:val="005940F7"/>
    <w:rsid w:val="005943B1"/>
    <w:rsid w:val="0059454B"/>
    <w:rsid w:val="0059506C"/>
    <w:rsid w:val="0059513D"/>
    <w:rsid w:val="005954B9"/>
    <w:rsid w:val="005955FA"/>
    <w:rsid w:val="00595A68"/>
    <w:rsid w:val="00595A9A"/>
    <w:rsid w:val="00595C6B"/>
    <w:rsid w:val="00595EE2"/>
    <w:rsid w:val="005960B6"/>
    <w:rsid w:val="005962E8"/>
    <w:rsid w:val="00596619"/>
    <w:rsid w:val="005966C7"/>
    <w:rsid w:val="005967F1"/>
    <w:rsid w:val="00596A6F"/>
    <w:rsid w:val="00596E13"/>
    <w:rsid w:val="00597149"/>
    <w:rsid w:val="0059718A"/>
    <w:rsid w:val="005973E4"/>
    <w:rsid w:val="00597405"/>
    <w:rsid w:val="00597742"/>
    <w:rsid w:val="00597769"/>
    <w:rsid w:val="00597F51"/>
    <w:rsid w:val="005A00BE"/>
    <w:rsid w:val="005A01E6"/>
    <w:rsid w:val="005A056E"/>
    <w:rsid w:val="005A08E2"/>
    <w:rsid w:val="005A0B06"/>
    <w:rsid w:val="005A0B79"/>
    <w:rsid w:val="005A100D"/>
    <w:rsid w:val="005A1671"/>
    <w:rsid w:val="005A1F29"/>
    <w:rsid w:val="005A25C3"/>
    <w:rsid w:val="005A2BA0"/>
    <w:rsid w:val="005A2E49"/>
    <w:rsid w:val="005A3487"/>
    <w:rsid w:val="005A3684"/>
    <w:rsid w:val="005A3A98"/>
    <w:rsid w:val="005A3D83"/>
    <w:rsid w:val="005A403E"/>
    <w:rsid w:val="005A40E5"/>
    <w:rsid w:val="005A4934"/>
    <w:rsid w:val="005A4956"/>
    <w:rsid w:val="005A4B7C"/>
    <w:rsid w:val="005A4D75"/>
    <w:rsid w:val="005A4F9E"/>
    <w:rsid w:val="005A54A1"/>
    <w:rsid w:val="005A55E5"/>
    <w:rsid w:val="005A56D8"/>
    <w:rsid w:val="005A59E0"/>
    <w:rsid w:val="005A5A93"/>
    <w:rsid w:val="005A6358"/>
    <w:rsid w:val="005A643D"/>
    <w:rsid w:val="005A64E0"/>
    <w:rsid w:val="005A68BB"/>
    <w:rsid w:val="005A69CC"/>
    <w:rsid w:val="005A69F5"/>
    <w:rsid w:val="005A6F6E"/>
    <w:rsid w:val="005A75BC"/>
    <w:rsid w:val="005A767B"/>
    <w:rsid w:val="005A78E2"/>
    <w:rsid w:val="005A7DED"/>
    <w:rsid w:val="005A7FBC"/>
    <w:rsid w:val="005B0543"/>
    <w:rsid w:val="005B0571"/>
    <w:rsid w:val="005B0730"/>
    <w:rsid w:val="005B07A0"/>
    <w:rsid w:val="005B08FD"/>
    <w:rsid w:val="005B0FBB"/>
    <w:rsid w:val="005B1102"/>
    <w:rsid w:val="005B148F"/>
    <w:rsid w:val="005B1760"/>
    <w:rsid w:val="005B1796"/>
    <w:rsid w:val="005B191F"/>
    <w:rsid w:val="005B1D06"/>
    <w:rsid w:val="005B202F"/>
    <w:rsid w:val="005B24CE"/>
    <w:rsid w:val="005B289F"/>
    <w:rsid w:val="005B32F8"/>
    <w:rsid w:val="005B3584"/>
    <w:rsid w:val="005B3668"/>
    <w:rsid w:val="005B445D"/>
    <w:rsid w:val="005B4810"/>
    <w:rsid w:val="005B503B"/>
    <w:rsid w:val="005B5802"/>
    <w:rsid w:val="005B59B7"/>
    <w:rsid w:val="005B5B9E"/>
    <w:rsid w:val="005B5CF0"/>
    <w:rsid w:val="005B5FC8"/>
    <w:rsid w:val="005B6212"/>
    <w:rsid w:val="005B72FB"/>
    <w:rsid w:val="005B7330"/>
    <w:rsid w:val="005B76A9"/>
    <w:rsid w:val="005B798F"/>
    <w:rsid w:val="005B7A30"/>
    <w:rsid w:val="005C0152"/>
    <w:rsid w:val="005C0B69"/>
    <w:rsid w:val="005C0BB0"/>
    <w:rsid w:val="005C0CCE"/>
    <w:rsid w:val="005C1296"/>
    <w:rsid w:val="005C1569"/>
    <w:rsid w:val="005C1796"/>
    <w:rsid w:val="005C19A1"/>
    <w:rsid w:val="005C1B18"/>
    <w:rsid w:val="005C200C"/>
    <w:rsid w:val="005C22C7"/>
    <w:rsid w:val="005C2407"/>
    <w:rsid w:val="005C27A0"/>
    <w:rsid w:val="005C28C9"/>
    <w:rsid w:val="005C33CF"/>
    <w:rsid w:val="005C37E0"/>
    <w:rsid w:val="005C38D2"/>
    <w:rsid w:val="005C38E7"/>
    <w:rsid w:val="005C3ABD"/>
    <w:rsid w:val="005C3EB7"/>
    <w:rsid w:val="005C4260"/>
    <w:rsid w:val="005C4545"/>
    <w:rsid w:val="005C4D8D"/>
    <w:rsid w:val="005C53FD"/>
    <w:rsid w:val="005C5EB1"/>
    <w:rsid w:val="005C5F4A"/>
    <w:rsid w:val="005C5F78"/>
    <w:rsid w:val="005C60EB"/>
    <w:rsid w:val="005C692B"/>
    <w:rsid w:val="005C6946"/>
    <w:rsid w:val="005C69A1"/>
    <w:rsid w:val="005C6A4D"/>
    <w:rsid w:val="005C6BAA"/>
    <w:rsid w:val="005C6D0D"/>
    <w:rsid w:val="005C6F28"/>
    <w:rsid w:val="005C72BA"/>
    <w:rsid w:val="005C73D2"/>
    <w:rsid w:val="005D0022"/>
    <w:rsid w:val="005D010D"/>
    <w:rsid w:val="005D0169"/>
    <w:rsid w:val="005D02DB"/>
    <w:rsid w:val="005D030B"/>
    <w:rsid w:val="005D03CE"/>
    <w:rsid w:val="005D0622"/>
    <w:rsid w:val="005D071C"/>
    <w:rsid w:val="005D090A"/>
    <w:rsid w:val="005D09F3"/>
    <w:rsid w:val="005D0CCD"/>
    <w:rsid w:val="005D0F3F"/>
    <w:rsid w:val="005D0FDC"/>
    <w:rsid w:val="005D145C"/>
    <w:rsid w:val="005D1C98"/>
    <w:rsid w:val="005D1D4A"/>
    <w:rsid w:val="005D22E0"/>
    <w:rsid w:val="005D2968"/>
    <w:rsid w:val="005D29D6"/>
    <w:rsid w:val="005D2A61"/>
    <w:rsid w:val="005D2CD5"/>
    <w:rsid w:val="005D2F53"/>
    <w:rsid w:val="005D3025"/>
    <w:rsid w:val="005D306D"/>
    <w:rsid w:val="005D3167"/>
    <w:rsid w:val="005D328B"/>
    <w:rsid w:val="005D35F4"/>
    <w:rsid w:val="005D3F1E"/>
    <w:rsid w:val="005D41C3"/>
    <w:rsid w:val="005D4344"/>
    <w:rsid w:val="005D4566"/>
    <w:rsid w:val="005D4620"/>
    <w:rsid w:val="005D4D74"/>
    <w:rsid w:val="005D4E93"/>
    <w:rsid w:val="005D4ED4"/>
    <w:rsid w:val="005D51DB"/>
    <w:rsid w:val="005D5748"/>
    <w:rsid w:val="005D620C"/>
    <w:rsid w:val="005D64CA"/>
    <w:rsid w:val="005D6DDE"/>
    <w:rsid w:val="005D73E6"/>
    <w:rsid w:val="005D7A0E"/>
    <w:rsid w:val="005D7AB5"/>
    <w:rsid w:val="005D7E55"/>
    <w:rsid w:val="005E01EF"/>
    <w:rsid w:val="005E02DF"/>
    <w:rsid w:val="005E02E4"/>
    <w:rsid w:val="005E0628"/>
    <w:rsid w:val="005E07EB"/>
    <w:rsid w:val="005E0B6F"/>
    <w:rsid w:val="005E0BE7"/>
    <w:rsid w:val="005E0D7A"/>
    <w:rsid w:val="005E0F15"/>
    <w:rsid w:val="005E1005"/>
    <w:rsid w:val="005E1743"/>
    <w:rsid w:val="005E1F2A"/>
    <w:rsid w:val="005E2224"/>
    <w:rsid w:val="005E22E4"/>
    <w:rsid w:val="005E2C3B"/>
    <w:rsid w:val="005E3AD1"/>
    <w:rsid w:val="005E3B01"/>
    <w:rsid w:val="005E3B38"/>
    <w:rsid w:val="005E4219"/>
    <w:rsid w:val="005E4362"/>
    <w:rsid w:val="005E5DA5"/>
    <w:rsid w:val="005E6142"/>
    <w:rsid w:val="005E662D"/>
    <w:rsid w:val="005E69B5"/>
    <w:rsid w:val="005E6C87"/>
    <w:rsid w:val="005E6CE6"/>
    <w:rsid w:val="005E7558"/>
    <w:rsid w:val="005E77E0"/>
    <w:rsid w:val="005E7802"/>
    <w:rsid w:val="005E7F0A"/>
    <w:rsid w:val="005E7F5C"/>
    <w:rsid w:val="005E7FE4"/>
    <w:rsid w:val="005F004E"/>
    <w:rsid w:val="005F0234"/>
    <w:rsid w:val="005F0734"/>
    <w:rsid w:val="005F0BA3"/>
    <w:rsid w:val="005F0D3D"/>
    <w:rsid w:val="005F114F"/>
    <w:rsid w:val="005F124B"/>
    <w:rsid w:val="005F1579"/>
    <w:rsid w:val="005F2225"/>
    <w:rsid w:val="005F29D3"/>
    <w:rsid w:val="005F2A9B"/>
    <w:rsid w:val="005F2B95"/>
    <w:rsid w:val="005F2C26"/>
    <w:rsid w:val="005F2C71"/>
    <w:rsid w:val="005F30B5"/>
    <w:rsid w:val="005F345B"/>
    <w:rsid w:val="005F34AB"/>
    <w:rsid w:val="005F3F08"/>
    <w:rsid w:val="005F408D"/>
    <w:rsid w:val="005F420C"/>
    <w:rsid w:val="005F439F"/>
    <w:rsid w:val="005F46F7"/>
    <w:rsid w:val="005F486E"/>
    <w:rsid w:val="005F4A61"/>
    <w:rsid w:val="005F4B38"/>
    <w:rsid w:val="005F4C64"/>
    <w:rsid w:val="005F4CAE"/>
    <w:rsid w:val="005F4D2B"/>
    <w:rsid w:val="005F4D60"/>
    <w:rsid w:val="005F51CA"/>
    <w:rsid w:val="005F53DA"/>
    <w:rsid w:val="005F547C"/>
    <w:rsid w:val="005F5491"/>
    <w:rsid w:val="005F5658"/>
    <w:rsid w:val="005F5AA4"/>
    <w:rsid w:val="005F5BE3"/>
    <w:rsid w:val="005F5D3C"/>
    <w:rsid w:val="005F6119"/>
    <w:rsid w:val="005F61C7"/>
    <w:rsid w:val="005F64EB"/>
    <w:rsid w:val="005F6591"/>
    <w:rsid w:val="005F69F3"/>
    <w:rsid w:val="005F6A2A"/>
    <w:rsid w:val="005F6FF5"/>
    <w:rsid w:val="005F7919"/>
    <w:rsid w:val="005F7B04"/>
    <w:rsid w:val="006002A2"/>
    <w:rsid w:val="006002FE"/>
    <w:rsid w:val="00600456"/>
    <w:rsid w:val="00600711"/>
    <w:rsid w:val="0060138A"/>
    <w:rsid w:val="00601936"/>
    <w:rsid w:val="00601E69"/>
    <w:rsid w:val="00601E8D"/>
    <w:rsid w:val="006027CA"/>
    <w:rsid w:val="00602E1C"/>
    <w:rsid w:val="00603477"/>
    <w:rsid w:val="006039E9"/>
    <w:rsid w:val="00603ED3"/>
    <w:rsid w:val="0060406C"/>
    <w:rsid w:val="00605373"/>
    <w:rsid w:val="0060596E"/>
    <w:rsid w:val="00605D8C"/>
    <w:rsid w:val="00605E71"/>
    <w:rsid w:val="006067AA"/>
    <w:rsid w:val="006067AD"/>
    <w:rsid w:val="00606935"/>
    <w:rsid w:val="00606A61"/>
    <w:rsid w:val="00606C2C"/>
    <w:rsid w:val="00606EA5"/>
    <w:rsid w:val="00606FB1"/>
    <w:rsid w:val="0060708B"/>
    <w:rsid w:val="0060713B"/>
    <w:rsid w:val="00607149"/>
    <w:rsid w:val="0060727F"/>
    <w:rsid w:val="0060742B"/>
    <w:rsid w:val="006074BA"/>
    <w:rsid w:val="006075E1"/>
    <w:rsid w:val="00607871"/>
    <w:rsid w:val="0060788A"/>
    <w:rsid w:val="00607A28"/>
    <w:rsid w:val="00607B14"/>
    <w:rsid w:val="00607C67"/>
    <w:rsid w:val="00607DAF"/>
    <w:rsid w:val="00607F84"/>
    <w:rsid w:val="0061040E"/>
    <w:rsid w:val="006106C3"/>
    <w:rsid w:val="00610B1B"/>
    <w:rsid w:val="00610E42"/>
    <w:rsid w:val="0061104A"/>
    <w:rsid w:val="0061191E"/>
    <w:rsid w:val="0061195F"/>
    <w:rsid w:val="00611E2C"/>
    <w:rsid w:val="00611EF2"/>
    <w:rsid w:val="00611FF4"/>
    <w:rsid w:val="006126C1"/>
    <w:rsid w:val="006126E5"/>
    <w:rsid w:val="00612998"/>
    <w:rsid w:val="0061334D"/>
    <w:rsid w:val="00613AEA"/>
    <w:rsid w:val="00613D9F"/>
    <w:rsid w:val="006140BE"/>
    <w:rsid w:val="00614181"/>
    <w:rsid w:val="00614729"/>
    <w:rsid w:val="00614876"/>
    <w:rsid w:val="006151AA"/>
    <w:rsid w:val="00615727"/>
    <w:rsid w:val="0061588D"/>
    <w:rsid w:val="00615F8B"/>
    <w:rsid w:val="00616873"/>
    <w:rsid w:val="006173E7"/>
    <w:rsid w:val="00617855"/>
    <w:rsid w:val="00617FF9"/>
    <w:rsid w:val="00620303"/>
    <w:rsid w:val="00620320"/>
    <w:rsid w:val="00620709"/>
    <w:rsid w:val="006208BA"/>
    <w:rsid w:val="00620C5C"/>
    <w:rsid w:val="00620F70"/>
    <w:rsid w:val="006210D7"/>
    <w:rsid w:val="006213DC"/>
    <w:rsid w:val="00621A48"/>
    <w:rsid w:val="00621A8C"/>
    <w:rsid w:val="00621BCE"/>
    <w:rsid w:val="00621DFD"/>
    <w:rsid w:val="00621F89"/>
    <w:rsid w:val="00622569"/>
    <w:rsid w:val="006225D4"/>
    <w:rsid w:val="00622754"/>
    <w:rsid w:val="00622858"/>
    <w:rsid w:val="0062298B"/>
    <w:rsid w:val="00622B7A"/>
    <w:rsid w:val="00622D80"/>
    <w:rsid w:val="0062332F"/>
    <w:rsid w:val="006234AB"/>
    <w:rsid w:val="006238DC"/>
    <w:rsid w:val="00623961"/>
    <w:rsid w:val="006239BE"/>
    <w:rsid w:val="00623E18"/>
    <w:rsid w:val="006244BC"/>
    <w:rsid w:val="00624A09"/>
    <w:rsid w:val="00624C1C"/>
    <w:rsid w:val="00624C9F"/>
    <w:rsid w:val="00625229"/>
    <w:rsid w:val="006252C6"/>
    <w:rsid w:val="006253C5"/>
    <w:rsid w:val="006253D6"/>
    <w:rsid w:val="006254AD"/>
    <w:rsid w:val="00625CAD"/>
    <w:rsid w:val="006260DE"/>
    <w:rsid w:val="0062621D"/>
    <w:rsid w:val="00626991"/>
    <w:rsid w:val="00626AC6"/>
    <w:rsid w:val="00626BAF"/>
    <w:rsid w:val="00626C32"/>
    <w:rsid w:val="00626CEF"/>
    <w:rsid w:val="00626CF3"/>
    <w:rsid w:val="00626D9F"/>
    <w:rsid w:val="00626EA3"/>
    <w:rsid w:val="00626F7A"/>
    <w:rsid w:val="006271AB"/>
    <w:rsid w:val="0062748E"/>
    <w:rsid w:val="006275FD"/>
    <w:rsid w:val="00627630"/>
    <w:rsid w:val="00627A4A"/>
    <w:rsid w:val="00627D31"/>
    <w:rsid w:val="00627D8F"/>
    <w:rsid w:val="00627DCD"/>
    <w:rsid w:val="00630226"/>
    <w:rsid w:val="00630C91"/>
    <w:rsid w:val="00630F0D"/>
    <w:rsid w:val="00631203"/>
    <w:rsid w:val="0063128B"/>
    <w:rsid w:val="00631982"/>
    <w:rsid w:val="006323A9"/>
    <w:rsid w:val="00632A2A"/>
    <w:rsid w:val="00632E7E"/>
    <w:rsid w:val="006334B6"/>
    <w:rsid w:val="00633882"/>
    <w:rsid w:val="00633A34"/>
    <w:rsid w:val="00633C25"/>
    <w:rsid w:val="006342B4"/>
    <w:rsid w:val="00634510"/>
    <w:rsid w:val="00634CE5"/>
    <w:rsid w:val="00634F60"/>
    <w:rsid w:val="00635028"/>
    <w:rsid w:val="00635500"/>
    <w:rsid w:val="00635778"/>
    <w:rsid w:val="00635C4B"/>
    <w:rsid w:val="00636052"/>
    <w:rsid w:val="006360E6"/>
    <w:rsid w:val="00636B44"/>
    <w:rsid w:val="00636D14"/>
    <w:rsid w:val="00636E40"/>
    <w:rsid w:val="00636FF2"/>
    <w:rsid w:val="00637234"/>
    <w:rsid w:val="00637238"/>
    <w:rsid w:val="00637461"/>
    <w:rsid w:val="00637616"/>
    <w:rsid w:val="00637820"/>
    <w:rsid w:val="00637986"/>
    <w:rsid w:val="00637CA6"/>
    <w:rsid w:val="00637E1B"/>
    <w:rsid w:val="00637E3E"/>
    <w:rsid w:val="00637E58"/>
    <w:rsid w:val="00637F3C"/>
    <w:rsid w:val="00640689"/>
    <w:rsid w:val="00640827"/>
    <w:rsid w:val="00640C82"/>
    <w:rsid w:val="00640F16"/>
    <w:rsid w:val="006411CA"/>
    <w:rsid w:val="0064150D"/>
    <w:rsid w:val="0064154B"/>
    <w:rsid w:val="00641825"/>
    <w:rsid w:val="006418F6"/>
    <w:rsid w:val="00641DAF"/>
    <w:rsid w:val="00641E31"/>
    <w:rsid w:val="00642042"/>
    <w:rsid w:val="006426B5"/>
    <w:rsid w:val="00643070"/>
    <w:rsid w:val="00643246"/>
    <w:rsid w:val="00643491"/>
    <w:rsid w:val="00643876"/>
    <w:rsid w:val="00643F76"/>
    <w:rsid w:val="00644458"/>
    <w:rsid w:val="00644C74"/>
    <w:rsid w:val="00644DB2"/>
    <w:rsid w:val="00644FF2"/>
    <w:rsid w:val="0064520D"/>
    <w:rsid w:val="00645517"/>
    <w:rsid w:val="00645546"/>
    <w:rsid w:val="00645580"/>
    <w:rsid w:val="006455B5"/>
    <w:rsid w:val="00645C4C"/>
    <w:rsid w:val="00646913"/>
    <w:rsid w:val="00646A77"/>
    <w:rsid w:val="006470F6"/>
    <w:rsid w:val="006478CD"/>
    <w:rsid w:val="00647A01"/>
    <w:rsid w:val="00647A70"/>
    <w:rsid w:val="00647B76"/>
    <w:rsid w:val="006501B9"/>
    <w:rsid w:val="00650E48"/>
    <w:rsid w:val="00651112"/>
    <w:rsid w:val="006519AE"/>
    <w:rsid w:val="00651B4B"/>
    <w:rsid w:val="00651F13"/>
    <w:rsid w:val="0065207B"/>
    <w:rsid w:val="0065281E"/>
    <w:rsid w:val="00652A32"/>
    <w:rsid w:val="00652E11"/>
    <w:rsid w:val="00652EFA"/>
    <w:rsid w:val="006533CD"/>
    <w:rsid w:val="00653412"/>
    <w:rsid w:val="0065365C"/>
    <w:rsid w:val="00653CDB"/>
    <w:rsid w:val="00653E73"/>
    <w:rsid w:val="00653E96"/>
    <w:rsid w:val="00654143"/>
    <w:rsid w:val="00654666"/>
    <w:rsid w:val="00654868"/>
    <w:rsid w:val="00654C27"/>
    <w:rsid w:val="00654C64"/>
    <w:rsid w:val="00654C7A"/>
    <w:rsid w:val="00655874"/>
    <w:rsid w:val="006559DB"/>
    <w:rsid w:val="00655BBF"/>
    <w:rsid w:val="00655CF6"/>
    <w:rsid w:val="00655E42"/>
    <w:rsid w:val="00655FE2"/>
    <w:rsid w:val="00655FEF"/>
    <w:rsid w:val="006564F2"/>
    <w:rsid w:val="00656B5F"/>
    <w:rsid w:val="00656D2D"/>
    <w:rsid w:val="006571B3"/>
    <w:rsid w:val="0065751D"/>
    <w:rsid w:val="006576C5"/>
    <w:rsid w:val="006577EB"/>
    <w:rsid w:val="00660031"/>
    <w:rsid w:val="00660469"/>
    <w:rsid w:val="006607E9"/>
    <w:rsid w:val="006609CD"/>
    <w:rsid w:val="00660A2B"/>
    <w:rsid w:val="00660B34"/>
    <w:rsid w:val="00660BA8"/>
    <w:rsid w:val="00661044"/>
    <w:rsid w:val="0066104A"/>
    <w:rsid w:val="0066206C"/>
    <w:rsid w:val="0066220A"/>
    <w:rsid w:val="00662653"/>
    <w:rsid w:val="00662808"/>
    <w:rsid w:val="0066290E"/>
    <w:rsid w:val="00662B29"/>
    <w:rsid w:val="00662BEE"/>
    <w:rsid w:val="00662DAD"/>
    <w:rsid w:val="00663211"/>
    <w:rsid w:val="0066337C"/>
    <w:rsid w:val="006633B9"/>
    <w:rsid w:val="00663A1A"/>
    <w:rsid w:val="00663F3B"/>
    <w:rsid w:val="00664335"/>
    <w:rsid w:val="00664831"/>
    <w:rsid w:val="00664AB5"/>
    <w:rsid w:val="00664B1C"/>
    <w:rsid w:val="00664E7B"/>
    <w:rsid w:val="0066524C"/>
    <w:rsid w:val="00665954"/>
    <w:rsid w:val="00665DD5"/>
    <w:rsid w:val="00665F3C"/>
    <w:rsid w:val="0066602D"/>
    <w:rsid w:val="006661C8"/>
    <w:rsid w:val="00666B64"/>
    <w:rsid w:val="00666D89"/>
    <w:rsid w:val="00666E6A"/>
    <w:rsid w:val="00667115"/>
    <w:rsid w:val="006672E3"/>
    <w:rsid w:val="006675AD"/>
    <w:rsid w:val="00667A7E"/>
    <w:rsid w:val="00667AFA"/>
    <w:rsid w:val="00667B4A"/>
    <w:rsid w:val="006703E9"/>
    <w:rsid w:val="00670550"/>
    <w:rsid w:val="006706C3"/>
    <w:rsid w:val="00670BEA"/>
    <w:rsid w:val="00670E02"/>
    <w:rsid w:val="00670F97"/>
    <w:rsid w:val="0067108F"/>
    <w:rsid w:val="00671112"/>
    <w:rsid w:val="00671126"/>
    <w:rsid w:val="006712B0"/>
    <w:rsid w:val="00671D55"/>
    <w:rsid w:val="00671DFF"/>
    <w:rsid w:val="006721DF"/>
    <w:rsid w:val="006723D2"/>
    <w:rsid w:val="006724D6"/>
    <w:rsid w:val="0067294E"/>
    <w:rsid w:val="00673795"/>
    <w:rsid w:val="00673951"/>
    <w:rsid w:val="00673BD6"/>
    <w:rsid w:val="006742C9"/>
    <w:rsid w:val="0067446C"/>
    <w:rsid w:val="00674556"/>
    <w:rsid w:val="0067466A"/>
    <w:rsid w:val="006747E9"/>
    <w:rsid w:val="00674881"/>
    <w:rsid w:val="006748F4"/>
    <w:rsid w:val="006749DE"/>
    <w:rsid w:val="00674FD9"/>
    <w:rsid w:val="006751B8"/>
    <w:rsid w:val="0067575D"/>
    <w:rsid w:val="00675DAA"/>
    <w:rsid w:val="00675DCA"/>
    <w:rsid w:val="00675E69"/>
    <w:rsid w:val="0067606C"/>
    <w:rsid w:val="00676837"/>
    <w:rsid w:val="00676902"/>
    <w:rsid w:val="00676B60"/>
    <w:rsid w:val="00676BAD"/>
    <w:rsid w:val="00676CD4"/>
    <w:rsid w:val="0067733A"/>
    <w:rsid w:val="006773D3"/>
    <w:rsid w:val="00677410"/>
    <w:rsid w:val="00677A1F"/>
    <w:rsid w:val="00677B1B"/>
    <w:rsid w:val="00677FFD"/>
    <w:rsid w:val="0068056E"/>
    <w:rsid w:val="006806A8"/>
    <w:rsid w:val="006806BC"/>
    <w:rsid w:val="00680CB3"/>
    <w:rsid w:val="00681346"/>
    <w:rsid w:val="006814F9"/>
    <w:rsid w:val="00681A15"/>
    <w:rsid w:val="00681A36"/>
    <w:rsid w:val="00681AF4"/>
    <w:rsid w:val="00681B54"/>
    <w:rsid w:val="00681C99"/>
    <w:rsid w:val="00682101"/>
    <w:rsid w:val="00682C4B"/>
    <w:rsid w:val="00682C90"/>
    <w:rsid w:val="00682CB4"/>
    <w:rsid w:val="00682FD2"/>
    <w:rsid w:val="006833D2"/>
    <w:rsid w:val="006838D4"/>
    <w:rsid w:val="00683B97"/>
    <w:rsid w:val="00683FE6"/>
    <w:rsid w:val="0068408C"/>
    <w:rsid w:val="00684556"/>
    <w:rsid w:val="0068471B"/>
    <w:rsid w:val="006847B2"/>
    <w:rsid w:val="00684F85"/>
    <w:rsid w:val="0068554A"/>
    <w:rsid w:val="00685806"/>
    <w:rsid w:val="00685AF5"/>
    <w:rsid w:val="00685C7A"/>
    <w:rsid w:val="0068630D"/>
    <w:rsid w:val="00686B2C"/>
    <w:rsid w:val="006870EA"/>
    <w:rsid w:val="006876A4"/>
    <w:rsid w:val="00687780"/>
    <w:rsid w:val="00687A68"/>
    <w:rsid w:val="00687EFB"/>
    <w:rsid w:val="00690185"/>
    <w:rsid w:val="0069047E"/>
    <w:rsid w:val="00690530"/>
    <w:rsid w:val="00690669"/>
    <w:rsid w:val="00690956"/>
    <w:rsid w:val="00690A6F"/>
    <w:rsid w:val="00690D6D"/>
    <w:rsid w:val="00691332"/>
    <w:rsid w:val="006914EC"/>
    <w:rsid w:val="006916E9"/>
    <w:rsid w:val="00691756"/>
    <w:rsid w:val="006920AE"/>
    <w:rsid w:val="00692225"/>
    <w:rsid w:val="006924AD"/>
    <w:rsid w:val="0069252D"/>
    <w:rsid w:val="006928AA"/>
    <w:rsid w:val="00692A86"/>
    <w:rsid w:val="00692C45"/>
    <w:rsid w:val="006932C9"/>
    <w:rsid w:val="006933F9"/>
    <w:rsid w:val="00693AE3"/>
    <w:rsid w:val="00693F42"/>
    <w:rsid w:val="00693F99"/>
    <w:rsid w:val="0069405C"/>
    <w:rsid w:val="00694419"/>
    <w:rsid w:val="00694D42"/>
    <w:rsid w:val="00694F99"/>
    <w:rsid w:val="006950FB"/>
    <w:rsid w:val="006952A8"/>
    <w:rsid w:val="0069559A"/>
    <w:rsid w:val="0069564A"/>
    <w:rsid w:val="00695B3D"/>
    <w:rsid w:val="00695BCF"/>
    <w:rsid w:val="00695E2F"/>
    <w:rsid w:val="0069670A"/>
    <w:rsid w:val="00696796"/>
    <w:rsid w:val="006977E7"/>
    <w:rsid w:val="006978B8"/>
    <w:rsid w:val="006A02D5"/>
    <w:rsid w:val="006A035D"/>
    <w:rsid w:val="006A03FA"/>
    <w:rsid w:val="006A09D8"/>
    <w:rsid w:val="006A0EFD"/>
    <w:rsid w:val="006A126E"/>
    <w:rsid w:val="006A149E"/>
    <w:rsid w:val="006A1943"/>
    <w:rsid w:val="006A2188"/>
    <w:rsid w:val="006A2251"/>
    <w:rsid w:val="006A229F"/>
    <w:rsid w:val="006A24E2"/>
    <w:rsid w:val="006A2629"/>
    <w:rsid w:val="006A2FD4"/>
    <w:rsid w:val="006A3108"/>
    <w:rsid w:val="006A354D"/>
    <w:rsid w:val="006A355B"/>
    <w:rsid w:val="006A3D49"/>
    <w:rsid w:val="006A3EEF"/>
    <w:rsid w:val="006A3F27"/>
    <w:rsid w:val="006A4785"/>
    <w:rsid w:val="006A49A4"/>
    <w:rsid w:val="006A5035"/>
    <w:rsid w:val="006A5162"/>
    <w:rsid w:val="006A52D1"/>
    <w:rsid w:val="006A5358"/>
    <w:rsid w:val="006A55DB"/>
    <w:rsid w:val="006A5808"/>
    <w:rsid w:val="006A581A"/>
    <w:rsid w:val="006A58E3"/>
    <w:rsid w:val="006A59D1"/>
    <w:rsid w:val="006A5B6C"/>
    <w:rsid w:val="006A5B72"/>
    <w:rsid w:val="006A5FA9"/>
    <w:rsid w:val="006A63F1"/>
    <w:rsid w:val="006A659D"/>
    <w:rsid w:val="006A6B09"/>
    <w:rsid w:val="006A6BF4"/>
    <w:rsid w:val="006A6C90"/>
    <w:rsid w:val="006A6EDD"/>
    <w:rsid w:val="006A71BE"/>
    <w:rsid w:val="006A7260"/>
    <w:rsid w:val="006A7374"/>
    <w:rsid w:val="006A73E2"/>
    <w:rsid w:val="006A778D"/>
    <w:rsid w:val="006A783E"/>
    <w:rsid w:val="006A7ADB"/>
    <w:rsid w:val="006A7F24"/>
    <w:rsid w:val="006A7FE9"/>
    <w:rsid w:val="006B0043"/>
    <w:rsid w:val="006B00CF"/>
    <w:rsid w:val="006B013E"/>
    <w:rsid w:val="006B046A"/>
    <w:rsid w:val="006B0619"/>
    <w:rsid w:val="006B073E"/>
    <w:rsid w:val="006B10C5"/>
    <w:rsid w:val="006B12D4"/>
    <w:rsid w:val="006B1618"/>
    <w:rsid w:val="006B185F"/>
    <w:rsid w:val="006B19DB"/>
    <w:rsid w:val="006B1F7F"/>
    <w:rsid w:val="006B23C5"/>
    <w:rsid w:val="006B244E"/>
    <w:rsid w:val="006B26F9"/>
    <w:rsid w:val="006B273F"/>
    <w:rsid w:val="006B2E8D"/>
    <w:rsid w:val="006B300E"/>
    <w:rsid w:val="006B3ADE"/>
    <w:rsid w:val="006B3CAC"/>
    <w:rsid w:val="006B3DFE"/>
    <w:rsid w:val="006B406F"/>
    <w:rsid w:val="006B4135"/>
    <w:rsid w:val="006B48FC"/>
    <w:rsid w:val="006B4A70"/>
    <w:rsid w:val="006B4ACE"/>
    <w:rsid w:val="006B4DE7"/>
    <w:rsid w:val="006B4E9F"/>
    <w:rsid w:val="006B524A"/>
    <w:rsid w:val="006B5471"/>
    <w:rsid w:val="006B54B6"/>
    <w:rsid w:val="006B54E4"/>
    <w:rsid w:val="006B56F1"/>
    <w:rsid w:val="006B571A"/>
    <w:rsid w:val="006B59B4"/>
    <w:rsid w:val="006B608D"/>
    <w:rsid w:val="006B61E5"/>
    <w:rsid w:val="006B65A2"/>
    <w:rsid w:val="006B682A"/>
    <w:rsid w:val="006B68F4"/>
    <w:rsid w:val="006B6C04"/>
    <w:rsid w:val="006B6DEC"/>
    <w:rsid w:val="006B6FB2"/>
    <w:rsid w:val="006B7186"/>
    <w:rsid w:val="006B725B"/>
    <w:rsid w:val="006B7393"/>
    <w:rsid w:val="006B7C59"/>
    <w:rsid w:val="006B7DC8"/>
    <w:rsid w:val="006C00D2"/>
    <w:rsid w:val="006C0465"/>
    <w:rsid w:val="006C0F18"/>
    <w:rsid w:val="006C1122"/>
    <w:rsid w:val="006C128E"/>
    <w:rsid w:val="006C1306"/>
    <w:rsid w:val="006C1377"/>
    <w:rsid w:val="006C1526"/>
    <w:rsid w:val="006C1B21"/>
    <w:rsid w:val="006C1D70"/>
    <w:rsid w:val="006C1E5C"/>
    <w:rsid w:val="006C1EDE"/>
    <w:rsid w:val="006C2076"/>
    <w:rsid w:val="006C20C2"/>
    <w:rsid w:val="006C29C3"/>
    <w:rsid w:val="006C2DA2"/>
    <w:rsid w:val="006C2DFC"/>
    <w:rsid w:val="006C332D"/>
    <w:rsid w:val="006C3388"/>
    <w:rsid w:val="006C360E"/>
    <w:rsid w:val="006C3719"/>
    <w:rsid w:val="006C39DE"/>
    <w:rsid w:val="006C3B57"/>
    <w:rsid w:val="006C3BAC"/>
    <w:rsid w:val="006C4095"/>
    <w:rsid w:val="006C4155"/>
    <w:rsid w:val="006C46D8"/>
    <w:rsid w:val="006C4C7C"/>
    <w:rsid w:val="006C5078"/>
    <w:rsid w:val="006C53A7"/>
    <w:rsid w:val="006C54C6"/>
    <w:rsid w:val="006C5BAB"/>
    <w:rsid w:val="006C5EC2"/>
    <w:rsid w:val="006C622A"/>
    <w:rsid w:val="006C63DD"/>
    <w:rsid w:val="006C668E"/>
    <w:rsid w:val="006C6703"/>
    <w:rsid w:val="006C6885"/>
    <w:rsid w:val="006C6940"/>
    <w:rsid w:val="006C6BC8"/>
    <w:rsid w:val="006C6CDA"/>
    <w:rsid w:val="006C6FC0"/>
    <w:rsid w:val="006C6FFB"/>
    <w:rsid w:val="006C7031"/>
    <w:rsid w:val="006C71C4"/>
    <w:rsid w:val="006C72A9"/>
    <w:rsid w:val="006C752F"/>
    <w:rsid w:val="006C76E0"/>
    <w:rsid w:val="006C77B1"/>
    <w:rsid w:val="006C795B"/>
    <w:rsid w:val="006C7AE8"/>
    <w:rsid w:val="006C7BEB"/>
    <w:rsid w:val="006C7C6E"/>
    <w:rsid w:val="006C7ECD"/>
    <w:rsid w:val="006D074D"/>
    <w:rsid w:val="006D08F5"/>
    <w:rsid w:val="006D0915"/>
    <w:rsid w:val="006D09C7"/>
    <w:rsid w:val="006D0E61"/>
    <w:rsid w:val="006D1229"/>
    <w:rsid w:val="006D1341"/>
    <w:rsid w:val="006D13C8"/>
    <w:rsid w:val="006D181C"/>
    <w:rsid w:val="006D18AD"/>
    <w:rsid w:val="006D192D"/>
    <w:rsid w:val="006D2042"/>
    <w:rsid w:val="006D21C3"/>
    <w:rsid w:val="006D251E"/>
    <w:rsid w:val="006D2626"/>
    <w:rsid w:val="006D2847"/>
    <w:rsid w:val="006D28EB"/>
    <w:rsid w:val="006D2BCD"/>
    <w:rsid w:val="006D2D61"/>
    <w:rsid w:val="006D2E74"/>
    <w:rsid w:val="006D2F04"/>
    <w:rsid w:val="006D2FC8"/>
    <w:rsid w:val="006D3433"/>
    <w:rsid w:val="006D37F3"/>
    <w:rsid w:val="006D3AE3"/>
    <w:rsid w:val="006D3C93"/>
    <w:rsid w:val="006D3D35"/>
    <w:rsid w:val="006D3D8F"/>
    <w:rsid w:val="006D42BA"/>
    <w:rsid w:val="006D45AC"/>
    <w:rsid w:val="006D4EA3"/>
    <w:rsid w:val="006D5063"/>
    <w:rsid w:val="006D54D8"/>
    <w:rsid w:val="006D58B0"/>
    <w:rsid w:val="006D5A75"/>
    <w:rsid w:val="006D5D4B"/>
    <w:rsid w:val="006D5F2B"/>
    <w:rsid w:val="006D62F8"/>
    <w:rsid w:val="006D64CD"/>
    <w:rsid w:val="006D6573"/>
    <w:rsid w:val="006D662A"/>
    <w:rsid w:val="006D6937"/>
    <w:rsid w:val="006D71FC"/>
    <w:rsid w:val="006D73FA"/>
    <w:rsid w:val="006D7456"/>
    <w:rsid w:val="006D77A7"/>
    <w:rsid w:val="006D79CD"/>
    <w:rsid w:val="006E0019"/>
    <w:rsid w:val="006E0235"/>
    <w:rsid w:val="006E04BC"/>
    <w:rsid w:val="006E0E4A"/>
    <w:rsid w:val="006E0E69"/>
    <w:rsid w:val="006E0F7D"/>
    <w:rsid w:val="006E0F9F"/>
    <w:rsid w:val="006E1263"/>
    <w:rsid w:val="006E13F7"/>
    <w:rsid w:val="006E1A06"/>
    <w:rsid w:val="006E1ABE"/>
    <w:rsid w:val="006E1B2C"/>
    <w:rsid w:val="006E1CA5"/>
    <w:rsid w:val="006E24F6"/>
    <w:rsid w:val="006E2551"/>
    <w:rsid w:val="006E2A27"/>
    <w:rsid w:val="006E32D6"/>
    <w:rsid w:val="006E3313"/>
    <w:rsid w:val="006E353B"/>
    <w:rsid w:val="006E36A2"/>
    <w:rsid w:val="006E39CE"/>
    <w:rsid w:val="006E3AE2"/>
    <w:rsid w:val="006E4A51"/>
    <w:rsid w:val="006E4C1A"/>
    <w:rsid w:val="006E4D40"/>
    <w:rsid w:val="006E4D6A"/>
    <w:rsid w:val="006E5014"/>
    <w:rsid w:val="006E50BD"/>
    <w:rsid w:val="006E518F"/>
    <w:rsid w:val="006E59A9"/>
    <w:rsid w:val="006E5C78"/>
    <w:rsid w:val="006E611E"/>
    <w:rsid w:val="006E6283"/>
    <w:rsid w:val="006E62C6"/>
    <w:rsid w:val="006E6451"/>
    <w:rsid w:val="006E6520"/>
    <w:rsid w:val="006E6B35"/>
    <w:rsid w:val="006E6FC2"/>
    <w:rsid w:val="006E70EC"/>
    <w:rsid w:val="006E7917"/>
    <w:rsid w:val="006E7EB0"/>
    <w:rsid w:val="006F0106"/>
    <w:rsid w:val="006F018C"/>
    <w:rsid w:val="006F02DE"/>
    <w:rsid w:val="006F03E5"/>
    <w:rsid w:val="006F062F"/>
    <w:rsid w:val="006F06B6"/>
    <w:rsid w:val="006F094B"/>
    <w:rsid w:val="006F09D4"/>
    <w:rsid w:val="006F09ED"/>
    <w:rsid w:val="006F0BC0"/>
    <w:rsid w:val="006F0C3D"/>
    <w:rsid w:val="006F0EDB"/>
    <w:rsid w:val="006F10AF"/>
    <w:rsid w:val="006F11AA"/>
    <w:rsid w:val="006F143D"/>
    <w:rsid w:val="006F1605"/>
    <w:rsid w:val="006F17E1"/>
    <w:rsid w:val="006F18DA"/>
    <w:rsid w:val="006F3562"/>
    <w:rsid w:val="006F36DA"/>
    <w:rsid w:val="006F3DD8"/>
    <w:rsid w:val="006F3F24"/>
    <w:rsid w:val="006F4105"/>
    <w:rsid w:val="006F4199"/>
    <w:rsid w:val="006F4810"/>
    <w:rsid w:val="006F4839"/>
    <w:rsid w:val="006F48CC"/>
    <w:rsid w:val="006F4B77"/>
    <w:rsid w:val="006F504B"/>
    <w:rsid w:val="006F50A1"/>
    <w:rsid w:val="006F557F"/>
    <w:rsid w:val="006F5A53"/>
    <w:rsid w:val="006F60D3"/>
    <w:rsid w:val="006F6D4D"/>
    <w:rsid w:val="006F7127"/>
    <w:rsid w:val="006F7331"/>
    <w:rsid w:val="006F73C1"/>
    <w:rsid w:val="006F75A8"/>
    <w:rsid w:val="006F788C"/>
    <w:rsid w:val="006F7BAD"/>
    <w:rsid w:val="006F7C44"/>
    <w:rsid w:val="006F7E21"/>
    <w:rsid w:val="006F7FBE"/>
    <w:rsid w:val="007001CE"/>
    <w:rsid w:val="00700433"/>
    <w:rsid w:val="00700849"/>
    <w:rsid w:val="00700C55"/>
    <w:rsid w:val="00700D03"/>
    <w:rsid w:val="00700DD1"/>
    <w:rsid w:val="00701065"/>
    <w:rsid w:val="007010E3"/>
    <w:rsid w:val="007012AE"/>
    <w:rsid w:val="007015C7"/>
    <w:rsid w:val="0070195A"/>
    <w:rsid w:val="007026BA"/>
    <w:rsid w:val="00702D04"/>
    <w:rsid w:val="00702FF7"/>
    <w:rsid w:val="00703263"/>
    <w:rsid w:val="00703532"/>
    <w:rsid w:val="00703584"/>
    <w:rsid w:val="00703612"/>
    <w:rsid w:val="00703682"/>
    <w:rsid w:val="00703ACC"/>
    <w:rsid w:val="0070412A"/>
    <w:rsid w:val="00704162"/>
    <w:rsid w:val="0070443D"/>
    <w:rsid w:val="0070450A"/>
    <w:rsid w:val="00704889"/>
    <w:rsid w:val="00704D22"/>
    <w:rsid w:val="00704F3D"/>
    <w:rsid w:val="00705120"/>
    <w:rsid w:val="0070526C"/>
    <w:rsid w:val="0070557E"/>
    <w:rsid w:val="00705B43"/>
    <w:rsid w:val="00705C78"/>
    <w:rsid w:val="00705E8A"/>
    <w:rsid w:val="0070601E"/>
    <w:rsid w:val="00706085"/>
    <w:rsid w:val="00706B92"/>
    <w:rsid w:val="00706E73"/>
    <w:rsid w:val="00707087"/>
    <w:rsid w:val="0070711E"/>
    <w:rsid w:val="00707424"/>
    <w:rsid w:val="007077D7"/>
    <w:rsid w:val="00707B78"/>
    <w:rsid w:val="00707BC0"/>
    <w:rsid w:val="00707D5F"/>
    <w:rsid w:val="00707DAE"/>
    <w:rsid w:val="00707F33"/>
    <w:rsid w:val="00710172"/>
    <w:rsid w:val="007104FC"/>
    <w:rsid w:val="007107F6"/>
    <w:rsid w:val="00710918"/>
    <w:rsid w:val="00710B8D"/>
    <w:rsid w:val="00711AC7"/>
    <w:rsid w:val="00711BAD"/>
    <w:rsid w:val="00711EE0"/>
    <w:rsid w:val="00712573"/>
    <w:rsid w:val="00712AFC"/>
    <w:rsid w:val="00712E59"/>
    <w:rsid w:val="00713234"/>
    <w:rsid w:val="0071330A"/>
    <w:rsid w:val="00713312"/>
    <w:rsid w:val="00713754"/>
    <w:rsid w:val="00713CFD"/>
    <w:rsid w:val="00714BF6"/>
    <w:rsid w:val="007152ED"/>
    <w:rsid w:val="00715571"/>
    <w:rsid w:val="00716090"/>
    <w:rsid w:val="007163DB"/>
    <w:rsid w:val="0071641E"/>
    <w:rsid w:val="00716473"/>
    <w:rsid w:val="0071663A"/>
    <w:rsid w:val="00716745"/>
    <w:rsid w:val="0071746F"/>
    <w:rsid w:val="0071755B"/>
    <w:rsid w:val="007175DB"/>
    <w:rsid w:val="0071767A"/>
    <w:rsid w:val="007179B4"/>
    <w:rsid w:val="00717B98"/>
    <w:rsid w:val="00717CB1"/>
    <w:rsid w:val="00720342"/>
    <w:rsid w:val="00720AD7"/>
    <w:rsid w:val="00720B79"/>
    <w:rsid w:val="00720F47"/>
    <w:rsid w:val="0072141B"/>
    <w:rsid w:val="007214A2"/>
    <w:rsid w:val="0072171B"/>
    <w:rsid w:val="0072192E"/>
    <w:rsid w:val="00721C04"/>
    <w:rsid w:val="00721C9D"/>
    <w:rsid w:val="00721CD8"/>
    <w:rsid w:val="00721E81"/>
    <w:rsid w:val="00722111"/>
    <w:rsid w:val="00722693"/>
    <w:rsid w:val="00722BE6"/>
    <w:rsid w:val="00722C11"/>
    <w:rsid w:val="00723371"/>
    <w:rsid w:val="00723629"/>
    <w:rsid w:val="007239CD"/>
    <w:rsid w:val="00723BB5"/>
    <w:rsid w:val="00723E57"/>
    <w:rsid w:val="0072419C"/>
    <w:rsid w:val="00724737"/>
    <w:rsid w:val="00724862"/>
    <w:rsid w:val="00724923"/>
    <w:rsid w:val="007250F0"/>
    <w:rsid w:val="00725191"/>
    <w:rsid w:val="007252DD"/>
    <w:rsid w:val="0072558F"/>
    <w:rsid w:val="007262B9"/>
    <w:rsid w:val="007262CE"/>
    <w:rsid w:val="00726A0A"/>
    <w:rsid w:val="00727040"/>
    <w:rsid w:val="0072713C"/>
    <w:rsid w:val="00727938"/>
    <w:rsid w:val="007279E3"/>
    <w:rsid w:val="00727F50"/>
    <w:rsid w:val="007300B0"/>
    <w:rsid w:val="007304A0"/>
    <w:rsid w:val="0073056A"/>
    <w:rsid w:val="007306A9"/>
    <w:rsid w:val="007307FF"/>
    <w:rsid w:val="0073097D"/>
    <w:rsid w:val="007316AC"/>
    <w:rsid w:val="00731987"/>
    <w:rsid w:val="00731D3F"/>
    <w:rsid w:val="007321B1"/>
    <w:rsid w:val="007321E7"/>
    <w:rsid w:val="0073231F"/>
    <w:rsid w:val="0073236E"/>
    <w:rsid w:val="0073273E"/>
    <w:rsid w:val="00732910"/>
    <w:rsid w:val="00732F07"/>
    <w:rsid w:val="0073321E"/>
    <w:rsid w:val="00733306"/>
    <w:rsid w:val="00733D12"/>
    <w:rsid w:val="00733DD7"/>
    <w:rsid w:val="00733F53"/>
    <w:rsid w:val="00734846"/>
    <w:rsid w:val="00734A66"/>
    <w:rsid w:val="00734D77"/>
    <w:rsid w:val="007351E0"/>
    <w:rsid w:val="00735810"/>
    <w:rsid w:val="00736013"/>
    <w:rsid w:val="00736393"/>
    <w:rsid w:val="00736CB9"/>
    <w:rsid w:val="0073738F"/>
    <w:rsid w:val="007374E9"/>
    <w:rsid w:val="0073754C"/>
    <w:rsid w:val="00737792"/>
    <w:rsid w:val="00737882"/>
    <w:rsid w:val="00737AF8"/>
    <w:rsid w:val="00737BAA"/>
    <w:rsid w:val="00737C19"/>
    <w:rsid w:val="00737F99"/>
    <w:rsid w:val="0074090E"/>
    <w:rsid w:val="00740D66"/>
    <w:rsid w:val="007410D0"/>
    <w:rsid w:val="00741367"/>
    <w:rsid w:val="007416F4"/>
    <w:rsid w:val="007417DD"/>
    <w:rsid w:val="007417FD"/>
    <w:rsid w:val="0074248D"/>
    <w:rsid w:val="007424F7"/>
    <w:rsid w:val="00742794"/>
    <w:rsid w:val="007427BD"/>
    <w:rsid w:val="0074280E"/>
    <w:rsid w:val="00742867"/>
    <w:rsid w:val="00742F1F"/>
    <w:rsid w:val="00742FB5"/>
    <w:rsid w:val="007430AA"/>
    <w:rsid w:val="00743AD0"/>
    <w:rsid w:val="00744C1C"/>
    <w:rsid w:val="00744C7D"/>
    <w:rsid w:val="00745489"/>
    <w:rsid w:val="007456E0"/>
    <w:rsid w:val="007459FA"/>
    <w:rsid w:val="00746137"/>
    <w:rsid w:val="00746585"/>
    <w:rsid w:val="007468CD"/>
    <w:rsid w:val="007468E0"/>
    <w:rsid w:val="00746E5D"/>
    <w:rsid w:val="00747144"/>
    <w:rsid w:val="00747429"/>
    <w:rsid w:val="007474E0"/>
    <w:rsid w:val="00747604"/>
    <w:rsid w:val="00747782"/>
    <w:rsid w:val="007478AD"/>
    <w:rsid w:val="00750013"/>
    <w:rsid w:val="00750367"/>
    <w:rsid w:val="00750C85"/>
    <w:rsid w:val="00750CFC"/>
    <w:rsid w:val="0075111E"/>
    <w:rsid w:val="007515BE"/>
    <w:rsid w:val="00751EF3"/>
    <w:rsid w:val="00751F6A"/>
    <w:rsid w:val="0075205A"/>
    <w:rsid w:val="00752481"/>
    <w:rsid w:val="007526FB"/>
    <w:rsid w:val="00752882"/>
    <w:rsid w:val="007528DD"/>
    <w:rsid w:val="00752AC9"/>
    <w:rsid w:val="00752B29"/>
    <w:rsid w:val="00752DE5"/>
    <w:rsid w:val="00752FA4"/>
    <w:rsid w:val="0075314D"/>
    <w:rsid w:val="007534D9"/>
    <w:rsid w:val="00753689"/>
    <w:rsid w:val="00753A0C"/>
    <w:rsid w:val="00753AC8"/>
    <w:rsid w:val="00753BEC"/>
    <w:rsid w:val="00753EAC"/>
    <w:rsid w:val="00754339"/>
    <w:rsid w:val="007545C1"/>
    <w:rsid w:val="00754B7B"/>
    <w:rsid w:val="00754C50"/>
    <w:rsid w:val="00754D99"/>
    <w:rsid w:val="00754FDC"/>
    <w:rsid w:val="00755130"/>
    <w:rsid w:val="00755BE1"/>
    <w:rsid w:val="00755CC1"/>
    <w:rsid w:val="0075612C"/>
    <w:rsid w:val="007562DF"/>
    <w:rsid w:val="0075630A"/>
    <w:rsid w:val="00756636"/>
    <w:rsid w:val="00756659"/>
    <w:rsid w:val="00756A9D"/>
    <w:rsid w:val="00756F52"/>
    <w:rsid w:val="0075711D"/>
    <w:rsid w:val="00757C6E"/>
    <w:rsid w:val="00757CFB"/>
    <w:rsid w:val="007601A1"/>
    <w:rsid w:val="0076025D"/>
    <w:rsid w:val="007604F0"/>
    <w:rsid w:val="0076060E"/>
    <w:rsid w:val="0076070A"/>
    <w:rsid w:val="00760D75"/>
    <w:rsid w:val="00760E08"/>
    <w:rsid w:val="00760F99"/>
    <w:rsid w:val="007616F5"/>
    <w:rsid w:val="007618C3"/>
    <w:rsid w:val="00762183"/>
    <w:rsid w:val="007625D2"/>
    <w:rsid w:val="00762651"/>
    <w:rsid w:val="00762BEF"/>
    <w:rsid w:val="00762DB5"/>
    <w:rsid w:val="00762E9E"/>
    <w:rsid w:val="007630C8"/>
    <w:rsid w:val="0076383D"/>
    <w:rsid w:val="00763907"/>
    <w:rsid w:val="00763CB1"/>
    <w:rsid w:val="00763E2A"/>
    <w:rsid w:val="007646D8"/>
    <w:rsid w:val="007647E9"/>
    <w:rsid w:val="00764E23"/>
    <w:rsid w:val="007652A1"/>
    <w:rsid w:val="007653A6"/>
    <w:rsid w:val="007655E6"/>
    <w:rsid w:val="00765A24"/>
    <w:rsid w:val="00765BB3"/>
    <w:rsid w:val="0076631D"/>
    <w:rsid w:val="00766802"/>
    <w:rsid w:val="00766B62"/>
    <w:rsid w:val="00766B93"/>
    <w:rsid w:val="00766CF3"/>
    <w:rsid w:val="00766CFD"/>
    <w:rsid w:val="00766F86"/>
    <w:rsid w:val="00766FA2"/>
    <w:rsid w:val="007670C1"/>
    <w:rsid w:val="0077047E"/>
    <w:rsid w:val="00770B00"/>
    <w:rsid w:val="00770BBF"/>
    <w:rsid w:val="00770D7C"/>
    <w:rsid w:val="00770DF7"/>
    <w:rsid w:val="00770F13"/>
    <w:rsid w:val="0077110C"/>
    <w:rsid w:val="0077133A"/>
    <w:rsid w:val="00771494"/>
    <w:rsid w:val="00771646"/>
    <w:rsid w:val="007717CF"/>
    <w:rsid w:val="00771810"/>
    <w:rsid w:val="00771EA0"/>
    <w:rsid w:val="007723A9"/>
    <w:rsid w:val="00772502"/>
    <w:rsid w:val="00772529"/>
    <w:rsid w:val="00772820"/>
    <w:rsid w:val="00772B96"/>
    <w:rsid w:val="00772CEA"/>
    <w:rsid w:val="00772EE8"/>
    <w:rsid w:val="00773284"/>
    <w:rsid w:val="007736A1"/>
    <w:rsid w:val="00773B40"/>
    <w:rsid w:val="00773CDE"/>
    <w:rsid w:val="00773D8B"/>
    <w:rsid w:val="007741D5"/>
    <w:rsid w:val="0077423A"/>
    <w:rsid w:val="00774352"/>
    <w:rsid w:val="00774475"/>
    <w:rsid w:val="0077490F"/>
    <w:rsid w:val="00774C9F"/>
    <w:rsid w:val="00775302"/>
    <w:rsid w:val="00775DF9"/>
    <w:rsid w:val="0077645A"/>
    <w:rsid w:val="00776590"/>
    <w:rsid w:val="007770DF"/>
    <w:rsid w:val="0077722B"/>
    <w:rsid w:val="00777488"/>
    <w:rsid w:val="0077776A"/>
    <w:rsid w:val="0078001D"/>
    <w:rsid w:val="00780088"/>
    <w:rsid w:val="0078075C"/>
    <w:rsid w:val="0078096E"/>
    <w:rsid w:val="00780B88"/>
    <w:rsid w:val="00781080"/>
    <w:rsid w:val="007816BD"/>
    <w:rsid w:val="007816D1"/>
    <w:rsid w:val="0078171A"/>
    <w:rsid w:val="00781F21"/>
    <w:rsid w:val="0078261A"/>
    <w:rsid w:val="00782800"/>
    <w:rsid w:val="00782AB2"/>
    <w:rsid w:val="00782BFC"/>
    <w:rsid w:val="007832ED"/>
    <w:rsid w:val="00783490"/>
    <w:rsid w:val="00783FA4"/>
    <w:rsid w:val="00784578"/>
    <w:rsid w:val="007848B9"/>
    <w:rsid w:val="00784A5E"/>
    <w:rsid w:val="00784CC4"/>
    <w:rsid w:val="00784F0C"/>
    <w:rsid w:val="0078507A"/>
    <w:rsid w:val="0078522B"/>
    <w:rsid w:val="00785FA9"/>
    <w:rsid w:val="00786081"/>
    <w:rsid w:val="0078636D"/>
    <w:rsid w:val="00786455"/>
    <w:rsid w:val="007867AB"/>
    <w:rsid w:val="00786F27"/>
    <w:rsid w:val="0078714D"/>
    <w:rsid w:val="007871BE"/>
    <w:rsid w:val="00787DD9"/>
    <w:rsid w:val="00787FBB"/>
    <w:rsid w:val="007902B6"/>
    <w:rsid w:val="00790315"/>
    <w:rsid w:val="007906D4"/>
    <w:rsid w:val="007909F6"/>
    <w:rsid w:val="00790B85"/>
    <w:rsid w:val="00790DC6"/>
    <w:rsid w:val="00790EA3"/>
    <w:rsid w:val="0079116E"/>
    <w:rsid w:val="007911AB"/>
    <w:rsid w:val="0079125E"/>
    <w:rsid w:val="00791322"/>
    <w:rsid w:val="007916BB"/>
    <w:rsid w:val="0079174A"/>
    <w:rsid w:val="00791C4F"/>
    <w:rsid w:val="00791C88"/>
    <w:rsid w:val="00791D37"/>
    <w:rsid w:val="00791D46"/>
    <w:rsid w:val="00791F22"/>
    <w:rsid w:val="007922AE"/>
    <w:rsid w:val="00792377"/>
    <w:rsid w:val="00792466"/>
    <w:rsid w:val="007924E5"/>
    <w:rsid w:val="007926CA"/>
    <w:rsid w:val="007926E2"/>
    <w:rsid w:val="00792969"/>
    <w:rsid w:val="0079299C"/>
    <w:rsid w:val="00792C85"/>
    <w:rsid w:val="00792DD7"/>
    <w:rsid w:val="007930D7"/>
    <w:rsid w:val="007931E7"/>
    <w:rsid w:val="00793238"/>
    <w:rsid w:val="00793263"/>
    <w:rsid w:val="007937F6"/>
    <w:rsid w:val="00793B2A"/>
    <w:rsid w:val="00793B7C"/>
    <w:rsid w:val="00793DD0"/>
    <w:rsid w:val="00793F91"/>
    <w:rsid w:val="00794004"/>
    <w:rsid w:val="007941C0"/>
    <w:rsid w:val="007941D5"/>
    <w:rsid w:val="007942AF"/>
    <w:rsid w:val="00794343"/>
    <w:rsid w:val="007943AC"/>
    <w:rsid w:val="007948EF"/>
    <w:rsid w:val="00794B9A"/>
    <w:rsid w:val="0079512A"/>
    <w:rsid w:val="007952F3"/>
    <w:rsid w:val="0079572E"/>
    <w:rsid w:val="00795F63"/>
    <w:rsid w:val="007962AE"/>
    <w:rsid w:val="007963B4"/>
    <w:rsid w:val="00796620"/>
    <w:rsid w:val="00796CC1"/>
    <w:rsid w:val="007976AC"/>
    <w:rsid w:val="007977CA"/>
    <w:rsid w:val="00797F39"/>
    <w:rsid w:val="007A0333"/>
    <w:rsid w:val="007A096F"/>
    <w:rsid w:val="007A0A36"/>
    <w:rsid w:val="007A0C46"/>
    <w:rsid w:val="007A0D2C"/>
    <w:rsid w:val="007A0D43"/>
    <w:rsid w:val="007A0E72"/>
    <w:rsid w:val="007A0F86"/>
    <w:rsid w:val="007A13C0"/>
    <w:rsid w:val="007A14B8"/>
    <w:rsid w:val="007A1820"/>
    <w:rsid w:val="007A18A7"/>
    <w:rsid w:val="007A1B20"/>
    <w:rsid w:val="007A2206"/>
    <w:rsid w:val="007A22F5"/>
    <w:rsid w:val="007A235C"/>
    <w:rsid w:val="007A248B"/>
    <w:rsid w:val="007A2ACC"/>
    <w:rsid w:val="007A3018"/>
    <w:rsid w:val="007A31D7"/>
    <w:rsid w:val="007A3701"/>
    <w:rsid w:val="007A3704"/>
    <w:rsid w:val="007A416F"/>
    <w:rsid w:val="007A43BE"/>
    <w:rsid w:val="007A43E3"/>
    <w:rsid w:val="007A4E98"/>
    <w:rsid w:val="007A5692"/>
    <w:rsid w:val="007A67DB"/>
    <w:rsid w:val="007A68A2"/>
    <w:rsid w:val="007A6944"/>
    <w:rsid w:val="007A69CD"/>
    <w:rsid w:val="007A6A7D"/>
    <w:rsid w:val="007A6F00"/>
    <w:rsid w:val="007A7133"/>
    <w:rsid w:val="007A7A53"/>
    <w:rsid w:val="007A7C5A"/>
    <w:rsid w:val="007A7CD9"/>
    <w:rsid w:val="007A7DCB"/>
    <w:rsid w:val="007B005B"/>
    <w:rsid w:val="007B045F"/>
    <w:rsid w:val="007B057C"/>
    <w:rsid w:val="007B0800"/>
    <w:rsid w:val="007B0973"/>
    <w:rsid w:val="007B0FBD"/>
    <w:rsid w:val="007B1702"/>
    <w:rsid w:val="007B1743"/>
    <w:rsid w:val="007B1A08"/>
    <w:rsid w:val="007B2373"/>
    <w:rsid w:val="007B23D2"/>
    <w:rsid w:val="007B2558"/>
    <w:rsid w:val="007B294A"/>
    <w:rsid w:val="007B2B7F"/>
    <w:rsid w:val="007B2CCC"/>
    <w:rsid w:val="007B35BE"/>
    <w:rsid w:val="007B36A9"/>
    <w:rsid w:val="007B37A6"/>
    <w:rsid w:val="007B3903"/>
    <w:rsid w:val="007B3D71"/>
    <w:rsid w:val="007B3D9F"/>
    <w:rsid w:val="007B3F1F"/>
    <w:rsid w:val="007B3FFA"/>
    <w:rsid w:val="007B4209"/>
    <w:rsid w:val="007B468B"/>
    <w:rsid w:val="007B46D7"/>
    <w:rsid w:val="007B4B51"/>
    <w:rsid w:val="007B50C5"/>
    <w:rsid w:val="007B518A"/>
    <w:rsid w:val="007B5311"/>
    <w:rsid w:val="007B57D9"/>
    <w:rsid w:val="007B5A71"/>
    <w:rsid w:val="007B5C65"/>
    <w:rsid w:val="007B5F94"/>
    <w:rsid w:val="007B6595"/>
    <w:rsid w:val="007B73B0"/>
    <w:rsid w:val="007B7433"/>
    <w:rsid w:val="007B756B"/>
    <w:rsid w:val="007B7888"/>
    <w:rsid w:val="007B7984"/>
    <w:rsid w:val="007B799F"/>
    <w:rsid w:val="007B7B86"/>
    <w:rsid w:val="007B7EAC"/>
    <w:rsid w:val="007B7ECB"/>
    <w:rsid w:val="007C04AE"/>
    <w:rsid w:val="007C08AE"/>
    <w:rsid w:val="007C0B50"/>
    <w:rsid w:val="007C0CC0"/>
    <w:rsid w:val="007C12D6"/>
    <w:rsid w:val="007C1356"/>
    <w:rsid w:val="007C137D"/>
    <w:rsid w:val="007C14DD"/>
    <w:rsid w:val="007C17C3"/>
    <w:rsid w:val="007C1841"/>
    <w:rsid w:val="007C18C6"/>
    <w:rsid w:val="007C1913"/>
    <w:rsid w:val="007C209B"/>
    <w:rsid w:val="007C2217"/>
    <w:rsid w:val="007C228A"/>
    <w:rsid w:val="007C23F8"/>
    <w:rsid w:val="007C2675"/>
    <w:rsid w:val="007C27E7"/>
    <w:rsid w:val="007C2988"/>
    <w:rsid w:val="007C2EB0"/>
    <w:rsid w:val="007C361C"/>
    <w:rsid w:val="007C3695"/>
    <w:rsid w:val="007C36CD"/>
    <w:rsid w:val="007C3766"/>
    <w:rsid w:val="007C3840"/>
    <w:rsid w:val="007C3AC4"/>
    <w:rsid w:val="007C3ACA"/>
    <w:rsid w:val="007C3B04"/>
    <w:rsid w:val="007C3E99"/>
    <w:rsid w:val="007C4188"/>
    <w:rsid w:val="007C456B"/>
    <w:rsid w:val="007C5082"/>
    <w:rsid w:val="007C5757"/>
    <w:rsid w:val="007C5B5E"/>
    <w:rsid w:val="007C5B68"/>
    <w:rsid w:val="007C5E5A"/>
    <w:rsid w:val="007C6274"/>
    <w:rsid w:val="007C7420"/>
    <w:rsid w:val="007C7514"/>
    <w:rsid w:val="007D0153"/>
    <w:rsid w:val="007D01C9"/>
    <w:rsid w:val="007D040F"/>
    <w:rsid w:val="007D04B0"/>
    <w:rsid w:val="007D054A"/>
    <w:rsid w:val="007D068D"/>
    <w:rsid w:val="007D079C"/>
    <w:rsid w:val="007D0920"/>
    <w:rsid w:val="007D0D77"/>
    <w:rsid w:val="007D0F7C"/>
    <w:rsid w:val="007D0F85"/>
    <w:rsid w:val="007D1493"/>
    <w:rsid w:val="007D1D90"/>
    <w:rsid w:val="007D1DE6"/>
    <w:rsid w:val="007D2214"/>
    <w:rsid w:val="007D2274"/>
    <w:rsid w:val="007D26D8"/>
    <w:rsid w:val="007D2758"/>
    <w:rsid w:val="007D2C3B"/>
    <w:rsid w:val="007D2CF9"/>
    <w:rsid w:val="007D2FEF"/>
    <w:rsid w:val="007D3A7C"/>
    <w:rsid w:val="007D3B6F"/>
    <w:rsid w:val="007D3CA0"/>
    <w:rsid w:val="007D42D5"/>
    <w:rsid w:val="007D48D1"/>
    <w:rsid w:val="007D492D"/>
    <w:rsid w:val="007D4935"/>
    <w:rsid w:val="007D4AB1"/>
    <w:rsid w:val="007D4D90"/>
    <w:rsid w:val="007D51BD"/>
    <w:rsid w:val="007D531A"/>
    <w:rsid w:val="007D5924"/>
    <w:rsid w:val="007D5A26"/>
    <w:rsid w:val="007D5B2B"/>
    <w:rsid w:val="007D5B5F"/>
    <w:rsid w:val="007D5C38"/>
    <w:rsid w:val="007D5D6D"/>
    <w:rsid w:val="007D5E53"/>
    <w:rsid w:val="007D5E9A"/>
    <w:rsid w:val="007D6123"/>
    <w:rsid w:val="007D629B"/>
    <w:rsid w:val="007D6B04"/>
    <w:rsid w:val="007D6EAF"/>
    <w:rsid w:val="007D73FB"/>
    <w:rsid w:val="007D749C"/>
    <w:rsid w:val="007D74B2"/>
    <w:rsid w:val="007D75F9"/>
    <w:rsid w:val="007D78B3"/>
    <w:rsid w:val="007D7A35"/>
    <w:rsid w:val="007D7D4C"/>
    <w:rsid w:val="007E012B"/>
    <w:rsid w:val="007E02EC"/>
    <w:rsid w:val="007E04EA"/>
    <w:rsid w:val="007E07C8"/>
    <w:rsid w:val="007E13E5"/>
    <w:rsid w:val="007E153D"/>
    <w:rsid w:val="007E180E"/>
    <w:rsid w:val="007E21F6"/>
    <w:rsid w:val="007E2259"/>
    <w:rsid w:val="007E2483"/>
    <w:rsid w:val="007E29D3"/>
    <w:rsid w:val="007E2ECC"/>
    <w:rsid w:val="007E3280"/>
    <w:rsid w:val="007E3511"/>
    <w:rsid w:val="007E37CD"/>
    <w:rsid w:val="007E4100"/>
    <w:rsid w:val="007E41D1"/>
    <w:rsid w:val="007E48BC"/>
    <w:rsid w:val="007E51FD"/>
    <w:rsid w:val="007E5252"/>
    <w:rsid w:val="007E5E28"/>
    <w:rsid w:val="007E5F1A"/>
    <w:rsid w:val="007E5FF5"/>
    <w:rsid w:val="007E60A4"/>
    <w:rsid w:val="007E6252"/>
    <w:rsid w:val="007E638E"/>
    <w:rsid w:val="007E67F7"/>
    <w:rsid w:val="007E6F2B"/>
    <w:rsid w:val="007E6F2C"/>
    <w:rsid w:val="007E7233"/>
    <w:rsid w:val="007E75BA"/>
    <w:rsid w:val="007E7762"/>
    <w:rsid w:val="007E7F0E"/>
    <w:rsid w:val="007F0091"/>
    <w:rsid w:val="007F00D2"/>
    <w:rsid w:val="007F0240"/>
    <w:rsid w:val="007F0356"/>
    <w:rsid w:val="007F04E1"/>
    <w:rsid w:val="007F066A"/>
    <w:rsid w:val="007F070B"/>
    <w:rsid w:val="007F0D31"/>
    <w:rsid w:val="007F0EF1"/>
    <w:rsid w:val="007F1071"/>
    <w:rsid w:val="007F13B3"/>
    <w:rsid w:val="007F1762"/>
    <w:rsid w:val="007F17E7"/>
    <w:rsid w:val="007F1908"/>
    <w:rsid w:val="007F1ACE"/>
    <w:rsid w:val="007F1C63"/>
    <w:rsid w:val="007F1D5A"/>
    <w:rsid w:val="007F1E61"/>
    <w:rsid w:val="007F1F27"/>
    <w:rsid w:val="007F220B"/>
    <w:rsid w:val="007F2871"/>
    <w:rsid w:val="007F29BA"/>
    <w:rsid w:val="007F2C14"/>
    <w:rsid w:val="007F2C60"/>
    <w:rsid w:val="007F2E2C"/>
    <w:rsid w:val="007F2F9C"/>
    <w:rsid w:val="007F3491"/>
    <w:rsid w:val="007F381D"/>
    <w:rsid w:val="007F3883"/>
    <w:rsid w:val="007F3C4C"/>
    <w:rsid w:val="007F3D6B"/>
    <w:rsid w:val="007F40F9"/>
    <w:rsid w:val="007F42B3"/>
    <w:rsid w:val="007F44D5"/>
    <w:rsid w:val="007F4875"/>
    <w:rsid w:val="007F4881"/>
    <w:rsid w:val="007F59A4"/>
    <w:rsid w:val="007F5BA2"/>
    <w:rsid w:val="007F67AC"/>
    <w:rsid w:val="007F67CC"/>
    <w:rsid w:val="007F6884"/>
    <w:rsid w:val="007F6E8E"/>
    <w:rsid w:val="007F6FF6"/>
    <w:rsid w:val="007F7226"/>
    <w:rsid w:val="007F7482"/>
    <w:rsid w:val="007F7BEC"/>
    <w:rsid w:val="00800297"/>
    <w:rsid w:val="00800403"/>
    <w:rsid w:val="008006AD"/>
    <w:rsid w:val="00800B7F"/>
    <w:rsid w:val="00800C95"/>
    <w:rsid w:val="008012C9"/>
    <w:rsid w:val="008014B5"/>
    <w:rsid w:val="0080167F"/>
    <w:rsid w:val="00801801"/>
    <w:rsid w:val="008018BF"/>
    <w:rsid w:val="00801A99"/>
    <w:rsid w:val="00801CBB"/>
    <w:rsid w:val="00801CD0"/>
    <w:rsid w:val="00801E05"/>
    <w:rsid w:val="00801E40"/>
    <w:rsid w:val="0080209C"/>
    <w:rsid w:val="0080239B"/>
    <w:rsid w:val="008025EF"/>
    <w:rsid w:val="00802919"/>
    <w:rsid w:val="00802B49"/>
    <w:rsid w:val="00802B90"/>
    <w:rsid w:val="00802C67"/>
    <w:rsid w:val="00802E37"/>
    <w:rsid w:val="008030FB"/>
    <w:rsid w:val="0080334B"/>
    <w:rsid w:val="00803D16"/>
    <w:rsid w:val="00803D57"/>
    <w:rsid w:val="00803F62"/>
    <w:rsid w:val="0080442D"/>
    <w:rsid w:val="00804DC8"/>
    <w:rsid w:val="00804F51"/>
    <w:rsid w:val="0080501D"/>
    <w:rsid w:val="008054DB"/>
    <w:rsid w:val="00805A55"/>
    <w:rsid w:val="00805ACC"/>
    <w:rsid w:val="00805C12"/>
    <w:rsid w:val="00805D56"/>
    <w:rsid w:val="00806040"/>
    <w:rsid w:val="00806057"/>
    <w:rsid w:val="0080615D"/>
    <w:rsid w:val="008072DF"/>
    <w:rsid w:val="00807541"/>
    <w:rsid w:val="00807628"/>
    <w:rsid w:val="00807A9D"/>
    <w:rsid w:val="00807E50"/>
    <w:rsid w:val="00807ECC"/>
    <w:rsid w:val="0081009D"/>
    <w:rsid w:val="008104F9"/>
    <w:rsid w:val="00810AC6"/>
    <w:rsid w:val="00810EAF"/>
    <w:rsid w:val="00810F00"/>
    <w:rsid w:val="0081102F"/>
    <w:rsid w:val="008115D5"/>
    <w:rsid w:val="0081181A"/>
    <w:rsid w:val="008119C1"/>
    <w:rsid w:val="00811A8D"/>
    <w:rsid w:val="00811DCB"/>
    <w:rsid w:val="00811F3D"/>
    <w:rsid w:val="00812386"/>
    <w:rsid w:val="0081241B"/>
    <w:rsid w:val="00812677"/>
    <w:rsid w:val="00812D31"/>
    <w:rsid w:val="00812D9B"/>
    <w:rsid w:val="00813113"/>
    <w:rsid w:val="00813921"/>
    <w:rsid w:val="00813A43"/>
    <w:rsid w:val="00813E2D"/>
    <w:rsid w:val="0081431F"/>
    <w:rsid w:val="00814923"/>
    <w:rsid w:val="00815756"/>
    <w:rsid w:val="00815CBA"/>
    <w:rsid w:val="00816614"/>
    <w:rsid w:val="00816626"/>
    <w:rsid w:val="0081662C"/>
    <w:rsid w:val="008168B1"/>
    <w:rsid w:val="00816B2E"/>
    <w:rsid w:val="00816CCF"/>
    <w:rsid w:val="008171A7"/>
    <w:rsid w:val="00817A6B"/>
    <w:rsid w:val="00817B85"/>
    <w:rsid w:val="00817EB0"/>
    <w:rsid w:val="00820184"/>
    <w:rsid w:val="00820871"/>
    <w:rsid w:val="0082108C"/>
    <w:rsid w:val="00821429"/>
    <w:rsid w:val="00821A6B"/>
    <w:rsid w:val="00821BED"/>
    <w:rsid w:val="00821C14"/>
    <w:rsid w:val="008223B9"/>
    <w:rsid w:val="008224CC"/>
    <w:rsid w:val="00822894"/>
    <w:rsid w:val="008229B3"/>
    <w:rsid w:val="00822EBB"/>
    <w:rsid w:val="00823032"/>
    <w:rsid w:val="00823D1A"/>
    <w:rsid w:val="00823F5E"/>
    <w:rsid w:val="00824137"/>
    <w:rsid w:val="008242C6"/>
    <w:rsid w:val="008245DA"/>
    <w:rsid w:val="008246E7"/>
    <w:rsid w:val="00824751"/>
    <w:rsid w:val="0082495C"/>
    <w:rsid w:val="0082574E"/>
    <w:rsid w:val="008259D8"/>
    <w:rsid w:val="00825A7F"/>
    <w:rsid w:val="00825A99"/>
    <w:rsid w:val="00826097"/>
    <w:rsid w:val="0082675B"/>
    <w:rsid w:val="0082677B"/>
    <w:rsid w:val="008268C2"/>
    <w:rsid w:val="00826A7B"/>
    <w:rsid w:val="00826ACA"/>
    <w:rsid w:val="0082706B"/>
    <w:rsid w:val="008272D9"/>
    <w:rsid w:val="008274AD"/>
    <w:rsid w:val="00827642"/>
    <w:rsid w:val="008278BD"/>
    <w:rsid w:val="008279B4"/>
    <w:rsid w:val="00827A54"/>
    <w:rsid w:val="00827C19"/>
    <w:rsid w:val="00827E9E"/>
    <w:rsid w:val="00830088"/>
    <w:rsid w:val="0083086B"/>
    <w:rsid w:val="008312A2"/>
    <w:rsid w:val="008317F5"/>
    <w:rsid w:val="0083181D"/>
    <w:rsid w:val="00831D73"/>
    <w:rsid w:val="0083228E"/>
    <w:rsid w:val="0083242F"/>
    <w:rsid w:val="008324A0"/>
    <w:rsid w:val="008327DF"/>
    <w:rsid w:val="00832C2D"/>
    <w:rsid w:val="00832EF4"/>
    <w:rsid w:val="00833005"/>
    <w:rsid w:val="0083300B"/>
    <w:rsid w:val="008336B6"/>
    <w:rsid w:val="00833715"/>
    <w:rsid w:val="00834F17"/>
    <w:rsid w:val="008356E6"/>
    <w:rsid w:val="00835E18"/>
    <w:rsid w:val="00835FC1"/>
    <w:rsid w:val="00836102"/>
    <w:rsid w:val="0083626E"/>
    <w:rsid w:val="00836277"/>
    <w:rsid w:val="008364B8"/>
    <w:rsid w:val="00836557"/>
    <w:rsid w:val="008366E7"/>
    <w:rsid w:val="0083686A"/>
    <w:rsid w:val="00836AF8"/>
    <w:rsid w:val="00836C4B"/>
    <w:rsid w:val="00836E03"/>
    <w:rsid w:val="00837108"/>
    <w:rsid w:val="008374E4"/>
    <w:rsid w:val="00840810"/>
    <w:rsid w:val="00840CA1"/>
    <w:rsid w:val="00840D30"/>
    <w:rsid w:val="008411B5"/>
    <w:rsid w:val="008411F7"/>
    <w:rsid w:val="0084168D"/>
    <w:rsid w:val="00841C7F"/>
    <w:rsid w:val="00842450"/>
    <w:rsid w:val="008426FC"/>
    <w:rsid w:val="00842708"/>
    <w:rsid w:val="008429B5"/>
    <w:rsid w:val="00842A1B"/>
    <w:rsid w:val="00842DD0"/>
    <w:rsid w:val="00842F4C"/>
    <w:rsid w:val="00843072"/>
    <w:rsid w:val="00843D9A"/>
    <w:rsid w:val="008444CA"/>
    <w:rsid w:val="008445CD"/>
    <w:rsid w:val="00844947"/>
    <w:rsid w:val="00844A97"/>
    <w:rsid w:val="00844EC5"/>
    <w:rsid w:val="008455DE"/>
    <w:rsid w:val="0084564B"/>
    <w:rsid w:val="00845CE4"/>
    <w:rsid w:val="00845D81"/>
    <w:rsid w:val="00846138"/>
    <w:rsid w:val="00846384"/>
    <w:rsid w:val="00846C99"/>
    <w:rsid w:val="00846FF0"/>
    <w:rsid w:val="00847134"/>
    <w:rsid w:val="008475C2"/>
    <w:rsid w:val="00850498"/>
    <w:rsid w:val="0085061D"/>
    <w:rsid w:val="00850876"/>
    <w:rsid w:val="008513D2"/>
    <w:rsid w:val="00851803"/>
    <w:rsid w:val="00851897"/>
    <w:rsid w:val="00851937"/>
    <w:rsid w:val="008519A3"/>
    <w:rsid w:val="00851A72"/>
    <w:rsid w:val="00851EE1"/>
    <w:rsid w:val="008521FC"/>
    <w:rsid w:val="00852906"/>
    <w:rsid w:val="008529AB"/>
    <w:rsid w:val="00852B00"/>
    <w:rsid w:val="00852CBA"/>
    <w:rsid w:val="00852DB3"/>
    <w:rsid w:val="00853161"/>
    <w:rsid w:val="008535A3"/>
    <w:rsid w:val="008538D6"/>
    <w:rsid w:val="00853917"/>
    <w:rsid w:val="00853A2A"/>
    <w:rsid w:val="00853FC8"/>
    <w:rsid w:val="00854070"/>
    <w:rsid w:val="0085434D"/>
    <w:rsid w:val="0085473D"/>
    <w:rsid w:val="008551BB"/>
    <w:rsid w:val="0085541C"/>
    <w:rsid w:val="008554D1"/>
    <w:rsid w:val="00856694"/>
    <w:rsid w:val="008571D9"/>
    <w:rsid w:val="0085768A"/>
    <w:rsid w:val="00857771"/>
    <w:rsid w:val="00860253"/>
    <w:rsid w:val="008607F2"/>
    <w:rsid w:val="0086182D"/>
    <w:rsid w:val="00861A64"/>
    <w:rsid w:val="00861AE2"/>
    <w:rsid w:val="00861CA7"/>
    <w:rsid w:val="00861E49"/>
    <w:rsid w:val="00862066"/>
    <w:rsid w:val="0086214D"/>
    <w:rsid w:val="008627A0"/>
    <w:rsid w:val="00862C00"/>
    <w:rsid w:val="0086333D"/>
    <w:rsid w:val="008637A3"/>
    <w:rsid w:val="008639DC"/>
    <w:rsid w:val="00863C69"/>
    <w:rsid w:val="00863E3F"/>
    <w:rsid w:val="00864071"/>
    <w:rsid w:val="00864380"/>
    <w:rsid w:val="00864759"/>
    <w:rsid w:val="008648C8"/>
    <w:rsid w:val="00864DB7"/>
    <w:rsid w:val="0086516B"/>
    <w:rsid w:val="00865405"/>
    <w:rsid w:val="00865514"/>
    <w:rsid w:val="00865537"/>
    <w:rsid w:val="008658DA"/>
    <w:rsid w:val="00865C3D"/>
    <w:rsid w:val="00865C5B"/>
    <w:rsid w:val="00865F54"/>
    <w:rsid w:val="00866850"/>
    <w:rsid w:val="00866B5C"/>
    <w:rsid w:val="00866BBE"/>
    <w:rsid w:val="00866CE4"/>
    <w:rsid w:val="00866F3E"/>
    <w:rsid w:val="008679D9"/>
    <w:rsid w:val="00867A32"/>
    <w:rsid w:val="00867C8A"/>
    <w:rsid w:val="00867ECE"/>
    <w:rsid w:val="0087035E"/>
    <w:rsid w:val="008703E6"/>
    <w:rsid w:val="008704A5"/>
    <w:rsid w:val="008708DA"/>
    <w:rsid w:val="00870B39"/>
    <w:rsid w:val="00870C06"/>
    <w:rsid w:val="008710CF"/>
    <w:rsid w:val="008715A4"/>
    <w:rsid w:val="00871969"/>
    <w:rsid w:val="00871BAB"/>
    <w:rsid w:val="00871CC6"/>
    <w:rsid w:val="0087208F"/>
    <w:rsid w:val="00872464"/>
    <w:rsid w:val="00872969"/>
    <w:rsid w:val="00872ABC"/>
    <w:rsid w:val="00872D49"/>
    <w:rsid w:val="0087323E"/>
    <w:rsid w:val="008732F8"/>
    <w:rsid w:val="00874133"/>
    <w:rsid w:val="00874839"/>
    <w:rsid w:val="0087492A"/>
    <w:rsid w:val="00874FFA"/>
    <w:rsid w:val="008752BF"/>
    <w:rsid w:val="00875C55"/>
    <w:rsid w:val="00875D10"/>
    <w:rsid w:val="008761CA"/>
    <w:rsid w:val="00876346"/>
    <w:rsid w:val="00876442"/>
    <w:rsid w:val="0087669E"/>
    <w:rsid w:val="00876ACF"/>
    <w:rsid w:val="00876BCB"/>
    <w:rsid w:val="00876CCC"/>
    <w:rsid w:val="008770C7"/>
    <w:rsid w:val="008772BB"/>
    <w:rsid w:val="00877368"/>
    <w:rsid w:val="0087741B"/>
    <w:rsid w:val="00877810"/>
    <w:rsid w:val="00877924"/>
    <w:rsid w:val="00877A5D"/>
    <w:rsid w:val="00877B96"/>
    <w:rsid w:val="00877DB0"/>
    <w:rsid w:val="00880A4D"/>
    <w:rsid w:val="00880DB6"/>
    <w:rsid w:val="008812F9"/>
    <w:rsid w:val="0088164D"/>
    <w:rsid w:val="00881A7F"/>
    <w:rsid w:val="00881B65"/>
    <w:rsid w:val="00881C25"/>
    <w:rsid w:val="008825CC"/>
    <w:rsid w:val="00882A5E"/>
    <w:rsid w:val="00882D46"/>
    <w:rsid w:val="0088327F"/>
    <w:rsid w:val="0088336F"/>
    <w:rsid w:val="008837EB"/>
    <w:rsid w:val="00883D31"/>
    <w:rsid w:val="008841A7"/>
    <w:rsid w:val="0088424F"/>
    <w:rsid w:val="00884B35"/>
    <w:rsid w:val="008850D0"/>
    <w:rsid w:val="008850ED"/>
    <w:rsid w:val="00885DF1"/>
    <w:rsid w:val="00885EE5"/>
    <w:rsid w:val="00885FB7"/>
    <w:rsid w:val="008863BE"/>
    <w:rsid w:val="00886891"/>
    <w:rsid w:val="00886B3E"/>
    <w:rsid w:val="00886FB6"/>
    <w:rsid w:val="008872C6"/>
    <w:rsid w:val="0088744D"/>
    <w:rsid w:val="008879B9"/>
    <w:rsid w:val="00887D38"/>
    <w:rsid w:val="00887EE8"/>
    <w:rsid w:val="0089017C"/>
    <w:rsid w:val="008908D3"/>
    <w:rsid w:val="00890D77"/>
    <w:rsid w:val="00890DE2"/>
    <w:rsid w:val="0089139C"/>
    <w:rsid w:val="00891565"/>
    <w:rsid w:val="00891BF8"/>
    <w:rsid w:val="00891CB7"/>
    <w:rsid w:val="00892150"/>
    <w:rsid w:val="008921C0"/>
    <w:rsid w:val="008926CB"/>
    <w:rsid w:val="00892FAF"/>
    <w:rsid w:val="008937A9"/>
    <w:rsid w:val="0089381E"/>
    <w:rsid w:val="00893902"/>
    <w:rsid w:val="00893C60"/>
    <w:rsid w:val="00894021"/>
    <w:rsid w:val="008941E8"/>
    <w:rsid w:val="008945D2"/>
    <w:rsid w:val="00894867"/>
    <w:rsid w:val="00894A34"/>
    <w:rsid w:val="0089522D"/>
    <w:rsid w:val="008953B3"/>
    <w:rsid w:val="00895A96"/>
    <w:rsid w:val="00895B9F"/>
    <w:rsid w:val="00896565"/>
    <w:rsid w:val="0089668C"/>
    <w:rsid w:val="00896946"/>
    <w:rsid w:val="0089701B"/>
    <w:rsid w:val="008973DF"/>
    <w:rsid w:val="00897BC9"/>
    <w:rsid w:val="00897BD7"/>
    <w:rsid w:val="008A0021"/>
    <w:rsid w:val="008A01B3"/>
    <w:rsid w:val="008A087F"/>
    <w:rsid w:val="008A0973"/>
    <w:rsid w:val="008A0FC8"/>
    <w:rsid w:val="008A11A7"/>
    <w:rsid w:val="008A1409"/>
    <w:rsid w:val="008A180E"/>
    <w:rsid w:val="008A1C89"/>
    <w:rsid w:val="008A1DB6"/>
    <w:rsid w:val="008A2017"/>
    <w:rsid w:val="008A213A"/>
    <w:rsid w:val="008A2AE3"/>
    <w:rsid w:val="008A2C13"/>
    <w:rsid w:val="008A3247"/>
    <w:rsid w:val="008A326D"/>
    <w:rsid w:val="008A38CD"/>
    <w:rsid w:val="008A3BD2"/>
    <w:rsid w:val="008A3F79"/>
    <w:rsid w:val="008A4403"/>
    <w:rsid w:val="008A4A57"/>
    <w:rsid w:val="008A4D98"/>
    <w:rsid w:val="008A53EA"/>
    <w:rsid w:val="008A5617"/>
    <w:rsid w:val="008A58AA"/>
    <w:rsid w:val="008A5B84"/>
    <w:rsid w:val="008A5D9F"/>
    <w:rsid w:val="008A5EA6"/>
    <w:rsid w:val="008A61A1"/>
    <w:rsid w:val="008A652F"/>
    <w:rsid w:val="008A65AF"/>
    <w:rsid w:val="008A71A8"/>
    <w:rsid w:val="008A71EB"/>
    <w:rsid w:val="008A7446"/>
    <w:rsid w:val="008A7452"/>
    <w:rsid w:val="008A761C"/>
    <w:rsid w:val="008A7F31"/>
    <w:rsid w:val="008A7F33"/>
    <w:rsid w:val="008B02EC"/>
    <w:rsid w:val="008B03D2"/>
    <w:rsid w:val="008B0520"/>
    <w:rsid w:val="008B0CE2"/>
    <w:rsid w:val="008B0F91"/>
    <w:rsid w:val="008B15C4"/>
    <w:rsid w:val="008B15F3"/>
    <w:rsid w:val="008B1661"/>
    <w:rsid w:val="008B1A02"/>
    <w:rsid w:val="008B1B73"/>
    <w:rsid w:val="008B1DEA"/>
    <w:rsid w:val="008B1E50"/>
    <w:rsid w:val="008B1E98"/>
    <w:rsid w:val="008B1F11"/>
    <w:rsid w:val="008B233F"/>
    <w:rsid w:val="008B23A5"/>
    <w:rsid w:val="008B25DD"/>
    <w:rsid w:val="008B26FE"/>
    <w:rsid w:val="008B2BFF"/>
    <w:rsid w:val="008B37B0"/>
    <w:rsid w:val="008B3804"/>
    <w:rsid w:val="008B3812"/>
    <w:rsid w:val="008B4A41"/>
    <w:rsid w:val="008B4B81"/>
    <w:rsid w:val="008B52AB"/>
    <w:rsid w:val="008B5338"/>
    <w:rsid w:val="008B5FEA"/>
    <w:rsid w:val="008B6203"/>
    <w:rsid w:val="008B66CC"/>
    <w:rsid w:val="008B6B32"/>
    <w:rsid w:val="008B6CD3"/>
    <w:rsid w:val="008B7337"/>
    <w:rsid w:val="008B73DC"/>
    <w:rsid w:val="008B7782"/>
    <w:rsid w:val="008B780F"/>
    <w:rsid w:val="008B7955"/>
    <w:rsid w:val="008B7ABE"/>
    <w:rsid w:val="008B7AD2"/>
    <w:rsid w:val="008B7BD0"/>
    <w:rsid w:val="008C058C"/>
    <w:rsid w:val="008C0B23"/>
    <w:rsid w:val="008C0CD9"/>
    <w:rsid w:val="008C0DFE"/>
    <w:rsid w:val="008C0E47"/>
    <w:rsid w:val="008C0F28"/>
    <w:rsid w:val="008C1245"/>
    <w:rsid w:val="008C12D7"/>
    <w:rsid w:val="008C14E3"/>
    <w:rsid w:val="008C1523"/>
    <w:rsid w:val="008C1553"/>
    <w:rsid w:val="008C172C"/>
    <w:rsid w:val="008C18DC"/>
    <w:rsid w:val="008C194D"/>
    <w:rsid w:val="008C1B6B"/>
    <w:rsid w:val="008C1D39"/>
    <w:rsid w:val="008C2026"/>
    <w:rsid w:val="008C20BF"/>
    <w:rsid w:val="008C236D"/>
    <w:rsid w:val="008C24A0"/>
    <w:rsid w:val="008C2640"/>
    <w:rsid w:val="008C2D4B"/>
    <w:rsid w:val="008C2D87"/>
    <w:rsid w:val="008C2F44"/>
    <w:rsid w:val="008C328A"/>
    <w:rsid w:val="008C3936"/>
    <w:rsid w:val="008C3B61"/>
    <w:rsid w:val="008C3CF0"/>
    <w:rsid w:val="008C3F80"/>
    <w:rsid w:val="008C4327"/>
    <w:rsid w:val="008C475D"/>
    <w:rsid w:val="008C4EF6"/>
    <w:rsid w:val="008C51AA"/>
    <w:rsid w:val="008C581D"/>
    <w:rsid w:val="008C5D15"/>
    <w:rsid w:val="008C6215"/>
    <w:rsid w:val="008C63A4"/>
    <w:rsid w:val="008C6402"/>
    <w:rsid w:val="008C645D"/>
    <w:rsid w:val="008C6579"/>
    <w:rsid w:val="008C6629"/>
    <w:rsid w:val="008C682F"/>
    <w:rsid w:val="008C7029"/>
    <w:rsid w:val="008C71FA"/>
    <w:rsid w:val="008C7276"/>
    <w:rsid w:val="008C758A"/>
    <w:rsid w:val="008C76FC"/>
    <w:rsid w:val="008C77A5"/>
    <w:rsid w:val="008C7A83"/>
    <w:rsid w:val="008C7E16"/>
    <w:rsid w:val="008D0362"/>
    <w:rsid w:val="008D064E"/>
    <w:rsid w:val="008D0C4D"/>
    <w:rsid w:val="008D0C7A"/>
    <w:rsid w:val="008D158A"/>
    <w:rsid w:val="008D158F"/>
    <w:rsid w:val="008D1AC5"/>
    <w:rsid w:val="008D1B1F"/>
    <w:rsid w:val="008D23AE"/>
    <w:rsid w:val="008D2930"/>
    <w:rsid w:val="008D2B6F"/>
    <w:rsid w:val="008D2C5E"/>
    <w:rsid w:val="008D2E06"/>
    <w:rsid w:val="008D2EF6"/>
    <w:rsid w:val="008D3459"/>
    <w:rsid w:val="008D3774"/>
    <w:rsid w:val="008D3CCD"/>
    <w:rsid w:val="008D3EC1"/>
    <w:rsid w:val="008D3FD0"/>
    <w:rsid w:val="008D42D5"/>
    <w:rsid w:val="008D4342"/>
    <w:rsid w:val="008D4353"/>
    <w:rsid w:val="008D453F"/>
    <w:rsid w:val="008D4711"/>
    <w:rsid w:val="008D4A6F"/>
    <w:rsid w:val="008D4DEF"/>
    <w:rsid w:val="008D5003"/>
    <w:rsid w:val="008D56A3"/>
    <w:rsid w:val="008D56A9"/>
    <w:rsid w:val="008D585B"/>
    <w:rsid w:val="008D591F"/>
    <w:rsid w:val="008D5974"/>
    <w:rsid w:val="008D63D5"/>
    <w:rsid w:val="008D6464"/>
    <w:rsid w:val="008D6757"/>
    <w:rsid w:val="008D6893"/>
    <w:rsid w:val="008D741E"/>
    <w:rsid w:val="008D7497"/>
    <w:rsid w:val="008D7EE3"/>
    <w:rsid w:val="008E00AE"/>
    <w:rsid w:val="008E06EA"/>
    <w:rsid w:val="008E0772"/>
    <w:rsid w:val="008E07A4"/>
    <w:rsid w:val="008E1119"/>
    <w:rsid w:val="008E15EA"/>
    <w:rsid w:val="008E1CBF"/>
    <w:rsid w:val="008E1DD7"/>
    <w:rsid w:val="008E1ECC"/>
    <w:rsid w:val="008E20AA"/>
    <w:rsid w:val="008E22A1"/>
    <w:rsid w:val="008E2857"/>
    <w:rsid w:val="008E30BF"/>
    <w:rsid w:val="008E33C8"/>
    <w:rsid w:val="008E34C5"/>
    <w:rsid w:val="008E3A6A"/>
    <w:rsid w:val="008E420C"/>
    <w:rsid w:val="008E460A"/>
    <w:rsid w:val="008E47E6"/>
    <w:rsid w:val="008E4BD2"/>
    <w:rsid w:val="008E5123"/>
    <w:rsid w:val="008E59C3"/>
    <w:rsid w:val="008E5B5C"/>
    <w:rsid w:val="008E5C3C"/>
    <w:rsid w:val="008E6325"/>
    <w:rsid w:val="008E6507"/>
    <w:rsid w:val="008E65DE"/>
    <w:rsid w:val="008E6721"/>
    <w:rsid w:val="008E6895"/>
    <w:rsid w:val="008E6A76"/>
    <w:rsid w:val="008E6FEE"/>
    <w:rsid w:val="008E704B"/>
    <w:rsid w:val="008E73F1"/>
    <w:rsid w:val="008E741D"/>
    <w:rsid w:val="008E74A6"/>
    <w:rsid w:val="008E7C3C"/>
    <w:rsid w:val="008E7F2C"/>
    <w:rsid w:val="008F083C"/>
    <w:rsid w:val="008F0B5E"/>
    <w:rsid w:val="008F0C0C"/>
    <w:rsid w:val="008F0D38"/>
    <w:rsid w:val="008F0EAB"/>
    <w:rsid w:val="008F1312"/>
    <w:rsid w:val="008F182C"/>
    <w:rsid w:val="008F1C58"/>
    <w:rsid w:val="008F2192"/>
    <w:rsid w:val="008F22F2"/>
    <w:rsid w:val="008F2344"/>
    <w:rsid w:val="008F2B10"/>
    <w:rsid w:val="008F2B35"/>
    <w:rsid w:val="008F3A1C"/>
    <w:rsid w:val="008F3DE8"/>
    <w:rsid w:val="008F3E0D"/>
    <w:rsid w:val="008F4696"/>
    <w:rsid w:val="008F4A57"/>
    <w:rsid w:val="008F4B96"/>
    <w:rsid w:val="008F4BB2"/>
    <w:rsid w:val="008F554C"/>
    <w:rsid w:val="008F5A2F"/>
    <w:rsid w:val="008F5D85"/>
    <w:rsid w:val="008F611E"/>
    <w:rsid w:val="008F6568"/>
    <w:rsid w:val="008F6851"/>
    <w:rsid w:val="008F6D00"/>
    <w:rsid w:val="008F6F50"/>
    <w:rsid w:val="008F7531"/>
    <w:rsid w:val="008F76D3"/>
    <w:rsid w:val="008F79BB"/>
    <w:rsid w:val="008F7A99"/>
    <w:rsid w:val="008F7CF8"/>
    <w:rsid w:val="008F7E10"/>
    <w:rsid w:val="008F7F63"/>
    <w:rsid w:val="009004DA"/>
    <w:rsid w:val="00900520"/>
    <w:rsid w:val="00900EB5"/>
    <w:rsid w:val="00900F78"/>
    <w:rsid w:val="009014CE"/>
    <w:rsid w:val="00901652"/>
    <w:rsid w:val="00901959"/>
    <w:rsid w:val="0090225A"/>
    <w:rsid w:val="00902654"/>
    <w:rsid w:val="009027B8"/>
    <w:rsid w:val="00902B21"/>
    <w:rsid w:val="00902C7F"/>
    <w:rsid w:val="00903260"/>
    <w:rsid w:val="009038D7"/>
    <w:rsid w:val="009038DE"/>
    <w:rsid w:val="00903B42"/>
    <w:rsid w:val="00903B81"/>
    <w:rsid w:val="00903D33"/>
    <w:rsid w:val="009040C3"/>
    <w:rsid w:val="00904181"/>
    <w:rsid w:val="009041A4"/>
    <w:rsid w:val="00904A1C"/>
    <w:rsid w:val="00904C1A"/>
    <w:rsid w:val="00904FA0"/>
    <w:rsid w:val="00905263"/>
    <w:rsid w:val="00905AFA"/>
    <w:rsid w:val="009060C8"/>
    <w:rsid w:val="0090619E"/>
    <w:rsid w:val="009067C4"/>
    <w:rsid w:val="00906B9E"/>
    <w:rsid w:val="00906CBE"/>
    <w:rsid w:val="00906F1B"/>
    <w:rsid w:val="00906F63"/>
    <w:rsid w:val="009072F0"/>
    <w:rsid w:val="009077FF"/>
    <w:rsid w:val="0090783D"/>
    <w:rsid w:val="00907A7E"/>
    <w:rsid w:val="00907BC4"/>
    <w:rsid w:val="009100B7"/>
    <w:rsid w:val="0091034C"/>
    <w:rsid w:val="0091048A"/>
    <w:rsid w:val="00910B59"/>
    <w:rsid w:val="00910BA8"/>
    <w:rsid w:val="00910D1E"/>
    <w:rsid w:val="00910EBF"/>
    <w:rsid w:val="00911188"/>
    <w:rsid w:val="009112A8"/>
    <w:rsid w:val="00911371"/>
    <w:rsid w:val="0091163B"/>
    <w:rsid w:val="0091188A"/>
    <w:rsid w:val="00911C30"/>
    <w:rsid w:val="00911C84"/>
    <w:rsid w:val="00911CD4"/>
    <w:rsid w:val="00912231"/>
    <w:rsid w:val="0091235C"/>
    <w:rsid w:val="0091239B"/>
    <w:rsid w:val="00912450"/>
    <w:rsid w:val="00912613"/>
    <w:rsid w:val="009126D1"/>
    <w:rsid w:val="00912FC1"/>
    <w:rsid w:val="0091326F"/>
    <w:rsid w:val="009136FB"/>
    <w:rsid w:val="00913727"/>
    <w:rsid w:val="00913A33"/>
    <w:rsid w:val="00913AC6"/>
    <w:rsid w:val="00913B22"/>
    <w:rsid w:val="00913BA7"/>
    <w:rsid w:val="00913E46"/>
    <w:rsid w:val="00914082"/>
    <w:rsid w:val="0091462A"/>
    <w:rsid w:val="0091466F"/>
    <w:rsid w:val="00914809"/>
    <w:rsid w:val="00914878"/>
    <w:rsid w:val="00914B11"/>
    <w:rsid w:val="009150BC"/>
    <w:rsid w:val="00915139"/>
    <w:rsid w:val="00915341"/>
    <w:rsid w:val="0091558E"/>
    <w:rsid w:val="00915789"/>
    <w:rsid w:val="00915AE4"/>
    <w:rsid w:val="00915C32"/>
    <w:rsid w:val="00915DE2"/>
    <w:rsid w:val="00915F28"/>
    <w:rsid w:val="00915F5E"/>
    <w:rsid w:val="00915FBF"/>
    <w:rsid w:val="00916116"/>
    <w:rsid w:val="00916224"/>
    <w:rsid w:val="009166E4"/>
    <w:rsid w:val="0091679C"/>
    <w:rsid w:val="00916801"/>
    <w:rsid w:val="00916BBB"/>
    <w:rsid w:val="00916D61"/>
    <w:rsid w:val="00916D63"/>
    <w:rsid w:val="00916F9E"/>
    <w:rsid w:val="009170A4"/>
    <w:rsid w:val="00917DC7"/>
    <w:rsid w:val="009202BA"/>
    <w:rsid w:val="00920A29"/>
    <w:rsid w:val="00920B69"/>
    <w:rsid w:val="00920C45"/>
    <w:rsid w:val="00920CEB"/>
    <w:rsid w:val="009212BA"/>
    <w:rsid w:val="0092148E"/>
    <w:rsid w:val="00921B4D"/>
    <w:rsid w:val="00921CA4"/>
    <w:rsid w:val="00922070"/>
    <w:rsid w:val="00922117"/>
    <w:rsid w:val="00922222"/>
    <w:rsid w:val="0092273F"/>
    <w:rsid w:val="009227FB"/>
    <w:rsid w:val="00922934"/>
    <w:rsid w:val="00922AAF"/>
    <w:rsid w:val="00922C67"/>
    <w:rsid w:val="00922F58"/>
    <w:rsid w:val="00923274"/>
    <w:rsid w:val="009248AD"/>
    <w:rsid w:val="00924DAC"/>
    <w:rsid w:val="00924F76"/>
    <w:rsid w:val="00924F9F"/>
    <w:rsid w:val="009250C7"/>
    <w:rsid w:val="0092521A"/>
    <w:rsid w:val="009254A1"/>
    <w:rsid w:val="00925679"/>
    <w:rsid w:val="009256E0"/>
    <w:rsid w:val="00925724"/>
    <w:rsid w:val="00925BD9"/>
    <w:rsid w:val="00925D02"/>
    <w:rsid w:val="00925DE6"/>
    <w:rsid w:val="00926061"/>
    <w:rsid w:val="00926128"/>
    <w:rsid w:val="009263E8"/>
    <w:rsid w:val="00926610"/>
    <w:rsid w:val="009267BE"/>
    <w:rsid w:val="009267FF"/>
    <w:rsid w:val="009273E1"/>
    <w:rsid w:val="0092744F"/>
    <w:rsid w:val="00927648"/>
    <w:rsid w:val="00927687"/>
    <w:rsid w:val="00927891"/>
    <w:rsid w:val="009279AC"/>
    <w:rsid w:val="00927CD6"/>
    <w:rsid w:val="00930696"/>
    <w:rsid w:val="0093099A"/>
    <w:rsid w:val="00930DB2"/>
    <w:rsid w:val="00930E07"/>
    <w:rsid w:val="00931446"/>
    <w:rsid w:val="00931546"/>
    <w:rsid w:val="00931A79"/>
    <w:rsid w:val="00931D05"/>
    <w:rsid w:val="00931D8F"/>
    <w:rsid w:val="00931F06"/>
    <w:rsid w:val="00931F0C"/>
    <w:rsid w:val="009322BF"/>
    <w:rsid w:val="009324AD"/>
    <w:rsid w:val="00932528"/>
    <w:rsid w:val="009325A6"/>
    <w:rsid w:val="00932EE6"/>
    <w:rsid w:val="00933285"/>
    <w:rsid w:val="0093372A"/>
    <w:rsid w:val="00933801"/>
    <w:rsid w:val="00933903"/>
    <w:rsid w:val="00933E20"/>
    <w:rsid w:val="00933E3C"/>
    <w:rsid w:val="00933EDA"/>
    <w:rsid w:val="009341DF"/>
    <w:rsid w:val="00934B1F"/>
    <w:rsid w:val="00934D45"/>
    <w:rsid w:val="00935051"/>
    <w:rsid w:val="00935323"/>
    <w:rsid w:val="0093548C"/>
    <w:rsid w:val="00935C1D"/>
    <w:rsid w:val="00935D30"/>
    <w:rsid w:val="00936177"/>
    <w:rsid w:val="0093625D"/>
    <w:rsid w:val="00936687"/>
    <w:rsid w:val="00936848"/>
    <w:rsid w:val="00936A9F"/>
    <w:rsid w:val="00936BE7"/>
    <w:rsid w:val="00936D59"/>
    <w:rsid w:val="00937496"/>
    <w:rsid w:val="0093752C"/>
    <w:rsid w:val="00937933"/>
    <w:rsid w:val="00937AE1"/>
    <w:rsid w:val="00937C9A"/>
    <w:rsid w:val="00937D86"/>
    <w:rsid w:val="00940230"/>
    <w:rsid w:val="0094063C"/>
    <w:rsid w:val="00940757"/>
    <w:rsid w:val="00940816"/>
    <w:rsid w:val="0094118E"/>
    <w:rsid w:val="009419C2"/>
    <w:rsid w:val="00941FA6"/>
    <w:rsid w:val="0094263C"/>
    <w:rsid w:val="009428F8"/>
    <w:rsid w:val="00942C08"/>
    <w:rsid w:val="00942FE3"/>
    <w:rsid w:val="00943066"/>
    <w:rsid w:val="009433AC"/>
    <w:rsid w:val="00943803"/>
    <w:rsid w:val="00943B94"/>
    <w:rsid w:val="00943FBE"/>
    <w:rsid w:val="0094451F"/>
    <w:rsid w:val="0094489B"/>
    <w:rsid w:val="00944BF2"/>
    <w:rsid w:val="00944C74"/>
    <w:rsid w:val="00944F8D"/>
    <w:rsid w:val="00945214"/>
    <w:rsid w:val="00945487"/>
    <w:rsid w:val="009459B7"/>
    <w:rsid w:val="00945FA5"/>
    <w:rsid w:val="009467B3"/>
    <w:rsid w:val="00946CED"/>
    <w:rsid w:val="00946E6A"/>
    <w:rsid w:val="00946EAD"/>
    <w:rsid w:val="00947483"/>
    <w:rsid w:val="00947655"/>
    <w:rsid w:val="0094778D"/>
    <w:rsid w:val="00947F76"/>
    <w:rsid w:val="00947FBF"/>
    <w:rsid w:val="009501D1"/>
    <w:rsid w:val="009506C1"/>
    <w:rsid w:val="00950D76"/>
    <w:rsid w:val="00951A4B"/>
    <w:rsid w:val="00951BA1"/>
    <w:rsid w:val="00951C13"/>
    <w:rsid w:val="00951D06"/>
    <w:rsid w:val="0095233A"/>
    <w:rsid w:val="0095256C"/>
    <w:rsid w:val="00952B07"/>
    <w:rsid w:val="00953024"/>
    <w:rsid w:val="00953197"/>
    <w:rsid w:val="00953A0C"/>
    <w:rsid w:val="009540A1"/>
    <w:rsid w:val="00954316"/>
    <w:rsid w:val="0095473C"/>
    <w:rsid w:val="00954925"/>
    <w:rsid w:val="00954B67"/>
    <w:rsid w:val="0095569F"/>
    <w:rsid w:val="00955835"/>
    <w:rsid w:val="00955848"/>
    <w:rsid w:val="00955CB7"/>
    <w:rsid w:val="00955D6F"/>
    <w:rsid w:val="00956B4A"/>
    <w:rsid w:val="00956F11"/>
    <w:rsid w:val="009570AE"/>
    <w:rsid w:val="00957271"/>
    <w:rsid w:val="009579C9"/>
    <w:rsid w:val="00957CED"/>
    <w:rsid w:val="00957D16"/>
    <w:rsid w:val="00957E11"/>
    <w:rsid w:val="00960581"/>
    <w:rsid w:val="009605D5"/>
    <w:rsid w:val="00960F17"/>
    <w:rsid w:val="00960F3B"/>
    <w:rsid w:val="00961500"/>
    <w:rsid w:val="00961690"/>
    <w:rsid w:val="009620D9"/>
    <w:rsid w:val="00962255"/>
    <w:rsid w:val="00962CE9"/>
    <w:rsid w:val="00962E42"/>
    <w:rsid w:val="00963067"/>
    <w:rsid w:val="009630FC"/>
    <w:rsid w:val="0096314D"/>
    <w:rsid w:val="0096316A"/>
    <w:rsid w:val="009631B3"/>
    <w:rsid w:val="00963FEB"/>
    <w:rsid w:val="00964786"/>
    <w:rsid w:val="00964C11"/>
    <w:rsid w:val="00964C92"/>
    <w:rsid w:val="00964CF9"/>
    <w:rsid w:val="0096503F"/>
    <w:rsid w:val="00965AD0"/>
    <w:rsid w:val="00965E24"/>
    <w:rsid w:val="00965E63"/>
    <w:rsid w:val="00966045"/>
    <w:rsid w:val="0096634E"/>
    <w:rsid w:val="00966556"/>
    <w:rsid w:val="00966690"/>
    <w:rsid w:val="009669B4"/>
    <w:rsid w:val="00966E8E"/>
    <w:rsid w:val="0096799A"/>
    <w:rsid w:val="00967A3C"/>
    <w:rsid w:val="00967BCF"/>
    <w:rsid w:val="00970777"/>
    <w:rsid w:val="00970960"/>
    <w:rsid w:val="00970990"/>
    <w:rsid w:val="0097117B"/>
    <w:rsid w:val="00971369"/>
    <w:rsid w:val="00971656"/>
    <w:rsid w:val="009723BF"/>
    <w:rsid w:val="009723E8"/>
    <w:rsid w:val="009726B3"/>
    <w:rsid w:val="00972DA6"/>
    <w:rsid w:val="009731F4"/>
    <w:rsid w:val="009734CF"/>
    <w:rsid w:val="00973627"/>
    <w:rsid w:val="00973774"/>
    <w:rsid w:val="00973BA4"/>
    <w:rsid w:val="00973D18"/>
    <w:rsid w:val="00974212"/>
    <w:rsid w:val="0097471E"/>
    <w:rsid w:val="00974776"/>
    <w:rsid w:val="00974870"/>
    <w:rsid w:val="00974C29"/>
    <w:rsid w:val="00974FC4"/>
    <w:rsid w:val="009753CF"/>
    <w:rsid w:val="00975699"/>
    <w:rsid w:val="00975C5F"/>
    <w:rsid w:val="00975F01"/>
    <w:rsid w:val="00976A62"/>
    <w:rsid w:val="00976E28"/>
    <w:rsid w:val="00977010"/>
    <w:rsid w:val="00977237"/>
    <w:rsid w:val="00977451"/>
    <w:rsid w:val="00977477"/>
    <w:rsid w:val="00977CA8"/>
    <w:rsid w:val="00977D4C"/>
    <w:rsid w:val="0098010E"/>
    <w:rsid w:val="0098020D"/>
    <w:rsid w:val="009807CA"/>
    <w:rsid w:val="009808F1"/>
    <w:rsid w:val="00980ECB"/>
    <w:rsid w:val="009814C1"/>
    <w:rsid w:val="0098160C"/>
    <w:rsid w:val="0098173C"/>
    <w:rsid w:val="00981951"/>
    <w:rsid w:val="00981CE1"/>
    <w:rsid w:val="00981F1B"/>
    <w:rsid w:val="00981FE0"/>
    <w:rsid w:val="00982418"/>
    <w:rsid w:val="00982977"/>
    <w:rsid w:val="00983246"/>
    <w:rsid w:val="00983511"/>
    <w:rsid w:val="00983605"/>
    <w:rsid w:val="00983860"/>
    <w:rsid w:val="00983938"/>
    <w:rsid w:val="0098422A"/>
    <w:rsid w:val="009843A2"/>
    <w:rsid w:val="0098452D"/>
    <w:rsid w:val="009849AE"/>
    <w:rsid w:val="00984C01"/>
    <w:rsid w:val="009854D4"/>
    <w:rsid w:val="0098599C"/>
    <w:rsid w:val="00985BCA"/>
    <w:rsid w:val="00985DBB"/>
    <w:rsid w:val="00986024"/>
    <w:rsid w:val="0098647A"/>
    <w:rsid w:val="00986898"/>
    <w:rsid w:val="00986968"/>
    <w:rsid w:val="00986C85"/>
    <w:rsid w:val="00986E56"/>
    <w:rsid w:val="009873B0"/>
    <w:rsid w:val="00987D9F"/>
    <w:rsid w:val="00990185"/>
    <w:rsid w:val="009902E1"/>
    <w:rsid w:val="0099030F"/>
    <w:rsid w:val="00990619"/>
    <w:rsid w:val="00990CA0"/>
    <w:rsid w:val="00990D7F"/>
    <w:rsid w:val="0099111A"/>
    <w:rsid w:val="009911D9"/>
    <w:rsid w:val="00991327"/>
    <w:rsid w:val="00991734"/>
    <w:rsid w:val="009917F1"/>
    <w:rsid w:val="0099196B"/>
    <w:rsid w:val="00991B8B"/>
    <w:rsid w:val="00991BA5"/>
    <w:rsid w:val="009922E2"/>
    <w:rsid w:val="00992335"/>
    <w:rsid w:val="009924B2"/>
    <w:rsid w:val="00992568"/>
    <w:rsid w:val="009925A1"/>
    <w:rsid w:val="009925C9"/>
    <w:rsid w:val="00992C61"/>
    <w:rsid w:val="0099320D"/>
    <w:rsid w:val="009935A5"/>
    <w:rsid w:val="00993DDC"/>
    <w:rsid w:val="00993ED4"/>
    <w:rsid w:val="009946BE"/>
    <w:rsid w:val="00994AF3"/>
    <w:rsid w:val="00994ED3"/>
    <w:rsid w:val="00994FFE"/>
    <w:rsid w:val="009950F1"/>
    <w:rsid w:val="009951B1"/>
    <w:rsid w:val="009951C5"/>
    <w:rsid w:val="009952D4"/>
    <w:rsid w:val="00995769"/>
    <w:rsid w:val="0099588E"/>
    <w:rsid w:val="009962C2"/>
    <w:rsid w:val="009964D3"/>
    <w:rsid w:val="0099681E"/>
    <w:rsid w:val="0099688B"/>
    <w:rsid w:val="009969DE"/>
    <w:rsid w:val="00996B5D"/>
    <w:rsid w:val="00996D58"/>
    <w:rsid w:val="009975AC"/>
    <w:rsid w:val="00997B36"/>
    <w:rsid w:val="0099E1A9"/>
    <w:rsid w:val="009A02A6"/>
    <w:rsid w:val="009A03FF"/>
    <w:rsid w:val="009A0450"/>
    <w:rsid w:val="009A064C"/>
    <w:rsid w:val="009A1BB8"/>
    <w:rsid w:val="009A227E"/>
    <w:rsid w:val="009A2837"/>
    <w:rsid w:val="009A2B95"/>
    <w:rsid w:val="009A2C78"/>
    <w:rsid w:val="009A2DFD"/>
    <w:rsid w:val="009A3144"/>
    <w:rsid w:val="009A3613"/>
    <w:rsid w:val="009A3637"/>
    <w:rsid w:val="009A39A6"/>
    <w:rsid w:val="009A3AC2"/>
    <w:rsid w:val="009A3F5F"/>
    <w:rsid w:val="009A40B2"/>
    <w:rsid w:val="009A46FC"/>
    <w:rsid w:val="009A47DB"/>
    <w:rsid w:val="009A4ACD"/>
    <w:rsid w:val="009A528A"/>
    <w:rsid w:val="009A55D3"/>
    <w:rsid w:val="009A5C0E"/>
    <w:rsid w:val="009A5EFC"/>
    <w:rsid w:val="009A609D"/>
    <w:rsid w:val="009A6362"/>
    <w:rsid w:val="009A67E2"/>
    <w:rsid w:val="009A6B80"/>
    <w:rsid w:val="009A6DEC"/>
    <w:rsid w:val="009A7321"/>
    <w:rsid w:val="009A74B4"/>
    <w:rsid w:val="009A74BE"/>
    <w:rsid w:val="009A7814"/>
    <w:rsid w:val="009A782D"/>
    <w:rsid w:val="009A7BF4"/>
    <w:rsid w:val="009A7CAE"/>
    <w:rsid w:val="009B01AA"/>
    <w:rsid w:val="009B0215"/>
    <w:rsid w:val="009B03B3"/>
    <w:rsid w:val="009B058D"/>
    <w:rsid w:val="009B07CE"/>
    <w:rsid w:val="009B0E11"/>
    <w:rsid w:val="009B0EEE"/>
    <w:rsid w:val="009B117C"/>
    <w:rsid w:val="009B11D6"/>
    <w:rsid w:val="009B13D4"/>
    <w:rsid w:val="009B19FC"/>
    <w:rsid w:val="009B2191"/>
    <w:rsid w:val="009B23BD"/>
    <w:rsid w:val="009B2791"/>
    <w:rsid w:val="009B27B6"/>
    <w:rsid w:val="009B2B0E"/>
    <w:rsid w:val="009B32D9"/>
    <w:rsid w:val="009B43AA"/>
    <w:rsid w:val="009B4447"/>
    <w:rsid w:val="009B4B50"/>
    <w:rsid w:val="009B4C57"/>
    <w:rsid w:val="009B4C82"/>
    <w:rsid w:val="009B5039"/>
    <w:rsid w:val="009B513E"/>
    <w:rsid w:val="009B527E"/>
    <w:rsid w:val="009B56C2"/>
    <w:rsid w:val="009B5C10"/>
    <w:rsid w:val="009B61D0"/>
    <w:rsid w:val="009B6218"/>
    <w:rsid w:val="009B6841"/>
    <w:rsid w:val="009B6854"/>
    <w:rsid w:val="009B7076"/>
    <w:rsid w:val="009B70C0"/>
    <w:rsid w:val="009B7194"/>
    <w:rsid w:val="009B753A"/>
    <w:rsid w:val="009B7776"/>
    <w:rsid w:val="009B785A"/>
    <w:rsid w:val="009B7A9C"/>
    <w:rsid w:val="009B7B9D"/>
    <w:rsid w:val="009C0046"/>
    <w:rsid w:val="009C048D"/>
    <w:rsid w:val="009C064E"/>
    <w:rsid w:val="009C0BF8"/>
    <w:rsid w:val="009C110C"/>
    <w:rsid w:val="009C145B"/>
    <w:rsid w:val="009C159A"/>
    <w:rsid w:val="009C17DE"/>
    <w:rsid w:val="009C1E27"/>
    <w:rsid w:val="009C27E8"/>
    <w:rsid w:val="009C28D8"/>
    <w:rsid w:val="009C2CF2"/>
    <w:rsid w:val="009C2D94"/>
    <w:rsid w:val="009C3386"/>
    <w:rsid w:val="009C3447"/>
    <w:rsid w:val="009C34E7"/>
    <w:rsid w:val="009C352D"/>
    <w:rsid w:val="009C3A76"/>
    <w:rsid w:val="009C3C5B"/>
    <w:rsid w:val="009C3D41"/>
    <w:rsid w:val="009C3D91"/>
    <w:rsid w:val="009C4181"/>
    <w:rsid w:val="009C4402"/>
    <w:rsid w:val="009C460E"/>
    <w:rsid w:val="009C49E4"/>
    <w:rsid w:val="009C4D8E"/>
    <w:rsid w:val="009C4FEB"/>
    <w:rsid w:val="009C5210"/>
    <w:rsid w:val="009C56B8"/>
    <w:rsid w:val="009C5966"/>
    <w:rsid w:val="009C5B8E"/>
    <w:rsid w:val="009C5BE1"/>
    <w:rsid w:val="009C61C6"/>
    <w:rsid w:val="009C6905"/>
    <w:rsid w:val="009C692E"/>
    <w:rsid w:val="009C6B82"/>
    <w:rsid w:val="009C6C6C"/>
    <w:rsid w:val="009C6CBD"/>
    <w:rsid w:val="009C6CF4"/>
    <w:rsid w:val="009C72A2"/>
    <w:rsid w:val="009C7664"/>
    <w:rsid w:val="009C7855"/>
    <w:rsid w:val="009C78FF"/>
    <w:rsid w:val="009C7907"/>
    <w:rsid w:val="009C799C"/>
    <w:rsid w:val="009C7AA6"/>
    <w:rsid w:val="009C7CE2"/>
    <w:rsid w:val="009D05ED"/>
    <w:rsid w:val="009D0630"/>
    <w:rsid w:val="009D0F1A"/>
    <w:rsid w:val="009D1042"/>
    <w:rsid w:val="009D13D1"/>
    <w:rsid w:val="009D1534"/>
    <w:rsid w:val="009D17A0"/>
    <w:rsid w:val="009D18BC"/>
    <w:rsid w:val="009D1CAC"/>
    <w:rsid w:val="009D2169"/>
    <w:rsid w:val="009D23D3"/>
    <w:rsid w:val="009D256D"/>
    <w:rsid w:val="009D2705"/>
    <w:rsid w:val="009D2FBC"/>
    <w:rsid w:val="009D2FD1"/>
    <w:rsid w:val="009D3200"/>
    <w:rsid w:val="009D36A3"/>
    <w:rsid w:val="009D370B"/>
    <w:rsid w:val="009D39DD"/>
    <w:rsid w:val="009D3BEA"/>
    <w:rsid w:val="009D3C3C"/>
    <w:rsid w:val="009D3DB9"/>
    <w:rsid w:val="009D3E12"/>
    <w:rsid w:val="009D4937"/>
    <w:rsid w:val="009D50A3"/>
    <w:rsid w:val="009D5916"/>
    <w:rsid w:val="009D59CD"/>
    <w:rsid w:val="009D5A85"/>
    <w:rsid w:val="009D5EC1"/>
    <w:rsid w:val="009D601B"/>
    <w:rsid w:val="009D6460"/>
    <w:rsid w:val="009D6AE4"/>
    <w:rsid w:val="009D6B56"/>
    <w:rsid w:val="009D7373"/>
    <w:rsid w:val="009D7A7D"/>
    <w:rsid w:val="009E00FA"/>
    <w:rsid w:val="009E00FE"/>
    <w:rsid w:val="009E0248"/>
    <w:rsid w:val="009E031E"/>
    <w:rsid w:val="009E0833"/>
    <w:rsid w:val="009E0C12"/>
    <w:rsid w:val="009E0ED7"/>
    <w:rsid w:val="009E10AF"/>
    <w:rsid w:val="009E1271"/>
    <w:rsid w:val="009E13BD"/>
    <w:rsid w:val="009E15CB"/>
    <w:rsid w:val="009E1603"/>
    <w:rsid w:val="009E1769"/>
    <w:rsid w:val="009E197C"/>
    <w:rsid w:val="009E19C1"/>
    <w:rsid w:val="009E1CAC"/>
    <w:rsid w:val="009E1EEC"/>
    <w:rsid w:val="009E27B5"/>
    <w:rsid w:val="009E287B"/>
    <w:rsid w:val="009E28A4"/>
    <w:rsid w:val="009E2B64"/>
    <w:rsid w:val="009E2CBB"/>
    <w:rsid w:val="009E324E"/>
    <w:rsid w:val="009E33A0"/>
    <w:rsid w:val="009E3505"/>
    <w:rsid w:val="009E3531"/>
    <w:rsid w:val="009E35BD"/>
    <w:rsid w:val="009E35D4"/>
    <w:rsid w:val="009E35DB"/>
    <w:rsid w:val="009E4227"/>
    <w:rsid w:val="009E42B6"/>
    <w:rsid w:val="009E484C"/>
    <w:rsid w:val="009E4AFE"/>
    <w:rsid w:val="009E4DE1"/>
    <w:rsid w:val="009E50EC"/>
    <w:rsid w:val="009E5329"/>
    <w:rsid w:val="009E5900"/>
    <w:rsid w:val="009E5B27"/>
    <w:rsid w:val="009E5C7A"/>
    <w:rsid w:val="009E5EF5"/>
    <w:rsid w:val="009E6541"/>
    <w:rsid w:val="009E6B4E"/>
    <w:rsid w:val="009E6D24"/>
    <w:rsid w:val="009E726A"/>
    <w:rsid w:val="009E7438"/>
    <w:rsid w:val="009E7A10"/>
    <w:rsid w:val="009F0111"/>
    <w:rsid w:val="009F042E"/>
    <w:rsid w:val="009F05BD"/>
    <w:rsid w:val="009F118C"/>
    <w:rsid w:val="009F19C1"/>
    <w:rsid w:val="009F1B0A"/>
    <w:rsid w:val="009F1B6E"/>
    <w:rsid w:val="009F1D2D"/>
    <w:rsid w:val="009F2050"/>
    <w:rsid w:val="009F2184"/>
    <w:rsid w:val="009F2409"/>
    <w:rsid w:val="009F267B"/>
    <w:rsid w:val="009F2BCD"/>
    <w:rsid w:val="009F3C0A"/>
    <w:rsid w:val="009F3C3F"/>
    <w:rsid w:val="009F410E"/>
    <w:rsid w:val="009F4CE4"/>
    <w:rsid w:val="009F4ECD"/>
    <w:rsid w:val="009F50C6"/>
    <w:rsid w:val="009F52CE"/>
    <w:rsid w:val="009F5358"/>
    <w:rsid w:val="009F5653"/>
    <w:rsid w:val="009F5ADD"/>
    <w:rsid w:val="009F5E89"/>
    <w:rsid w:val="009F60F2"/>
    <w:rsid w:val="009F60FC"/>
    <w:rsid w:val="009F62CE"/>
    <w:rsid w:val="009F64A4"/>
    <w:rsid w:val="009F654E"/>
    <w:rsid w:val="009F70CC"/>
    <w:rsid w:val="009F7164"/>
    <w:rsid w:val="009F7B07"/>
    <w:rsid w:val="009F7EB7"/>
    <w:rsid w:val="00A000D5"/>
    <w:rsid w:val="00A002BA"/>
    <w:rsid w:val="00A002CF"/>
    <w:rsid w:val="00A00553"/>
    <w:rsid w:val="00A00D31"/>
    <w:rsid w:val="00A00E4C"/>
    <w:rsid w:val="00A015E2"/>
    <w:rsid w:val="00A01706"/>
    <w:rsid w:val="00A018B0"/>
    <w:rsid w:val="00A018DA"/>
    <w:rsid w:val="00A01C6E"/>
    <w:rsid w:val="00A01F15"/>
    <w:rsid w:val="00A021FC"/>
    <w:rsid w:val="00A0243A"/>
    <w:rsid w:val="00A027CE"/>
    <w:rsid w:val="00A027E7"/>
    <w:rsid w:val="00A02B4C"/>
    <w:rsid w:val="00A02B8F"/>
    <w:rsid w:val="00A02BEC"/>
    <w:rsid w:val="00A02CB0"/>
    <w:rsid w:val="00A02F0F"/>
    <w:rsid w:val="00A02FFF"/>
    <w:rsid w:val="00A03053"/>
    <w:rsid w:val="00A03737"/>
    <w:rsid w:val="00A03925"/>
    <w:rsid w:val="00A03A5D"/>
    <w:rsid w:val="00A03AB5"/>
    <w:rsid w:val="00A03BBA"/>
    <w:rsid w:val="00A03F1F"/>
    <w:rsid w:val="00A040C6"/>
    <w:rsid w:val="00A0422C"/>
    <w:rsid w:val="00A04423"/>
    <w:rsid w:val="00A0455D"/>
    <w:rsid w:val="00A04953"/>
    <w:rsid w:val="00A04ABA"/>
    <w:rsid w:val="00A04E15"/>
    <w:rsid w:val="00A0524C"/>
    <w:rsid w:val="00A05288"/>
    <w:rsid w:val="00A052F2"/>
    <w:rsid w:val="00A057E5"/>
    <w:rsid w:val="00A05929"/>
    <w:rsid w:val="00A05ADC"/>
    <w:rsid w:val="00A05F87"/>
    <w:rsid w:val="00A05F8C"/>
    <w:rsid w:val="00A066BC"/>
    <w:rsid w:val="00A06A54"/>
    <w:rsid w:val="00A06B1C"/>
    <w:rsid w:val="00A06DA8"/>
    <w:rsid w:val="00A0765F"/>
    <w:rsid w:val="00A0781E"/>
    <w:rsid w:val="00A0795A"/>
    <w:rsid w:val="00A07B40"/>
    <w:rsid w:val="00A07EFB"/>
    <w:rsid w:val="00A1010C"/>
    <w:rsid w:val="00A1037E"/>
    <w:rsid w:val="00A10894"/>
    <w:rsid w:val="00A10ADF"/>
    <w:rsid w:val="00A10B17"/>
    <w:rsid w:val="00A10BEF"/>
    <w:rsid w:val="00A10C95"/>
    <w:rsid w:val="00A10E20"/>
    <w:rsid w:val="00A112B1"/>
    <w:rsid w:val="00A11511"/>
    <w:rsid w:val="00A11716"/>
    <w:rsid w:val="00A118EE"/>
    <w:rsid w:val="00A11C3C"/>
    <w:rsid w:val="00A12656"/>
    <w:rsid w:val="00A126E2"/>
    <w:rsid w:val="00A12784"/>
    <w:rsid w:val="00A12BBC"/>
    <w:rsid w:val="00A12CFD"/>
    <w:rsid w:val="00A13015"/>
    <w:rsid w:val="00A131A1"/>
    <w:rsid w:val="00A13458"/>
    <w:rsid w:val="00A13BF4"/>
    <w:rsid w:val="00A13DB6"/>
    <w:rsid w:val="00A14391"/>
    <w:rsid w:val="00A14994"/>
    <w:rsid w:val="00A14A19"/>
    <w:rsid w:val="00A15413"/>
    <w:rsid w:val="00A154E5"/>
    <w:rsid w:val="00A15B9D"/>
    <w:rsid w:val="00A15D1E"/>
    <w:rsid w:val="00A15E4A"/>
    <w:rsid w:val="00A162E0"/>
    <w:rsid w:val="00A165A6"/>
    <w:rsid w:val="00A16659"/>
    <w:rsid w:val="00A16A2C"/>
    <w:rsid w:val="00A16E52"/>
    <w:rsid w:val="00A17949"/>
    <w:rsid w:val="00A179C1"/>
    <w:rsid w:val="00A17A2C"/>
    <w:rsid w:val="00A20BEE"/>
    <w:rsid w:val="00A20D22"/>
    <w:rsid w:val="00A21210"/>
    <w:rsid w:val="00A2140E"/>
    <w:rsid w:val="00A2158E"/>
    <w:rsid w:val="00A221E0"/>
    <w:rsid w:val="00A22368"/>
    <w:rsid w:val="00A22691"/>
    <w:rsid w:val="00A2282C"/>
    <w:rsid w:val="00A22A7D"/>
    <w:rsid w:val="00A22ADC"/>
    <w:rsid w:val="00A22C6F"/>
    <w:rsid w:val="00A22D01"/>
    <w:rsid w:val="00A23136"/>
    <w:rsid w:val="00A23147"/>
    <w:rsid w:val="00A23437"/>
    <w:rsid w:val="00A236C0"/>
    <w:rsid w:val="00A23A23"/>
    <w:rsid w:val="00A23ACD"/>
    <w:rsid w:val="00A23E31"/>
    <w:rsid w:val="00A24797"/>
    <w:rsid w:val="00A2481F"/>
    <w:rsid w:val="00A24A61"/>
    <w:rsid w:val="00A24D95"/>
    <w:rsid w:val="00A24EFE"/>
    <w:rsid w:val="00A25364"/>
    <w:rsid w:val="00A258B5"/>
    <w:rsid w:val="00A25A21"/>
    <w:rsid w:val="00A25A91"/>
    <w:rsid w:val="00A25D42"/>
    <w:rsid w:val="00A26604"/>
    <w:rsid w:val="00A27077"/>
    <w:rsid w:val="00A27567"/>
    <w:rsid w:val="00A276E9"/>
    <w:rsid w:val="00A27E96"/>
    <w:rsid w:val="00A30BAB"/>
    <w:rsid w:val="00A30D70"/>
    <w:rsid w:val="00A30FE0"/>
    <w:rsid w:val="00A3187D"/>
    <w:rsid w:val="00A31DAB"/>
    <w:rsid w:val="00A31F0D"/>
    <w:rsid w:val="00A31FFA"/>
    <w:rsid w:val="00A322BF"/>
    <w:rsid w:val="00A322FF"/>
    <w:rsid w:val="00A32334"/>
    <w:rsid w:val="00A32A56"/>
    <w:rsid w:val="00A32FD7"/>
    <w:rsid w:val="00A3314D"/>
    <w:rsid w:val="00A3346C"/>
    <w:rsid w:val="00A33BD0"/>
    <w:rsid w:val="00A34516"/>
    <w:rsid w:val="00A34728"/>
    <w:rsid w:val="00A349D9"/>
    <w:rsid w:val="00A34DE3"/>
    <w:rsid w:val="00A34FB3"/>
    <w:rsid w:val="00A35584"/>
    <w:rsid w:val="00A3582E"/>
    <w:rsid w:val="00A35A74"/>
    <w:rsid w:val="00A35CFD"/>
    <w:rsid w:val="00A35D49"/>
    <w:rsid w:val="00A35FE4"/>
    <w:rsid w:val="00A35FFE"/>
    <w:rsid w:val="00A3658B"/>
    <w:rsid w:val="00A366F0"/>
    <w:rsid w:val="00A367F3"/>
    <w:rsid w:val="00A3690B"/>
    <w:rsid w:val="00A369A0"/>
    <w:rsid w:val="00A369BB"/>
    <w:rsid w:val="00A3754A"/>
    <w:rsid w:val="00A37ABF"/>
    <w:rsid w:val="00A37BF4"/>
    <w:rsid w:val="00A37C63"/>
    <w:rsid w:val="00A40039"/>
    <w:rsid w:val="00A403B2"/>
    <w:rsid w:val="00A4079C"/>
    <w:rsid w:val="00A40FCF"/>
    <w:rsid w:val="00A40FFE"/>
    <w:rsid w:val="00A411BB"/>
    <w:rsid w:val="00A41458"/>
    <w:rsid w:val="00A41718"/>
    <w:rsid w:val="00A41868"/>
    <w:rsid w:val="00A41BC7"/>
    <w:rsid w:val="00A41F75"/>
    <w:rsid w:val="00A42017"/>
    <w:rsid w:val="00A4207E"/>
    <w:rsid w:val="00A42B77"/>
    <w:rsid w:val="00A4354E"/>
    <w:rsid w:val="00A43552"/>
    <w:rsid w:val="00A437D8"/>
    <w:rsid w:val="00A43CD4"/>
    <w:rsid w:val="00A43E34"/>
    <w:rsid w:val="00A43E45"/>
    <w:rsid w:val="00A43E9E"/>
    <w:rsid w:val="00A44CB8"/>
    <w:rsid w:val="00A45025"/>
    <w:rsid w:val="00A450A2"/>
    <w:rsid w:val="00A45A75"/>
    <w:rsid w:val="00A4603E"/>
    <w:rsid w:val="00A46597"/>
    <w:rsid w:val="00A46631"/>
    <w:rsid w:val="00A46686"/>
    <w:rsid w:val="00A46C21"/>
    <w:rsid w:val="00A4730F"/>
    <w:rsid w:val="00A478DD"/>
    <w:rsid w:val="00A47A24"/>
    <w:rsid w:val="00A50088"/>
    <w:rsid w:val="00A50622"/>
    <w:rsid w:val="00A50700"/>
    <w:rsid w:val="00A50A84"/>
    <w:rsid w:val="00A50F80"/>
    <w:rsid w:val="00A513B6"/>
    <w:rsid w:val="00A5146B"/>
    <w:rsid w:val="00A5151E"/>
    <w:rsid w:val="00A51626"/>
    <w:rsid w:val="00A517EF"/>
    <w:rsid w:val="00A517F4"/>
    <w:rsid w:val="00A51AC3"/>
    <w:rsid w:val="00A52396"/>
    <w:rsid w:val="00A52878"/>
    <w:rsid w:val="00A52E22"/>
    <w:rsid w:val="00A530EB"/>
    <w:rsid w:val="00A53302"/>
    <w:rsid w:val="00A5389D"/>
    <w:rsid w:val="00A53925"/>
    <w:rsid w:val="00A53BEF"/>
    <w:rsid w:val="00A53EAE"/>
    <w:rsid w:val="00A54087"/>
    <w:rsid w:val="00A542DB"/>
    <w:rsid w:val="00A5438D"/>
    <w:rsid w:val="00A544DA"/>
    <w:rsid w:val="00A54A0F"/>
    <w:rsid w:val="00A54D6A"/>
    <w:rsid w:val="00A553D7"/>
    <w:rsid w:val="00A554F4"/>
    <w:rsid w:val="00A571D6"/>
    <w:rsid w:val="00A576A5"/>
    <w:rsid w:val="00A57ED6"/>
    <w:rsid w:val="00A57FC7"/>
    <w:rsid w:val="00A609E6"/>
    <w:rsid w:val="00A60AA7"/>
    <w:rsid w:val="00A60B60"/>
    <w:rsid w:val="00A60B6F"/>
    <w:rsid w:val="00A616E9"/>
    <w:rsid w:val="00A6184D"/>
    <w:rsid w:val="00A61E42"/>
    <w:rsid w:val="00A621DC"/>
    <w:rsid w:val="00A62296"/>
    <w:rsid w:val="00A624AF"/>
    <w:rsid w:val="00A62955"/>
    <w:rsid w:val="00A6304A"/>
    <w:rsid w:val="00A632AB"/>
    <w:rsid w:val="00A63BD7"/>
    <w:rsid w:val="00A63D71"/>
    <w:rsid w:val="00A6417B"/>
    <w:rsid w:val="00A646B9"/>
    <w:rsid w:val="00A6498E"/>
    <w:rsid w:val="00A64DD4"/>
    <w:rsid w:val="00A64E57"/>
    <w:rsid w:val="00A653D5"/>
    <w:rsid w:val="00A65AB8"/>
    <w:rsid w:val="00A65CAC"/>
    <w:rsid w:val="00A65E87"/>
    <w:rsid w:val="00A667A2"/>
    <w:rsid w:val="00A66862"/>
    <w:rsid w:val="00A66A0D"/>
    <w:rsid w:val="00A66C25"/>
    <w:rsid w:val="00A67BE1"/>
    <w:rsid w:val="00A67C44"/>
    <w:rsid w:val="00A67F82"/>
    <w:rsid w:val="00A70521"/>
    <w:rsid w:val="00A7085D"/>
    <w:rsid w:val="00A70B74"/>
    <w:rsid w:val="00A70EEB"/>
    <w:rsid w:val="00A71286"/>
    <w:rsid w:val="00A7186A"/>
    <w:rsid w:val="00A71957"/>
    <w:rsid w:val="00A71BB3"/>
    <w:rsid w:val="00A71CA1"/>
    <w:rsid w:val="00A71CED"/>
    <w:rsid w:val="00A7200A"/>
    <w:rsid w:val="00A72186"/>
    <w:rsid w:val="00A721B8"/>
    <w:rsid w:val="00A722CB"/>
    <w:rsid w:val="00A725FC"/>
    <w:rsid w:val="00A72660"/>
    <w:rsid w:val="00A727FE"/>
    <w:rsid w:val="00A7293D"/>
    <w:rsid w:val="00A72BBE"/>
    <w:rsid w:val="00A72CD2"/>
    <w:rsid w:val="00A7309F"/>
    <w:rsid w:val="00A730C5"/>
    <w:rsid w:val="00A73167"/>
    <w:rsid w:val="00A734B5"/>
    <w:rsid w:val="00A7357C"/>
    <w:rsid w:val="00A735C1"/>
    <w:rsid w:val="00A735CC"/>
    <w:rsid w:val="00A736D6"/>
    <w:rsid w:val="00A73952"/>
    <w:rsid w:val="00A73D53"/>
    <w:rsid w:val="00A747F3"/>
    <w:rsid w:val="00A7481E"/>
    <w:rsid w:val="00A74830"/>
    <w:rsid w:val="00A74F0F"/>
    <w:rsid w:val="00A75218"/>
    <w:rsid w:val="00A7589B"/>
    <w:rsid w:val="00A758D7"/>
    <w:rsid w:val="00A75DDE"/>
    <w:rsid w:val="00A75F58"/>
    <w:rsid w:val="00A76063"/>
    <w:rsid w:val="00A76475"/>
    <w:rsid w:val="00A76AF9"/>
    <w:rsid w:val="00A77047"/>
    <w:rsid w:val="00A77281"/>
    <w:rsid w:val="00A77358"/>
    <w:rsid w:val="00A776B5"/>
    <w:rsid w:val="00A77770"/>
    <w:rsid w:val="00A77A88"/>
    <w:rsid w:val="00A77B4B"/>
    <w:rsid w:val="00A800F5"/>
    <w:rsid w:val="00A80876"/>
    <w:rsid w:val="00A80E31"/>
    <w:rsid w:val="00A811AF"/>
    <w:rsid w:val="00A8145E"/>
    <w:rsid w:val="00A81ACD"/>
    <w:rsid w:val="00A81B76"/>
    <w:rsid w:val="00A81D12"/>
    <w:rsid w:val="00A81EF4"/>
    <w:rsid w:val="00A82353"/>
    <w:rsid w:val="00A824B9"/>
    <w:rsid w:val="00A8261E"/>
    <w:rsid w:val="00A82719"/>
    <w:rsid w:val="00A82A61"/>
    <w:rsid w:val="00A83646"/>
    <w:rsid w:val="00A83655"/>
    <w:rsid w:val="00A83A64"/>
    <w:rsid w:val="00A83B9C"/>
    <w:rsid w:val="00A83E29"/>
    <w:rsid w:val="00A84106"/>
    <w:rsid w:val="00A84167"/>
    <w:rsid w:val="00A84371"/>
    <w:rsid w:val="00A844DB"/>
    <w:rsid w:val="00A849D5"/>
    <w:rsid w:val="00A84D28"/>
    <w:rsid w:val="00A85078"/>
    <w:rsid w:val="00A852A0"/>
    <w:rsid w:val="00A85493"/>
    <w:rsid w:val="00A85549"/>
    <w:rsid w:val="00A85604"/>
    <w:rsid w:val="00A8567B"/>
    <w:rsid w:val="00A85A26"/>
    <w:rsid w:val="00A85D25"/>
    <w:rsid w:val="00A85E9D"/>
    <w:rsid w:val="00A85F11"/>
    <w:rsid w:val="00A86374"/>
    <w:rsid w:val="00A86FBE"/>
    <w:rsid w:val="00A87294"/>
    <w:rsid w:val="00A87448"/>
    <w:rsid w:val="00A87E61"/>
    <w:rsid w:val="00A9012F"/>
    <w:rsid w:val="00A90157"/>
    <w:rsid w:val="00A901D0"/>
    <w:rsid w:val="00A90450"/>
    <w:rsid w:val="00A908BB"/>
    <w:rsid w:val="00A90920"/>
    <w:rsid w:val="00A90BA5"/>
    <w:rsid w:val="00A90D7D"/>
    <w:rsid w:val="00A90F67"/>
    <w:rsid w:val="00A91106"/>
    <w:rsid w:val="00A91F12"/>
    <w:rsid w:val="00A92109"/>
    <w:rsid w:val="00A93080"/>
    <w:rsid w:val="00A93459"/>
    <w:rsid w:val="00A93905"/>
    <w:rsid w:val="00A94C4F"/>
    <w:rsid w:val="00A94E6D"/>
    <w:rsid w:val="00A94ED7"/>
    <w:rsid w:val="00A95162"/>
    <w:rsid w:val="00A9518A"/>
    <w:rsid w:val="00A95238"/>
    <w:rsid w:val="00A95540"/>
    <w:rsid w:val="00A95C55"/>
    <w:rsid w:val="00A95C88"/>
    <w:rsid w:val="00A96093"/>
    <w:rsid w:val="00A961B7"/>
    <w:rsid w:val="00A96BCA"/>
    <w:rsid w:val="00A97A13"/>
    <w:rsid w:val="00AA0341"/>
    <w:rsid w:val="00AA0650"/>
    <w:rsid w:val="00AA0685"/>
    <w:rsid w:val="00AA0F44"/>
    <w:rsid w:val="00AA15AC"/>
    <w:rsid w:val="00AA1805"/>
    <w:rsid w:val="00AA1906"/>
    <w:rsid w:val="00AA1ADE"/>
    <w:rsid w:val="00AA1DC5"/>
    <w:rsid w:val="00AA25F4"/>
    <w:rsid w:val="00AA2B8E"/>
    <w:rsid w:val="00AA338D"/>
    <w:rsid w:val="00AA3EDC"/>
    <w:rsid w:val="00AA4071"/>
    <w:rsid w:val="00AA42C5"/>
    <w:rsid w:val="00AA4426"/>
    <w:rsid w:val="00AA48A8"/>
    <w:rsid w:val="00AA4AF3"/>
    <w:rsid w:val="00AA4BEA"/>
    <w:rsid w:val="00AA4DE0"/>
    <w:rsid w:val="00AA55D0"/>
    <w:rsid w:val="00AA565E"/>
    <w:rsid w:val="00AA5A27"/>
    <w:rsid w:val="00AA5C0A"/>
    <w:rsid w:val="00AA6A1C"/>
    <w:rsid w:val="00AA6B42"/>
    <w:rsid w:val="00AA6BCE"/>
    <w:rsid w:val="00AA6D7D"/>
    <w:rsid w:val="00AA6E07"/>
    <w:rsid w:val="00AA709C"/>
    <w:rsid w:val="00AA7F21"/>
    <w:rsid w:val="00AB060E"/>
    <w:rsid w:val="00AB0983"/>
    <w:rsid w:val="00AB0A85"/>
    <w:rsid w:val="00AB0AF7"/>
    <w:rsid w:val="00AB0C23"/>
    <w:rsid w:val="00AB11C5"/>
    <w:rsid w:val="00AB125B"/>
    <w:rsid w:val="00AB1A56"/>
    <w:rsid w:val="00AB255D"/>
    <w:rsid w:val="00AB259C"/>
    <w:rsid w:val="00AB2980"/>
    <w:rsid w:val="00AB2B90"/>
    <w:rsid w:val="00AB2C66"/>
    <w:rsid w:val="00AB2DDB"/>
    <w:rsid w:val="00AB30A7"/>
    <w:rsid w:val="00AB33E1"/>
    <w:rsid w:val="00AB37E7"/>
    <w:rsid w:val="00AB388D"/>
    <w:rsid w:val="00AB3A0B"/>
    <w:rsid w:val="00AB3AC2"/>
    <w:rsid w:val="00AB3C72"/>
    <w:rsid w:val="00AB3E05"/>
    <w:rsid w:val="00AB40AE"/>
    <w:rsid w:val="00AB4358"/>
    <w:rsid w:val="00AB478C"/>
    <w:rsid w:val="00AB48BB"/>
    <w:rsid w:val="00AB56FA"/>
    <w:rsid w:val="00AB5AB9"/>
    <w:rsid w:val="00AB6454"/>
    <w:rsid w:val="00AB653A"/>
    <w:rsid w:val="00AB698A"/>
    <w:rsid w:val="00AB6A60"/>
    <w:rsid w:val="00AB6CDA"/>
    <w:rsid w:val="00AB6EF3"/>
    <w:rsid w:val="00AB6F48"/>
    <w:rsid w:val="00AB70A2"/>
    <w:rsid w:val="00AB70B8"/>
    <w:rsid w:val="00AB74DC"/>
    <w:rsid w:val="00AB7548"/>
    <w:rsid w:val="00AB76C2"/>
    <w:rsid w:val="00AB7917"/>
    <w:rsid w:val="00AB7D94"/>
    <w:rsid w:val="00AB7E46"/>
    <w:rsid w:val="00AB7F0B"/>
    <w:rsid w:val="00AC05B8"/>
    <w:rsid w:val="00AC08BA"/>
    <w:rsid w:val="00AC091B"/>
    <w:rsid w:val="00AC0BA7"/>
    <w:rsid w:val="00AC0CF2"/>
    <w:rsid w:val="00AC1043"/>
    <w:rsid w:val="00AC116B"/>
    <w:rsid w:val="00AC16D1"/>
    <w:rsid w:val="00AC194D"/>
    <w:rsid w:val="00AC1994"/>
    <w:rsid w:val="00AC19F5"/>
    <w:rsid w:val="00AC1F87"/>
    <w:rsid w:val="00AC28FC"/>
    <w:rsid w:val="00AC3516"/>
    <w:rsid w:val="00AC39B1"/>
    <w:rsid w:val="00AC3ADF"/>
    <w:rsid w:val="00AC4165"/>
    <w:rsid w:val="00AC424B"/>
    <w:rsid w:val="00AC4407"/>
    <w:rsid w:val="00AC48DF"/>
    <w:rsid w:val="00AC4A7B"/>
    <w:rsid w:val="00AC4B33"/>
    <w:rsid w:val="00AC4D13"/>
    <w:rsid w:val="00AC4D94"/>
    <w:rsid w:val="00AC4EEA"/>
    <w:rsid w:val="00AC4F99"/>
    <w:rsid w:val="00AC539E"/>
    <w:rsid w:val="00AC552A"/>
    <w:rsid w:val="00AC5823"/>
    <w:rsid w:val="00AC68A7"/>
    <w:rsid w:val="00AC6BAE"/>
    <w:rsid w:val="00AC73E7"/>
    <w:rsid w:val="00AC75A9"/>
    <w:rsid w:val="00AC78C4"/>
    <w:rsid w:val="00AC7EB4"/>
    <w:rsid w:val="00AC7F25"/>
    <w:rsid w:val="00AD018E"/>
    <w:rsid w:val="00AD0698"/>
    <w:rsid w:val="00AD0899"/>
    <w:rsid w:val="00AD0E0C"/>
    <w:rsid w:val="00AD0E16"/>
    <w:rsid w:val="00AD1576"/>
    <w:rsid w:val="00AD2017"/>
    <w:rsid w:val="00AD235C"/>
    <w:rsid w:val="00AD2AD6"/>
    <w:rsid w:val="00AD2CEB"/>
    <w:rsid w:val="00AD3928"/>
    <w:rsid w:val="00AD3B3A"/>
    <w:rsid w:val="00AD42C7"/>
    <w:rsid w:val="00AD45BA"/>
    <w:rsid w:val="00AD467D"/>
    <w:rsid w:val="00AD4D00"/>
    <w:rsid w:val="00AD58C2"/>
    <w:rsid w:val="00AD5A92"/>
    <w:rsid w:val="00AD5F0F"/>
    <w:rsid w:val="00AD601B"/>
    <w:rsid w:val="00AD6603"/>
    <w:rsid w:val="00AD66A9"/>
    <w:rsid w:val="00AD6813"/>
    <w:rsid w:val="00AD6E83"/>
    <w:rsid w:val="00AD6E8A"/>
    <w:rsid w:val="00AD7455"/>
    <w:rsid w:val="00AD7722"/>
    <w:rsid w:val="00AD7A2D"/>
    <w:rsid w:val="00AD7A96"/>
    <w:rsid w:val="00AD7D23"/>
    <w:rsid w:val="00AD7D87"/>
    <w:rsid w:val="00AE004A"/>
    <w:rsid w:val="00AE00F1"/>
    <w:rsid w:val="00AE069B"/>
    <w:rsid w:val="00AE0B2E"/>
    <w:rsid w:val="00AE0DF1"/>
    <w:rsid w:val="00AE0FCC"/>
    <w:rsid w:val="00AE13B4"/>
    <w:rsid w:val="00AE13B6"/>
    <w:rsid w:val="00AE1AAF"/>
    <w:rsid w:val="00AE1D43"/>
    <w:rsid w:val="00AE1EDD"/>
    <w:rsid w:val="00AE1FF5"/>
    <w:rsid w:val="00AE238D"/>
    <w:rsid w:val="00AE23F8"/>
    <w:rsid w:val="00AE2DEC"/>
    <w:rsid w:val="00AE3347"/>
    <w:rsid w:val="00AE342C"/>
    <w:rsid w:val="00AE343B"/>
    <w:rsid w:val="00AE35FD"/>
    <w:rsid w:val="00AE3ED2"/>
    <w:rsid w:val="00AE40FC"/>
    <w:rsid w:val="00AE424E"/>
    <w:rsid w:val="00AE4530"/>
    <w:rsid w:val="00AE48C4"/>
    <w:rsid w:val="00AE4A03"/>
    <w:rsid w:val="00AE4AA0"/>
    <w:rsid w:val="00AE4AE7"/>
    <w:rsid w:val="00AE55D3"/>
    <w:rsid w:val="00AE57E3"/>
    <w:rsid w:val="00AE582F"/>
    <w:rsid w:val="00AE5993"/>
    <w:rsid w:val="00AE5A32"/>
    <w:rsid w:val="00AE5E37"/>
    <w:rsid w:val="00AE634B"/>
    <w:rsid w:val="00AE63B7"/>
    <w:rsid w:val="00AE67B6"/>
    <w:rsid w:val="00AE6836"/>
    <w:rsid w:val="00AE6920"/>
    <w:rsid w:val="00AE702D"/>
    <w:rsid w:val="00AE7182"/>
    <w:rsid w:val="00AE7EE0"/>
    <w:rsid w:val="00AE7F59"/>
    <w:rsid w:val="00AE7FCC"/>
    <w:rsid w:val="00AF036F"/>
    <w:rsid w:val="00AF0525"/>
    <w:rsid w:val="00AF077C"/>
    <w:rsid w:val="00AF0A29"/>
    <w:rsid w:val="00AF0F78"/>
    <w:rsid w:val="00AF130C"/>
    <w:rsid w:val="00AF154D"/>
    <w:rsid w:val="00AF16B4"/>
    <w:rsid w:val="00AF1B26"/>
    <w:rsid w:val="00AF1E0D"/>
    <w:rsid w:val="00AF1F07"/>
    <w:rsid w:val="00AF1FF5"/>
    <w:rsid w:val="00AF2A06"/>
    <w:rsid w:val="00AF31AD"/>
    <w:rsid w:val="00AF32E0"/>
    <w:rsid w:val="00AF32F8"/>
    <w:rsid w:val="00AF3411"/>
    <w:rsid w:val="00AF3422"/>
    <w:rsid w:val="00AF3485"/>
    <w:rsid w:val="00AF4435"/>
    <w:rsid w:val="00AF4503"/>
    <w:rsid w:val="00AF478A"/>
    <w:rsid w:val="00AF4BEB"/>
    <w:rsid w:val="00AF4F9E"/>
    <w:rsid w:val="00AF52EE"/>
    <w:rsid w:val="00AF5351"/>
    <w:rsid w:val="00AF573B"/>
    <w:rsid w:val="00AF59ED"/>
    <w:rsid w:val="00AF5A19"/>
    <w:rsid w:val="00AF5DCB"/>
    <w:rsid w:val="00AF5E83"/>
    <w:rsid w:val="00AF60EA"/>
    <w:rsid w:val="00AF61FF"/>
    <w:rsid w:val="00AF63A0"/>
    <w:rsid w:val="00AF6BCE"/>
    <w:rsid w:val="00AF6FE6"/>
    <w:rsid w:val="00AF7824"/>
    <w:rsid w:val="00AF790D"/>
    <w:rsid w:val="00AF7982"/>
    <w:rsid w:val="00AF7B30"/>
    <w:rsid w:val="00AF7BC9"/>
    <w:rsid w:val="00B00570"/>
    <w:rsid w:val="00B010D2"/>
    <w:rsid w:val="00B013EB"/>
    <w:rsid w:val="00B013EC"/>
    <w:rsid w:val="00B01593"/>
    <w:rsid w:val="00B01912"/>
    <w:rsid w:val="00B01BC7"/>
    <w:rsid w:val="00B01D6C"/>
    <w:rsid w:val="00B02A59"/>
    <w:rsid w:val="00B02CA5"/>
    <w:rsid w:val="00B030BE"/>
    <w:rsid w:val="00B03198"/>
    <w:rsid w:val="00B03EB2"/>
    <w:rsid w:val="00B04213"/>
    <w:rsid w:val="00B045EB"/>
    <w:rsid w:val="00B058E7"/>
    <w:rsid w:val="00B05B5C"/>
    <w:rsid w:val="00B05BA2"/>
    <w:rsid w:val="00B05C36"/>
    <w:rsid w:val="00B05D62"/>
    <w:rsid w:val="00B06035"/>
    <w:rsid w:val="00B061F3"/>
    <w:rsid w:val="00B06384"/>
    <w:rsid w:val="00B065BC"/>
    <w:rsid w:val="00B06610"/>
    <w:rsid w:val="00B0679A"/>
    <w:rsid w:val="00B06B04"/>
    <w:rsid w:val="00B06CCA"/>
    <w:rsid w:val="00B06D8C"/>
    <w:rsid w:val="00B0703D"/>
    <w:rsid w:val="00B07A95"/>
    <w:rsid w:val="00B1014E"/>
    <w:rsid w:val="00B10395"/>
    <w:rsid w:val="00B103E4"/>
    <w:rsid w:val="00B105E3"/>
    <w:rsid w:val="00B109F3"/>
    <w:rsid w:val="00B110B7"/>
    <w:rsid w:val="00B115AB"/>
    <w:rsid w:val="00B11691"/>
    <w:rsid w:val="00B1187B"/>
    <w:rsid w:val="00B11AE2"/>
    <w:rsid w:val="00B11D27"/>
    <w:rsid w:val="00B1207D"/>
    <w:rsid w:val="00B122FA"/>
    <w:rsid w:val="00B126C9"/>
    <w:rsid w:val="00B126F4"/>
    <w:rsid w:val="00B12828"/>
    <w:rsid w:val="00B12A5E"/>
    <w:rsid w:val="00B13222"/>
    <w:rsid w:val="00B13339"/>
    <w:rsid w:val="00B13A6A"/>
    <w:rsid w:val="00B13BE2"/>
    <w:rsid w:val="00B13C22"/>
    <w:rsid w:val="00B13D70"/>
    <w:rsid w:val="00B14533"/>
    <w:rsid w:val="00B14613"/>
    <w:rsid w:val="00B1472C"/>
    <w:rsid w:val="00B147A6"/>
    <w:rsid w:val="00B14A72"/>
    <w:rsid w:val="00B14B41"/>
    <w:rsid w:val="00B150E6"/>
    <w:rsid w:val="00B1566C"/>
    <w:rsid w:val="00B159FD"/>
    <w:rsid w:val="00B15AD3"/>
    <w:rsid w:val="00B15B9B"/>
    <w:rsid w:val="00B15D9E"/>
    <w:rsid w:val="00B15E75"/>
    <w:rsid w:val="00B15EAE"/>
    <w:rsid w:val="00B1620A"/>
    <w:rsid w:val="00B16253"/>
    <w:rsid w:val="00B169DE"/>
    <w:rsid w:val="00B16A43"/>
    <w:rsid w:val="00B16A69"/>
    <w:rsid w:val="00B16E7D"/>
    <w:rsid w:val="00B16EEA"/>
    <w:rsid w:val="00B17744"/>
    <w:rsid w:val="00B17881"/>
    <w:rsid w:val="00B20036"/>
    <w:rsid w:val="00B20077"/>
    <w:rsid w:val="00B20590"/>
    <w:rsid w:val="00B20F6E"/>
    <w:rsid w:val="00B21639"/>
    <w:rsid w:val="00B21930"/>
    <w:rsid w:val="00B21956"/>
    <w:rsid w:val="00B221ED"/>
    <w:rsid w:val="00B22439"/>
    <w:rsid w:val="00B22604"/>
    <w:rsid w:val="00B228B5"/>
    <w:rsid w:val="00B228EB"/>
    <w:rsid w:val="00B229A0"/>
    <w:rsid w:val="00B229E5"/>
    <w:rsid w:val="00B233ED"/>
    <w:rsid w:val="00B23828"/>
    <w:rsid w:val="00B23939"/>
    <w:rsid w:val="00B23CDB"/>
    <w:rsid w:val="00B23E37"/>
    <w:rsid w:val="00B23EB0"/>
    <w:rsid w:val="00B242EC"/>
    <w:rsid w:val="00B24415"/>
    <w:rsid w:val="00B24442"/>
    <w:rsid w:val="00B244F3"/>
    <w:rsid w:val="00B2451E"/>
    <w:rsid w:val="00B24AB8"/>
    <w:rsid w:val="00B24D1D"/>
    <w:rsid w:val="00B24D87"/>
    <w:rsid w:val="00B25277"/>
    <w:rsid w:val="00B25344"/>
    <w:rsid w:val="00B253CD"/>
    <w:rsid w:val="00B2582E"/>
    <w:rsid w:val="00B2599D"/>
    <w:rsid w:val="00B25C4D"/>
    <w:rsid w:val="00B25CB8"/>
    <w:rsid w:val="00B260BE"/>
    <w:rsid w:val="00B265CF"/>
    <w:rsid w:val="00B26641"/>
    <w:rsid w:val="00B26926"/>
    <w:rsid w:val="00B269F7"/>
    <w:rsid w:val="00B26A39"/>
    <w:rsid w:val="00B26BC8"/>
    <w:rsid w:val="00B26BDB"/>
    <w:rsid w:val="00B26C3A"/>
    <w:rsid w:val="00B26F4D"/>
    <w:rsid w:val="00B26F69"/>
    <w:rsid w:val="00B27098"/>
    <w:rsid w:val="00B272B2"/>
    <w:rsid w:val="00B272D8"/>
    <w:rsid w:val="00B27621"/>
    <w:rsid w:val="00B276A5"/>
    <w:rsid w:val="00B27747"/>
    <w:rsid w:val="00B27EC2"/>
    <w:rsid w:val="00B27F5E"/>
    <w:rsid w:val="00B300D1"/>
    <w:rsid w:val="00B30759"/>
    <w:rsid w:val="00B3083F"/>
    <w:rsid w:val="00B30DB3"/>
    <w:rsid w:val="00B312A2"/>
    <w:rsid w:val="00B31458"/>
    <w:rsid w:val="00B31950"/>
    <w:rsid w:val="00B31B19"/>
    <w:rsid w:val="00B31BB4"/>
    <w:rsid w:val="00B31BF3"/>
    <w:rsid w:val="00B320D9"/>
    <w:rsid w:val="00B32299"/>
    <w:rsid w:val="00B32396"/>
    <w:rsid w:val="00B3280B"/>
    <w:rsid w:val="00B32D96"/>
    <w:rsid w:val="00B32F69"/>
    <w:rsid w:val="00B33420"/>
    <w:rsid w:val="00B337E3"/>
    <w:rsid w:val="00B33A23"/>
    <w:rsid w:val="00B33B78"/>
    <w:rsid w:val="00B33DCE"/>
    <w:rsid w:val="00B33F3C"/>
    <w:rsid w:val="00B34133"/>
    <w:rsid w:val="00B34424"/>
    <w:rsid w:val="00B34D3B"/>
    <w:rsid w:val="00B34EF5"/>
    <w:rsid w:val="00B3539C"/>
    <w:rsid w:val="00B35F4E"/>
    <w:rsid w:val="00B361D6"/>
    <w:rsid w:val="00B3621A"/>
    <w:rsid w:val="00B36247"/>
    <w:rsid w:val="00B36D25"/>
    <w:rsid w:val="00B37759"/>
    <w:rsid w:val="00B37BDA"/>
    <w:rsid w:val="00B37F4C"/>
    <w:rsid w:val="00B401A5"/>
    <w:rsid w:val="00B4033F"/>
    <w:rsid w:val="00B40592"/>
    <w:rsid w:val="00B4090E"/>
    <w:rsid w:val="00B40A7F"/>
    <w:rsid w:val="00B40D72"/>
    <w:rsid w:val="00B4133A"/>
    <w:rsid w:val="00B415B9"/>
    <w:rsid w:val="00B418B6"/>
    <w:rsid w:val="00B419F8"/>
    <w:rsid w:val="00B41F69"/>
    <w:rsid w:val="00B41FD4"/>
    <w:rsid w:val="00B420B3"/>
    <w:rsid w:val="00B42126"/>
    <w:rsid w:val="00B42566"/>
    <w:rsid w:val="00B42787"/>
    <w:rsid w:val="00B427B7"/>
    <w:rsid w:val="00B42A4D"/>
    <w:rsid w:val="00B42AB1"/>
    <w:rsid w:val="00B42B18"/>
    <w:rsid w:val="00B42FD9"/>
    <w:rsid w:val="00B430AE"/>
    <w:rsid w:val="00B430C3"/>
    <w:rsid w:val="00B433D4"/>
    <w:rsid w:val="00B433E2"/>
    <w:rsid w:val="00B4357C"/>
    <w:rsid w:val="00B4370E"/>
    <w:rsid w:val="00B438CF"/>
    <w:rsid w:val="00B43CD3"/>
    <w:rsid w:val="00B4417B"/>
    <w:rsid w:val="00B44740"/>
    <w:rsid w:val="00B44764"/>
    <w:rsid w:val="00B44822"/>
    <w:rsid w:val="00B44C74"/>
    <w:rsid w:val="00B451A4"/>
    <w:rsid w:val="00B4521D"/>
    <w:rsid w:val="00B45328"/>
    <w:rsid w:val="00B4551B"/>
    <w:rsid w:val="00B457E6"/>
    <w:rsid w:val="00B459E9"/>
    <w:rsid w:val="00B45A09"/>
    <w:rsid w:val="00B466B8"/>
    <w:rsid w:val="00B469C5"/>
    <w:rsid w:val="00B46E3D"/>
    <w:rsid w:val="00B47014"/>
    <w:rsid w:val="00B47627"/>
    <w:rsid w:val="00B477EF"/>
    <w:rsid w:val="00B47842"/>
    <w:rsid w:val="00B47D4C"/>
    <w:rsid w:val="00B5048E"/>
    <w:rsid w:val="00B506A5"/>
    <w:rsid w:val="00B5070D"/>
    <w:rsid w:val="00B50ACC"/>
    <w:rsid w:val="00B50B81"/>
    <w:rsid w:val="00B50C45"/>
    <w:rsid w:val="00B50CBC"/>
    <w:rsid w:val="00B50FF5"/>
    <w:rsid w:val="00B5101C"/>
    <w:rsid w:val="00B5197A"/>
    <w:rsid w:val="00B520B8"/>
    <w:rsid w:val="00B5227C"/>
    <w:rsid w:val="00B528E2"/>
    <w:rsid w:val="00B53247"/>
    <w:rsid w:val="00B53257"/>
    <w:rsid w:val="00B5344D"/>
    <w:rsid w:val="00B53946"/>
    <w:rsid w:val="00B5394C"/>
    <w:rsid w:val="00B53998"/>
    <w:rsid w:val="00B53BDC"/>
    <w:rsid w:val="00B53DAC"/>
    <w:rsid w:val="00B540A7"/>
    <w:rsid w:val="00B548ED"/>
    <w:rsid w:val="00B54C2A"/>
    <w:rsid w:val="00B54D33"/>
    <w:rsid w:val="00B5504A"/>
    <w:rsid w:val="00B551C8"/>
    <w:rsid w:val="00B5525B"/>
    <w:rsid w:val="00B555D4"/>
    <w:rsid w:val="00B55E90"/>
    <w:rsid w:val="00B56247"/>
    <w:rsid w:val="00B56334"/>
    <w:rsid w:val="00B563DE"/>
    <w:rsid w:val="00B564E0"/>
    <w:rsid w:val="00B56775"/>
    <w:rsid w:val="00B56795"/>
    <w:rsid w:val="00B56A6D"/>
    <w:rsid w:val="00B56AAC"/>
    <w:rsid w:val="00B576B9"/>
    <w:rsid w:val="00B57826"/>
    <w:rsid w:val="00B57859"/>
    <w:rsid w:val="00B57A73"/>
    <w:rsid w:val="00B60035"/>
    <w:rsid w:val="00B60736"/>
    <w:rsid w:val="00B614BB"/>
    <w:rsid w:val="00B6178E"/>
    <w:rsid w:val="00B61B7F"/>
    <w:rsid w:val="00B61D1F"/>
    <w:rsid w:val="00B6249B"/>
    <w:rsid w:val="00B62615"/>
    <w:rsid w:val="00B628CB"/>
    <w:rsid w:val="00B62BFD"/>
    <w:rsid w:val="00B62C86"/>
    <w:rsid w:val="00B62F1E"/>
    <w:rsid w:val="00B62F46"/>
    <w:rsid w:val="00B63232"/>
    <w:rsid w:val="00B63384"/>
    <w:rsid w:val="00B6395F"/>
    <w:rsid w:val="00B63E31"/>
    <w:rsid w:val="00B63E8F"/>
    <w:rsid w:val="00B63FFD"/>
    <w:rsid w:val="00B641F3"/>
    <w:rsid w:val="00B64930"/>
    <w:rsid w:val="00B64CF1"/>
    <w:rsid w:val="00B65D1D"/>
    <w:rsid w:val="00B65F14"/>
    <w:rsid w:val="00B66031"/>
    <w:rsid w:val="00B6645F"/>
    <w:rsid w:val="00B67026"/>
    <w:rsid w:val="00B672F0"/>
    <w:rsid w:val="00B67604"/>
    <w:rsid w:val="00B67881"/>
    <w:rsid w:val="00B70446"/>
    <w:rsid w:val="00B7061B"/>
    <w:rsid w:val="00B70854"/>
    <w:rsid w:val="00B7089E"/>
    <w:rsid w:val="00B70928"/>
    <w:rsid w:val="00B70A31"/>
    <w:rsid w:val="00B70C76"/>
    <w:rsid w:val="00B70CDB"/>
    <w:rsid w:val="00B71536"/>
    <w:rsid w:val="00B71551"/>
    <w:rsid w:val="00B71BB9"/>
    <w:rsid w:val="00B71F34"/>
    <w:rsid w:val="00B727B4"/>
    <w:rsid w:val="00B72CA6"/>
    <w:rsid w:val="00B73054"/>
    <w:rsid w:val="00B73349"/>
    <w:rsid w:val="00B73F86"/>
    <w:rsid w:val="00B74648"/>
    <w:rsid w:val="00B74E10"/>
    <w:rsid w:val="00B74E61"/>
    <w:rsid w:val="00B74FBF"/>
    <w:rsid w:val="00B75184"/>
    <w:rsid w:val="00B754B3"/>
    <w:rsid w:val="00B75C66"/>
    <w:rsid w:val="00B75D3F"/>
    <w:rsid w:val="00B75DB0"/>
    <w:rsid w:val="00B75FC0"/>
    <w:rsid w:val="00B76375"/>
    <w:rsid w:val="00B76422"/>
    <w:rsid w:val="00B76556"/>
    <w:rsid w:val="00B7736B"/>
    <w:rsid w:val="00B7740F"/>
    <w:rsid w:val="00B779AD"/>
    <w:rsid w:val="00B77C3C"/>
    <w:rsid w:val="00B77EC4"/>
    <w:rsid w:val="00B77EE3"/>
    <w:rsid w:val="00B800D8"/>
    <w:rsid w:val="00B80689"/>
    <w:rsid w:val="00B809B3"/>
    <w:rsid w:val="00B80A04"/>
    <w:rsid w:val="00B80C25"/>
    <w:rsid w:val="00B80DCB"/>
    <w:rsid w:val="00B80DDF"/>
    <w:rsid w:val="00B80E4E"/>
    <w:rsid w:val="00B811A9"/>
    <w:rsid w:val="00B81830"/>
    <w:rsid w:val="00B81858"/>
    <w:rsid w:val="00B81C2C"/>
    <w:rsid w:val="00B81C66"/>
    <w:rsid w:val="00B81D41"/>
    <w:rsid w:val="00B81DF5"/>
    <w:rsid w:val="00B8237C"/>
    <w:rsid w:val="00B82651"/>
    <w:rsid w:val="00B828AD"/>
    <w:rsid w:val="00B82A50"/>
    <w:rsid w:val="00B831B7"/>
    <w:rsid w:val="00B8336E"/>
    <w:rsid w:val="00B836FA"/>
    <w:rsid w:val="00B83D29"/>
    <w:rsid w:val="00B83E9C"/>
    <w:rsid w:val="00B83F93"/>
    <w:rsid w:val="00B83F97"/>
    <w:rsid w:val="00B849D3"/>
    <w:rsid w:val="00B84A4C"/>
    <w:rsid w:val="00B84AAC"/>
    <w:rsid w:val="00B84FCC"/>
    <w:rsid w:val="00B85560"/>
    <w:rsid w:val="00B85863"/>
    <w:rsid w:val="00B859AE"/>
    <w:rsid w:val="00B859EE"/>
    <w:rsid w:val="00B85A58"/>
    <w:rsid w:val="00B85DE5"/>
    <w:rsid w:val="00B866DF"/>
    <w:rsid w:val="00B86B29"/>
    <w:rsid w:val="00B86DAB"/>
    <w:rsid w:val="00B86EFC"/>
    <w:rsid w:val="00B87CA8"/>
    <w:rsid w:val="00B90159"/>
    <w:rsid w:val="00B904F0"/>
    <w:rsid w:val="00B90524"/>
    <w:rsid w:val="00B90544"/>
    <w:rsid w:val="00B907CB"/>
    <w:rsid w:val="00B90806"/>
    <w:rsid w:val="00B9187D"/>
    <w:rsid w:val="00B91A2F"/>
    <w:rsid w:val="00B91A56"/>
    <w:rsid w:val="00B91C87"/>
    <w:rsid w:val="00B9201B"/>
    <w:rsid w:val="00B92270"/>
    <w:rsid w:val="00B93134"/>
    <w:rsid w:val="00B935D7"/>
    <w:rsid w:val="00B9365C"/>
    <w:rsid w:val="00B93C7F"/>
    <w:rsid w:val="00B93E7B"/>
    <w:rsid w:val="00B93EEA"/>
    <w:rsid w:val="00B93F02"/>
    <w:rsid w:val="00B9408F"/>
    <w:rsid w:val="00B94776"/>
    <w:rsid w:val="00B9492E"/>
    <w:rsid w:val="00B94A2D"/>
    <w:rsid w:val="00B94D81"/>
    <w:rsid w:val="00B95883"/>
    <w:rsid w:val="00B95DDA"/>
    <w:rsid w:val="00B962AF"/>
    <w:rsid w:val="00B962E3"/>
    <w:rsid w:val="00B9695B"/>
    <w:rsid w:val="00B96DB1"/>
    <w:rsid w:val="00B96E74"/>
    <w:rsid w:val="00B970BF"/>
    <w:rsid w:val="00B972E5"/>
    <w:rsid w:val="00B97793"/>
    <w:rsid w:val="00B97869"/>
    <w:rsid w:val="00B97D7B"/>
    <w:rsid w:val="00B97FEA"/>
    <w:rsid w:val="00BA011E"/>
    <w:rsid w:val="00BA03CD"/>
    <w:rsid w:val="00BA0752"/>
    <w:rsid w:val="00BA0DB1"/>
    <w:rsid w:val="00BA0DE3"/>
    <w:rsid w:val="00BA152D"/>
    <w:rsid w:val="00BA18B0"/>
    <w:rsid w:val="00BA1AB0"/>
    <w:rsid w:val="00BA1C7C"/>
    <w:rsid w:val="00BA1CED"/>
    <w:rsid w:val="00BA1E04"/>
    <w:rsid w:val="00BA1E15"/>
    <w:rsid w:val="00BA1FF9"/>
    <w:rsid w:val="00BA2161"/>
    <w:rsid w:val="00BA240A"/>
    <w:rsid w:val="00BA25F0"/>
    <w:rsid w:val="00BA2685"/>
    <w:rsid w:val="00BA28AA"/>
    <w:rsid w:val="00BA3383"/>
    <w:rsid w:val="00BA33AC"/>
    <w:rsid w:val="00BA3590"/>
    <w:rsid w:val="00BA371A"/>
    <w:rsid w:val="00BA424A"/>
    <w:rsid w:val="00BA42C2"/>
    <w:rsid w:val="00BA47B7"/>
    <w:rsid w:val="00BA48DA"/>
    <w:rsid w:val="00BA4B3C"/>
    <w:rsid w:val="00BA4CBD"/>
    <w:rsid w:val="00BA4CFF"/>
    <w:rsid w:val="00BA4D83"/>
    <w:rsid w:val="00BA5187"/>
    <w:rsid w:val="00BA5641"/>
    <w:rsid w:val="00BA598E"/>
    <w:rsid w:val="00BA5CA2"/>
    <w:rsid w:val="00BA5CEB"/>
    <w:rsid w:val="00BA5D17"/>
    <w:rsid w:val="00BA617F"/>
    <w:rsid w:val="00BA6193"/>
    <w:rsid w:val="00BA61EE"/>
    <w:rsid w:val="00BA62C7"/>
    <w:rsid w:val="00BA660C"/>
    <w:rsid w:val="00BA666D"/>
    <w:rsid w:val="00BA693D"/>
    <w:rsid w:val="00BA6D37"/>
    <w:rsid w:val="00BA718E"/>
    <w:rsid w:val="00BA72A1"/>
    <w:rsid w:val="00BA7808"/>
    <w:rsid w:val="00BA7C7D"/>
    <w:rsid w:val="00BB01E9"/>
    <w:rsid w:val="00BB0975"/>
    <w:rsid w:val="00BB0A8D"/>
    <w:rsid w:val="00BB10B9"/>
    <w:rsid w:val="00BB13DF"/>
    <w:rsid w:val="00BB168A"/>
    <w:rsid w:val="00BB1735"/>
    <w:rsid w:val="00BB18E3"/>
    <w:rsid w:val="00BB18F0"/>
    <w:rsid w:val="00BB1A0E"/>
    <w:rsid w:val="00BB1E32"/>
    <w:rsid w:val="00BB1E41"/>
    <w:rsid w:val="00BB1E64"/>
    <w:rsid w:val="00BB1E86"/>
    <w:rsid w:val="00BB1F12"/>
    <w:rsid w:val="00BB21FE"/>
    <w:rsid w:val="00BB220F"/>
    <w:rsid w:val="00BB225B"/>
    <w:rsid w:val="00BB2715"/>
    <w:rsid w:val="00BB27C2"/>
    <w:rsid w:val="00BB27EA"/>
    <w:rsid w:val="00BB3432"/>
    <w:rsid w:val="00BB3479"/>
    <w:rsid w:val="00BB371B"/>
    <w:rsid w:val="00BB392B"/>
    <w:rsid w:val="00BB3CEE"/>
    <w:rsid w:val="00BB3DDE"/>
    <w:rsid w:val="00BB3F0F"/>
    <w:rsid w:val="00BB409F"/>
    <w:rsid w:val="00BB459C"/>
    <w:rsid w:val="00BB4B43"/>
    <w:rsid w:val="00BB4D5C"/>
    <w:rsid w:val="00BB52C9"/>
    <w:rsid w:val="00BB57E8"/>
    <w:rsid w:val="00BB5A69"/>
    <w:rsid w:val="00BB5DBC"/>
    <w:rsid w:val="00BB5E1D"/>
    <w:rsid w:val="00BB66FF"/>
    <w:rsid w:val="00BB6B12"/>
    <w:rsid w:val="00BB6C3F"/>
    <w:rsid w:val="00BB7554"/>
    <w:rsid w:val="00BB788E"/>
    <w:rsid w:val="00BC03EF"/>
    <w:rsid w:val="00BC0ADD"/>
    <w:rsid w:val="00BC0D4F"/>
    <w:rsid w:val="00BC0F7A"/>
    <w:rsid w:val="00BC1144"/>
    <w:rsid w:val="00BC12EA"/>
    <w:rsid w:val="00BC14C7"/>
    <w:rsid w:val="00BC1635"/>
    <w:rsid w:val="00BC1829"/>
    <w:rsid w:val="00BC2036"/>
    <w:rsid w:val="00BC21D5"/>
    <w:rsid w:val="00BC281A"/>
    <w:rsid w:val="00BC2993"/>
    <w:rsid w:val="00BC2AB3"/>
    <w:rsid w:val="00BC2BC6"/>
    <w:rsid w:val="00BC2DBB"/>
    <w:rsid w:val="00BC314D"/>
    <w:rsid w:val="00BC322A"/>
    <w:rsid w:val="00BC32C5"/>
    <w:rsid w:val="00BC3894"/>
    <w:rsid w:val="00BC38DE"/>
    <w:rsid w:val="00BC38F0"/>
    <w:rsid w:val="00BC3908"/>
    <w:rsid w:val="00BC3A2A"/>
    <w:rsid w:val="00BC3B89"/>
    <w:rsid w:val="00BC3C3F"/>
    <w:rsid w:val="00BC4003"/>
    <w:rsid w:val="00BC4295"/>
    <w:rsid w:val="00BC4B53"/>
    <w:rsid w:val="00BC4EFF"/>
    <w:rsid w:val="00BC4FB1"/>
    <w:rsid w:val="00BC56E8"/>
    <w:rsid w:val="00BC57C3"/>
    <w:rsid w:val="00BC5F78"/>
    <w:rsid w:val="00BC61CD"/>
    <w:rsid w:val="00BC6305"/>
    <w:rsid w:val="00BC6331"/>
    <w:rsid w:val="00BC6455"/>
    <w:rsid w:val="00BC66DD"/>
    <w:rsid w:val="00BC6800"/>
    <w:rsid w:val="00BC6C55"/>
    <w:rsid w:val="00BC7CA9"/>
    <w:rsid w:val="00BD0DAF"/>
    <w:rsid w:val="00BD0E49"/>
    <w:rsid w:val="00BD1026"/>
    <w:rsid w:val="00BD1129"/>
    <w:rsid w:val="00BD16B6"/>
    <w:rsid w:val="00BD225D"/>
    <w:rsid w:val="00BD2261"/>
    <w:rsid w:val="00BD2ABE"/>
    <w:rsid w:val="00BD2BE2"/>
    <w:rsid w:val="00BD2E42"/>
    <w:rsid w:val="00BD3016"/>
    <w:rsid w:val="00BD3132"/>
    <w:rsid w:val="00BD3E0B"/>
    <w:rsid w:val="00BD4139"/>
    <w:rsid w:val="00BD450C"/>
    <w:rsid w:val="00BD45E9"/>
    <w:rsid w:val="00BD4745"/>
    <w:rsid w:val="00BD4AF8"/>
    <w:rsid w:val="00BD4EA5"/>
    <w:rsid w:val="00BD5270"/>
    <w:rsid w:val="00BD571C"/>
    <w:rsid w:val="00BD5CE1"/>
    <w:rsid w:val="00BD5D1A"/>
    <w:rsid w:val="00BD60A3"/>
    <w:rsid w:val="00BD61DE"/>
    <w:rsid w:val="00BD6281"/>
    <w:rsid w:val="00BD6A9E"/>
    <w:rsid w:val="00BD6C9D"/>
    <w:rsid w:val="00BD7620"/>
    <w:rsid w:val="00BD7B87"/>
    <w:rsid w:val="00BD7CDB"/>
    <w:rsid w:val="00BD7D0E"/>
    <w:rsid w:val="00BE019B"/>
    <w:rsid w:val="00BE0519"/>
    <w:rsid w:val="00BE0AC6"/>
    <w:rsid w:val="00BE0CCE"/>
    <w:rsid w:val="00BE0DFF"/>
    <w:rsid w:val="00BE13D3"/>
    <w:rsid w:val="00BE1B83"/>
    <w:rsid w:val="00BE1D31"/>
    <w:rsid w:val="00BE2774"/>
    <w:rsid w:val="00BE277D"/>
    <w:rsid w:val="00BE2916"/>
    <w:rsid w:val="00BE367A"/>
    <w:rsid w:val="00BE4008"/>
    <w:rsid w:val="00BE4388"/>
    <w:rsid w:val="00BE447B"/>
    <w:rsid w:val="00BE450B"/>
    <w:rsid w:val="00BE45AF"/>
    <w:rsid w:val="00BE4DB1"/>
    <w:rsid w:val="00BE52F4"/>
    <w:rsid w:val="00BE611D"/>
    <w:rsid w:val="00BE6548"/>
    <w:rsid w:val="00BE65FC"/>
    <w:rsid w:val="00BE6A30"/>
    <w:rsid w:val="00BE6B25"/>
    <w:rsid w:val="00BE6DB2"/>
    <w:rsid w:val="00BE6E46"/>
    <w:rsid w:val="00BE7506"/>
    <w:rsid w:val="00BE77C0"/>
    <w:rsid w:val="00BE7982"/>
    <w:rsid w:val="00BE7FBB"/>
    <w:rsid w:val="00BF0009"/>
    <w:rsid w:val="00BF01A0"/>
    <w:rsid w:val="00BF111C"/>
    <w:rsid w:val="00BF13D8"/>
    <w:rsid w:val="00BF1CB8"/>
    <w:rsid w:val="00BF1D9A"/>
    <w:rsid w:val="00BF2161"/>
    <w:rsid w:val="00BF26C7"/>
    <w:rsid w:val="00BF2869"/>
    <w:rsid w:val="00BF29EA"/>
    <w:rsid w:val="00BF3175"/>
    <w:rsid w:val="00BF31A1"/>
    <w:rsid w:val="00BF337B"/>
    <w:rsid w:val="00BF3653"/>
    <w:rsid w:val="00BF3B14"/>
    <w:rsid w:val="00BF407D"/>
    <w:rsid w:val="00BF449D"/>
    <w:rsid w:val="00BF45D3"/>
    <w:rsid w:val="00BF47B4"/>
    <w:rsid w:val="00BF4D1C"/>
    <w:rsid w:val="00BF4DE0"/>
    <w:rsid w:val="00BF5083"/>
    <w:rsid w:val="00BF543C"/>
    <w:rsid w:val="00BF5A42"/>
    <w:rsid w:val="00BF5AC5"/>
    <w:rsid w:val="00BF5CC4"/>
    <w:rsid w:val="00BF5FB7"/>
    <w:rsid w:val="00BF6361"/>
    <w:rsid w:val="00BF63FE"/>
    <w:rsid w:val="00BF698D"/>
    <w:rsid w:val="00BF6C3A"/>
    <w:rsid w:val="00BF6ED8"/>
    <w:rsid w:val="00BF76F1"/>
    <w:rsid w:val="00BF7FEE"/>
    <w:rsid w:val="00C00279"/>
    <w:rsid w:val="00C002E9"/>
    <w:rsid w:val="00C006F7"/>
    <w:rsid w:val="00C00ADE"/>
    <w:rsid w:val="00C00B70"/>
    <w:rsid w:val="00C01408"/>
    <w:rsid w:val="00C01889"/>
    <w:rsid w:val="00C01D0E"/>
    <w:rsid w:val="00C01DBA"/>
    <w:rsid w:val="00C0239B"/>
    <w:rsid w:val="00C02434"/>
    <w:rsid w:val="00C02C89"/>
    <w:rsid w:val="00C02D84"/>
    <w:rsid w:val="00C02F9A"/>
    <w:rsid w:val="00C03064"/>
    <w:rsid w:val="00C032A0"/>
    <w:rsid w:val="00C03302"/>
    <w:rsid w:val="00C033EC"/>
    <w:rsid w:val="00C034AC"/>
    <w:rsid w:val="00C035A3"/>
    <w:rsid w:val="00C0384C"/>
    <w:rsid w:val="00C0384D"/>
    <w:rsid w:val="00C03A46"/>
    <w:rsid w:val="00C03C71"/>
    <w:rsid w:val="00C03CF4"/>
    <w:rsid w:val="00C043FB"/>
    <w:rsid w:val="00C046DC"/>
    <w:rsid w:val="00C04879"/>
    <w:rsid w:val="00C04F25"/>
    <w:rsid w:val="00C05880"/>
    <w:rsid w:val="00C0589C"/>
    <w:rsid w:val="00C05BF4"/>
    <w:rsid w:val="00C0639C"/>
    <w:rsid w:val="00C06430"/>
    <w:rsid w:val="00C068C1"/>
    <w:rsid w:val="00C06A0A"/>
    <w:rsid w:val="00C06B87"/>
    <w:rsid w:val="00C06BD8"/>
    <w:rsid w:val="00C06ED1"/>
    <w:rsid w:val="00C06EEF"/>
    <w:rsid w:val="00C070D7"/>
    <w:rsid w:val="00C07175"/>
    <w:rsid w:val="00C073A9"/>
    <w:rsid w:val="00C07846"/>
    <w:rsid w:val="00C07AC7"/>
    <w:rsid w:val="00C07BE5"/>
    <w:rsid w:val="00C07EC6"/>
    <w:rsid w:val="00C07ECE"/>
    <w:rsid w:val="00C07F6A"/>
    <w:rsid w:val="00C10348"/>
    <w:rsid w:val="00C109B0"/>
    <w:rsid w:val="00C109E7"/>
    <w:rsid w:val="00C10A1E"/>
    <w:rsid w:val="00C10B74"/>
    <w:rsid w:val="00C10D38"/>
    <w:rsid w:val="00C11409"/>
    <w:rsid w:val="00C1147D"/>
    <w:rsid w:val="00C116BD"/>
    <w:rsid w:val="00C11995"/>
    <w:rsid w:val="00C11A3A"/>
    <w:rsid w:val="00C11B44"/>
    <w:rsid w:val="00C12875"/>
    <w:rsid w:val="00C13257"/>
    <w:rsid w:val="00C1399E"/>
    <w:rsid w:val="00C14B30"/>
    <w:rsid w:val="00C14B4E"/>
    <w:rsid w:val="00C15BA4"/>
    <w:rsid w:val="00C16C73"/>
    <w:rsid w:val="00C16D60"/>
    <w:rsid w:val="00C17219"/>
    <w:rsid w:val="00C1743F"/>
    <w:rsid w:val="00C174AF"/>
    <w:rsid w:val="00C17988"/>
    <w:rsid w:val="00C17FE2"/>
    <w:rsid w:val="00C200BD"/>
    <w:rsid w:val="00C200F8"/>
    <w:rsid w:val="00C20164"/>
    <w:rsid w:val="00C20301"/>
    <w:rsid w:val="00C203E4"/>
    <w:rsid w:val="00C20A20"/>
    <w:rsid w:val="00C20AFC"/>
    <w:rsid w:val="00C20EA0"/>
    <w:rsid w:val="00C20EF9"/>
    <w:rsid w:val="00C20F8F"/>
    <w:rsid w:val="00C214BC"/>
    <w:rsid w:val="00C21500"/>
    <w:rsid w:val="00C21739"/>
    <w:rsid w:val="00C21AF5"/>
    <w:rsid w:val="00C21E05"/>
    <w:rsid w:val="00C21E2D"/>
    <w:rsid w:val="00C21FB2"/>
    <w:rsid w:val="00C2201A"/>
    <w:rsid w:val="00C220D0"/>
    <w:rsid w:val="00C222E2"/>
    <w:rsid w:val="00C22724"/>
    <w:rsid w:val="00C2273E"/>
    <w:rsid w:val="00C22869"/>
    <w:rsid w:val="00C229A0"/>
    <w:rsid w:val="00C22CB4"/>
    <w:rsid w:val="00C22E97"/>
    <w:rsid w:val="00C22F0E"/>
    <w:rsid w:val="00C23082"/>
    <w:rsid w:val="00C230B8"/>
    <w:rsid w:val="00C2319E"/>
    <w:rsid w:val="00C23377"/>
    <w:rsid w:val="00C23A65"/>
    <w:rsid w:val="00C249A4"/>
    <w:rsid w:val="00C25591"/>
    <w:rsid w:val="00C26063"/>
    <w:rsid w:val="00C261BD"/>
    <w:rsid w:val="00C2624F"/>
    <w:rsid w:val="00C26445"/>
    <w:rsid w:val="00C26632"/>
    <w:rsid w:val="00C26965"/>
    <w:rsid w:val="00C277FA"/>
    <w:rsid w:val="00C278BD"/>
    <w:rsid w:val="00C27A6E"/>
    <w:rsid w:val="00C27B04"/>
    <w:rsid w:val="00C27B86"/>
    <w:rsid w:val="00C27D15"/>
    <w:rsid w:val="00C27FEF"/>
    <w:rsid w:val="00C30128"/>
    <w:rsid w:val="00C30B4D"/>
    <w:rsid w:val="00C30CA1"/>
    <w:rsid w:val="00C31680"/>
    <w:rsid w:val="00C316AB"/>
    <w:rsid w:val="00C31C7C"/>
    <w:rsid w:val="00C320AC"/>
    <w:rsid w:val="00C326A4"/>
    <w:rsid w:val="00C32806"/>
    <w:rsid w:val="00C32944"/>
    <w:rsid w:val="00C32A52"/>
    <w:rsid w:val="00C32CCD"/>
    <w:rsid w:val="00C33054"/>
    <w:rsid w:val="00C331C6"/>
    <w:rsid w:val="00C33560"/>
    <w:rsid w:val="00C3370D"/>
    <w:rsid w:val="00C337B4"/>
    <w:rsid w:val="00C337C6"/>
    <w:rsid w:val="00C337F6"/>
    <w:rsid w:val="00C33B3C"/>
    <w:rsid w:val="00C34062"/>
    <w:rsid w:val="00C3416C"/>
    <w:rsid w:val="00C344F6"/>
    <w:rsid w:val="00C34AA3"/>
    <w:rsid w:val="00C34AB8"/>
    <w:rsid w:val="00C34BA6"/>
    <w:rsid w:val="00C34BE3"/>
    <w:rsid w:val="00C34DF8"/>
    <w:rsid w:val="00C34F04"/>
    <w:rsid w:val="00C35E5F"/>
    <w:rsid w:val="00C36620"/>
    <w:rsid w:val="00C3688E"/>
    <w:rsid w:val="00C36B2C"/>
    <w:rsid w:val="00C37023"/>
    <w:rsid w:val="00C37476"/>
    <w:rsid w:val="00C3754A"/>
    <w:rsid w:val="00C379B4"/>
    <w:rsid w:val="00C37AF9"/>
    <w:rsid w:val="00C40056"/>
    <w:rsid w:val="00C40271"/>
    <w:rsid w:val="00C403EC"/>
    <w:rsid w:val="00C40595"/>
    <w:rsid w:val="00C40706"/>
    <w:rsid w:val="00C40762"/>
    <w:rsid w:val="00C40898"/>
    <w:rsid w:val="00C40A36"/>
    <w:rsid w:val="00C40A93"/>
    <w:rsid w:val="00C40CE0"/>
    <w:rsid w:val="00C415C3"/>
    <w:rsid w:val="00C416C7"/>
    <w:rsid w:val="00C419D0"/>
    <w:rsid w:val="00C42321"/>
    <w:rsid w:val="00C42570"/>
    <w:rsid w:val="00C42E5C"/>
    <w:rsid w:val="00C432B0"/>
    <w:rsid w:val="00C4374A"/>
    <w:rsid w:val="00C4383B"/>
    <w:rsid w:val="00C43B84"/>
    <w:rsid w:val="00C44057"/>
    <w:rsid w:val="00C4468E"/>
    <w:rsid w:val="00C447D9"/>
    <w:rsid w:val="00C44EB4"/>
    <w:rsid w:val="00C4563C"/>
    <w:rsid w:val="00C45E68"/>
    <w:rsid w:val="00C46839"/>
    <w:rsid w:val="00C46880"/>
    <w:rsid w:val="00C46E92"/>
    <w:rsid w:val="00C46EAE"/>
    <w:rsid w:val="00C4714E"/>
    <w:rsid w:val="00C47218"/>
    <w:rsid w:val="00C474D8"/>
    <w:rsid w:val="00C475A6"/>
    <w:rsid w:val="00C4772C"/>
    <w:rsid w:val="00C47DFB"/>
    <w:rsid w:val="00C508C3"/>
    <w:rsid w:val="00C50D0D"/>
    <w:rsid w:val="00C512E5"/>
    <w:rsid w:val="00C512FD"/>
    <w:rsid w:val="00C51AC7"/>
    <w:rsid w:val="00C51ADF"/>
    <w:rsid w:val="00C51B23"/>
    <w:rsid w:val="00C52434"/>
    <w:rsid w:val="00C52477"/>
    <w:rsid w:val="00C52C30"/>
    <w:rsid w:val="00C52CDC"/>
    <w:rsid w:val="00C53061"/>
    <w:rsid w:val="00C53804"/>
    <w:rsid w:val="00C53C29"/>
    <w:rsid w:val="00C53D53"/>
    <w:rsid w:val="00C5464B"/>
    <w:rsid w:val="00C548F3"/>
    <w:rsid w:val="00C55546"/>
    <w:rsid w:val="00C557B7"/>
    <w:rsid w:val="00C559F1"/>
    <w:rsid w:val="00C55B34"/>
    <w:rsid w:val="00C55FA5"/>
    <w:rsid w:val="00C5609B"/>
    <w:rsid w:val="00C560F3"/>
    <w:rsid w:val="00C561BF"/>
    <w:rsid w:val="00C56301"/>
    <w:rsid w:val="00C565B0"/>
    <w:rsid w:val="00C568EE"/>
    <w:rsid w:val="00C57095"/>
    <w:rsid w:val="00C571D6"/>
    <w:rsid w:val="00C5723B"/>
    <w:rsid w:val="00C57976"/>
    <w:rsid w:val="00C57D62"/>
    <w:rsid w:val="00C57D6A"/>
    <w:rsid w:val="00C60032"/>
    <w:rsid w:val="00C6040C"/>
    <w:rsid w:val="00C60590"/>
    <w:rsid w:val="00C61295"/>
    <w:rsid w:val="00C615B5"/>
    <w:rsid w:val="00C61815"/>
    <w:rsid w:val="00C61898"/>
    <w:rsid w:val="00C61A01"/>
    <w:rsid w:val="00C61BA2"/>
    <w:rsid w:val="00C61EE7"/>
    <w:rsid w:val="00C61F0D"/>
    <w:rsid w:val="00C6274A"/>
    <w:rsid w:val="00C628D7"/>
    <w:rsid w:val="00C62A74"/>
    <w:rsid w:val="00C62B66"/>
    <w:rsid w:val="00C63334"/>
    <w:rsid w:val="00C633CC"/>
    <w:rsid w:val="00C634C6"/>
    <w:rsid w:val="00C639A0"/>
    <w:rsid w:val="00C63B0D"/>
    <w:rsid w:val="00C63C0B"/>
    <w:rsid w:val="00C63C9E"/>
    <w:rsid w:val="00C63D99"/>
    <w:rsid w:val="00C63F97"/>
    <w:rsid w:val="00C6403C"/>
    <w:rsid w:val="00C642A4"/>
    <w:rsid w:val="00C642B2"/>
    <w:rsid w:val="00C644C4"/>
    <w:rsid w:val="00C646D8"/>
    <w:rsid w:val="00C647CA"/>
    <w:rsid w:val="00C65270"/>
    <w:rsid w:val="00C65548"/>
    <w:rsid w:val="00C65A33"/>
    <w:rsid w:val="00C65A3F"/>
    <w:rsid w:val="00C65D22"/>
    <w:rsid w:val="00C6667C"/>
    <w:rsid w:val="00C66749"/>
    <w:rsid w:val="00C66A50"/>
    <w:rsid w:val="00C66B7D"/>
    <w:rsid w:val="00C66E29"/>
    <w:rsid w:val="00C6707A"/>
    <w:rsid w:val="00C6726B"/>
    <w:rsid w:val="00C673D9"/>
    <w:rsid w:val="00C67968"/>
    <w:rsid w:val="00C67CAA"/>
    <w:rsid w:val="00C67CD6"/>
    <w:rsid w:val="00C702F5"/>
    <w:rsid w:val="00C70535"/>
    <w:rsid w:val="00C71093"/>
    <w:rsid w:val="00C7120A"/>
    <w:rsid w:val="00C7129C"/>
    <w:rsid w:val="00C716DF"/>
    <w:rsid w:val="00C71977"/>
    <w:rsid w:val="00C71AC7"/>
    <w:rsid w:val="00C71D73"/>
    <w:rsid w:val="00C723A4"/>
    <w:rsid w:val="00C724AB"/>
    <w:rsid w:val="00C725D3"/>
    <w:rsid w:val="00C72704"/>
    <w:rsid w:val="00C72BBE"/>
    <w:rsid w:val="00C72D32"/>
    <w:rsid w:val="00C72F6A"/>
    <w:rsid w:val="00C7312E"/>
    <w:rsid w:val="00C73644"/>
    <w:rsid w:val="00C73A88"/>
    <w:rsid w:val="00C74132"/>
    <w:rsid w:val="00C74616"/>
    <w:rsid w:val="00C74684"/>
    <w:rsid w:val="00C746D6"/>
    <w:rsid w:val="00C74CDA"/>
    <w:rsid w:val="00C74F33"/>
    <w:rsid w:val="00C753B5"/>
    <w:rsid w:val="00C75556"/>
    <w:rsid w:val="00C75A3A"/>
    <w:rsid w:val="00C75AC5"/>
    <w:rsid w:val="00C760C9"/>
    <w:rsid w:val="00C7617C"/>
    <w:rsid w:val="00C7624C"/>
    <w:rsid w:val="00C77358"/>
    <w:rsid w:val="00C77ACA"/>
    <w:rsid w:val="00C8011A"/>
    <w:rsid w:val="00C80797"/>
    <w:rsid w:val="00C807A3"/>
    <w:rsid w:val="00C80940"/>
    <w:rsid w:val="00C80A10"/>
    <w:rsid w:val="00C80B9C"/>
    <w:rsid w:val="00C80D96"/>
    <w:rsid w:val="00C8102E"/>
    <w:rsid w:val="00C81194"/>
    <w:rsid w:val="00C812CC"/>
    <w:rsid w:val="00C81E53"/>
    <w:rsid w:val="00C8202A"/>
    <w:rsid w:val="00C82A85"/>
    <w:rsid w:val="00C82ADB"/>
    <w:rsid w:val="00C82BC7"/>
    <w:rsid w:val="00C82C39"/>
    <w:rsid w:val="00C82ED7"/>
    <w:rsid w:val="00C835CC"/>
    <w:rsid w:val="00C83AE6"/>
    <w:rsid w:val="00C83DB6"/>
    <w:rsid w:val="00C83EB2"/>
    <w:rsid w:val="00C8409F"/>
    <w:rsid w:val="00C8416C"/>
    <w:rsid w:val="00C84288"/>
    <w:rsid w:val="00C844F5"/>
    <w:rsid w:val="00C84AAD"/>
    <w:rsid w:val="00C84FA9"/>
    <w:rsid w:val="00C85180"/>
    <w:rsid w:val="00C8565D"/>
    <w:rsid w:val="00C85F30"/>
    <w:rsid w:val="00C85FFC"/>
    <w:rsid w:val="00C8639E"/>
    <w:rsid w:val="00C86CE5"/>
    <w:rsid w:val="00C8718B"/>
    <w:rsid w:val="00C876FB"/>
    <w:rsid w:val="00C87A90"/>
    <w:rsid w:val="00C87E24"/>
    <w:rsid w:val="00C901BF"/>
    <w:rsid w:val="00C90278"/>
    <w:rsid w:val="00C902BB"/>
    <w:rsid w:val="00C902BD"/>
    <w:rsid w:val="00C90BD2"/>
    <w:rsid w:val="00C90CA0"/>
    <w:rsid w:val="00C914C4"/>
    <w:rsid w:val="00C9159B"/>
    <w:rsid w:val="00C91652"/>
    <w:rsid w:val="00C916FE"/>
    <w:rsid w:val="00C919DB"/>
    <w:rsid w:val="00C91AF0"/>
    <w:rsid w:val="00C91DFF"/>
    <w:rsid w:val="00C91F4F"/>
    <w:rsid w:val="00C92150"/>
    <w:rsid w:val="00C923FC"/>
    <w:rsid w:val="00C9267D"/>
    <w:rsid w:val="00C92CBE"/>
    <w:rsid w:val="00C93146"/>
    <w:rsid w:val="00C93335"/>
    <w:rsid w:val="00C93B08"/>
    <w:rsid w:val="00C9401B"/>
    <w:rsid w:val="00C940FC"/>
    <w:rsid w:val="00C94198"/>
    <w:rsid w:val="00C941A7"/>
    <w:rsid w:val="00C942BA"/>
    <w:rsid w:val="00C943A6"/>
    <w:rsid w:val="00C9475F"/>
    <w:rsid w:val="00C9480A"/>
    <w:rsid w:val="00C94841"/>
    <w:rsid w:val="00C949E2"/>
    <w:rsid w:val="00C94A2D"/>
    <w:rsid w:val="00C94AFA"/>
    <w:rsid w:val="00C94CE8"/>
    <w:rsid w:val="00C94E2B"/>
    <w:rsid w:val="00C950F0"/>
    <w:rsid w:val="00C95B18"/>
    <w:rsid w:val="00C95B5B"/>
    <w:rsid w:val="00C95C22"/>
    <w:rsid w:val="00C95D3E"/>
    <w:rsid w:val="00C963E2"/>
    <w:rsid w:val="00C96A93"/>
    <w:rsid w:val="00C96BB1"/>
    <w:rsid w:val="00C96D5A"/>
    <w:rsid w:val="00C97BB1"/>
    <w:rsid w:val="00CA049A"/>
    <w:rsid w:val="00CA0922"/>
    <w:rsid w:val="00CA09BF"/>
    <w:rsid w:val="00CA0CF1"/>
    <w:rsid w:val="00CA2093"/>
    <w:rsid w:val="00CA213E"/>
    <w:rsid w:val="00CA2657"/>
    <w:rsid w:val="00CA41A1"/>
    <w:rsid w:val="00CA4E16"/>
    <w:rsid w:val="00CA598E"/>
    <w:rsid w:val="00CA5C65"/>
    <w:rsid w:val="00CA5F2A"/>
    <w:rsid w:val="00CA649D"/>
    <w:rsid w:val="00CA6A95"/>
    <w:rsid w:val="00CA7090"/>
    <w:rsid w:val="00CA715E"/>
    <w:rsid w:val="00CA71C2"/>
    <w:rsid w:val="00CA7226"/>
    <w:rsid w:val="00CA72F4"/>
    <w:rsid w:val="00CA747C"/>
    <w:rsid w:val="00CA7DA7"/>
    <w:rsid w:val="00CB02B0"/>
    <w:rsid w:val="00CB0575"/>
    <w:rsid w:val="00CB0A0D"/>
    <w:rsid w:val="00CB0BC6"/>
    <w:rsid w:val="00CB158B"/>
    <w:rsid w:val="00CB173B"/>
    <w:rsid w:val="00CB1EAC"/>
    <w:rsid w:val="00CB1FD1"/>
    <w:rsid w:val="00CB2524"/>
    <w:rsid w:val="00CB25B8"/>
    <w:rsid w:val="00CB2EEF"/>
    <w:rsid w:val="00CB3706"/>
    <w:rsid w:val="00CB374D"/>
    <w:rsid w:val="00CB378C"/>
    <w:rsid w:val="00CB3A7C"/>
    <w:rsid w:val="00CB3B4C"/>
    <w:rsid w:val="00CB3B6A"/>
    <w:rsid w:val="00CB3D44"/>
    <w:rsid w:val="00CB3EB2"/>
    <w:rsid w:val="00CB3F37"/>
    <w:rsid w:val="00CB4558"/>
    <w:rsid w:val="00CB496A"/>
    <w:rsid w:val="00CB4A1B"/>
    <w:rsid w:val="00CB4C11"/>
    <w:rsid w:val="00CB4C2E"/>
    <w:rsid w:val="00CB4E11"/>
    <w:rsid w:val="00CB4FFB"/>
    <w:rsid w:val="00CB556F"/>
    <w:rsid w:val="00CB56CE"/>
    <w:rsid w:val="00CB5AF3"/>
    <w:rsid w:val="00CB5F64"/>
    <w:rsid w:val="00CB633E"/>
    <w:rsid w:val="00CB63F2"/>
    <w:rsid w:val="00CB6A59"/>
    <w:rsid w:val="00CB6D57"/>
    <w:rsid w:val="00CB6EBE"/>
    <w:rsid w:val="00CB6F7C"/>
    <w:rsid w:val="00CB7552"/>
    <w:rsid w:val="00CB76AA"/>
    <w:rsid w:val="00CB7FD2"/>
    <w:rsid w:val="00CC0EFF"/>
    <w:rsid w:val="00CC0FCF"/>
    <w:rsid w:val="00CC102B"/>
    <w:rsid w:val="00CC139F"/>
    <w:rsid w:val="00CC1551"/>
    <w:rsid w:val="00CC1886"/>
    <w:rsid w:val="00CC1B44"/>
    <w:rsid w:val="00CC2273"/>
    <w:rsid w:val="00CC2506"/>
    <w:rsid w:val="00CC267D"/>
    <w:rsid w:val="00CC2904"/>
    <w:rsid w:val="00CC2F03"/>
    <w:rsid w:val="00CC30A6"/>
    <w:rsid w:val="00CC31C5"/>
    <w:rsid w:val="00CC35F5"/>
    <w:rsid w:val="00CC3657"/>
    <w:rsid w:val="00CC3DBD"/>
    <w:rsid w:val="00CC4112"/>
    <w:rsid w:val="00CC444B"/>
    <w:rsid w:val="00CC4533"/>
    <w:rsid w:val="00CC4CA0"/>
    <w:rsid w:val="00CC4F25"/>
    <w:rsid w:val="00CC5318"/>
    <w:rsid w:val="00CC5422"/>
    <w:rsid w:val="00CC5891"/>
    <w:rsid w:val="00CC5F6B"/>
    <w:rsid w:val="00CC663C"/>
    <w:rsid w:val="00CC6786"/>
    <w:rsid w:val="00CC6B1B"/>
    <w:rsid w:val="00CC6E27"/>
    <w:rsid w:val="00CC74A3"/>
    <w:rsid w:val="00CC789A"/>
    <w:rsid w:val="00CD014E"/>
    <w:rsid w:val="00CD047F"/>
    <w:rsid w:val="00CD0846"/>
    <w:rsid w:val="00CD0B7C"/>
    <w:rsid w:val="00CD1361"/>
    <w:rsid w:val="00CD16AF"/>
    <w:rsid w:val="00CD2471"/>
    <w:rsid w:val="00CD254E"/>
    <w:rsid w:val="00CD2A82"/>
    <w:rsid w:val="00CD2E10"/>
    <w:rsid w:val="00CD33D3"/>
    <w:rsid w:val="00CD3E65"/>
    <w:rsid w:val="00CD443F"/>
    <w:rsid w:val="00CD4A24"/>
    <w:rsid w:val="00CD4C4F"/>
    <w:rsid w:val="00CD51CD"/>
    <w:rsid w:val="00CD528E"/>
    <w:rsid w:val="00CD55E6"/>
    <w:rsid w:val="00CD5773"/>
    <w:rsid w:val="00CD5CB0"/>
    <w:rsid w:val="00CD5CF8"/>
    <w:rsid w:val="00CD5F83"/>
    <w:rsid w:val="00CD66FB"/>
    <w:rsid w:val="00CD67C8"/>
    <w:rsid w:val="00CD6B95"/>
    <w:rsid w:val="00CD70F1"/>
    <w:rsid w:val="00CD7138"/>
    <w:rsid w:val="00CD7257"/>
    <w:rsid w:val="00CD74D6"/>
    <w:rsid w:val="00CE0658"/>
    <w:rsid w:val="00CE0D70"/>
    <w:rsid w:val="00CE0EF5"/>
    <w:rsid w:val="00CE1DA1"/>
    <w:rsid w:val="00CE2692"/>
    <w:rsid w:val="00CE26E8"/>
    <w:rsid w:val="00CE2CC3"/>
    <w:rsid w:val="00CE2F3E"/>
    <w:rsid w:val="00CE321B"/>
    <w:rsid w:val="00CE3C3B"/>
    <w:rsid w:val="00CE42E7"/>
    <w:rsid w:val="00CE4AF5"/>
    <w:rsid w:val="00CE4EF4"/>
    <w:rsid w:val="00CE5092"/>
    <w:rsid w:val="00CE54C6"/>
    <w:rsid w:val="00CE567D"/>
    <w:rsid w:val="00CE5B4A"/>
    <w:rsid w:val="00CE5C4F"/>
    <w:rsid w:val="00CE5F57"/>
    <w:rsid w:val="00CE5FFB"/>
    <w:rsid w:val="00CE6041"/>
    <w:rsid w:val="00CE6084"/>
    <w:rsid w:val="00CE68BA"/>
    <w:rsid w:val="00CE6A44"/>
    <w:rsid w:val="00CE6B95"/>
    <w:rsid w:val="00CE6C84"/>
    <w:rsid w:val="00CE6FD9"/>
    <w:rsid w:val="00CE70D5"/>
    <w:rsid w:val="00CE70F0"/>
    <w:rsid w:val="00CE721D"/>
    <w:rsid w:val="00CE74E3"/>
    <w:rsid w:val="00CE797A"/>
    <w:rsid w:val="00CE7A1B"/>
    <w:rsid w:val="00CE7B57"/>
    <w:rsid w:val="00CE7F62"/>
    <w:rsid w:val="00CF0036"/>
    <w:rsid w:val="00CF00E5"/>
    <w:rsid w:val="00CF0556"/>
    <w:rsid w:val="00CF089B"/>
    <w:rsid w:val="00CF0CDF"/>
    <w:rsid w:val="00CF1342"/>
    <w:rsid w:val="00CF1981"/>
    <w:rsid w:val="00CF1C88"/>
    <w:rsid w:val="00CF1D38"/>
    <w:rsid w:val="00CF1F1A"/>
    <w:rsid w:val="00CF213F"/>
    <w:rsid w:val="00CF214A"/>
    <w:rsid w:val="00CF2265"/>
    <w:rsid w:val="00CF234F"/>
    <w:rsid w:val="00CF272F"/>
    <w:rsid w:val="00CF27C2"/>
    <w:rsid w:val="00CF2B26"/>
    <w:rsid w:val="00CF2C00"/>
    <w:rsid w:val="00CF2CA3"/>
    <w:rsid w:val="00CF3225"/>
    <w:rsid w:val="00CF32B4"/>
    <w:rsid w:val="00CF33FA"/>
    <w:rsid w:val="00CF3974"/>
    <w:rsid w:val="00CF397B"/>
    <w:rsid w:val="00CF3F5C"/>
    <w:rsid w:val="00CF40B2"/>
    <w:rsid w:val="00CF4160"/>
    <w:rsid w:val="00CF4D96"/>
    <w:rsid w:val="00CF4E5E"/>
    <w:rsid w:val="00CF4FEC"/>
    <w:rsid w:val="00CF514C"/>
    <w:rsid w:val="00CF53B9"/>
    <w:rsid w:val="00CF5B28"/>
    <w:rsid w:val="00CF5D53"/>
    <w:rsid w:val="00CF60CB"/>
    <w:rsid w:val="00CF63A2"/>
    <w:rsid w:val="00CF65CB"/>
    <w:rsid w:val="00CF6AE9"/>
    <w:rsid w:val="00CF6E79"/>
    <w:rsid w:val="00CF7281"/>
    <w:rsid w:val="00D0027B"/>
    <w:rsid w:val="00D00AE3"/>
    <w:rsid w:val="00D00D9A"/>
    <w:rsid w:val="00D00F6A"/>
    <w:rsid w:val="00D0102A"/>
    <w:rsid w:val="00D01032"/>
    <w:rsid w:val="00D0108E"/>
    <w:rsid w:val="00D01317"/>
    <w:rsid w:val="00D0136B"/>
    <w:rsid w:val="00D013D1"/>
    <w:rsid w:val="00D01451"/>
    <w:rsid w:val="00D014BC"/>
    <w:rsid w:val="00D01885"/>
    <w:rsid w:val="00D018AC"/>
    <w:rsid w:val="00D01C42"/>
    <w:rsid w:val="00D02195"/>
    <w:rsid w:val="00D02734"/>
    <w:rsid w:val="00D02A35"/>
    <w:rsid w:val="00D02C7D"/>
    <w:rsid w:val="00D032C4"/>
    <w:rsid w:val="00D03342"/>
    <w:rsid w:val="00D03456"/>
    <w:rsid w:val="00D034C3"/>
    <w:rsid w:val="00D03590"/>
    <w:rsid w:val="00D038D9"/>
    <w:rsid w:val="00D03B04"/>
    <w:rsid w:val="00D03C0D"/>
    <w:rsid w:val="00D040BF"/>
    <w:rsid w:val="00D04462"/>
    <w:rsid w:val="00D044F3"/>
    <w:rsid w:val="00D0465C"/>
    <w:rsid w:val="00D04827"/>
    <w:rsid w:val="00D04995"/>
    <w:rsid w:val="00D04ECC"/>
    <w:rsid w:val="00D050A6"/>
    <w:rsid w:val="00D052B5"/>
    <w:rsid w:val="00D0540B"/>
    <w:rsid w:val="00D059B0"/>
    <w:rsid w:val="00D059BA"/>
    <w:rsid w:val="00D05D34"/>
    <w:rsid w:val="00D05FB1"/>
    <w:rsid w:val="00D0601B"/>
    <w:rsid w:val="00D0609B"/>
    <w:rsid w:val="00D06364"/>
    <w:rsid w:val="00D06DF0"/>
    <w:rsid w:val="00D06FAC"/>
    <w:rsid w:val="00D07425"/>
    <w:rsid w:val="00D0767B"/>
    <w:rsid w:val="00D07910"/>
    <w:rsid w:val="00D07BAD"/>
    <w:rsid w:val="00D07FF1"/>
    <w:rsid w:val="00D1053A"/>
    <w:rsid w:val="00D10B09"/>
    <w:rsid w:val="00D10B68"/>
    <w:rsid w:val="00D11165"/>
    <w:rsid w:val="00D117BE"/>
    <w:rsid w:val="00D11A2E"/>
    <w:rsid w:val="00D11A9B"/>
    <w:rsid w:val="00D11D30"/>
    <w:rsid w:val="00D12059"/>
    <w:rsid w:val="00D1225F"/>
    <w:rsid w:val="00D12C2F"/>
    <w:rsid w:val="00D1395B"/>
    <w:rsid w:val="00D13F55"/>
    <w:rsid w:val="00D14149"/>
    <w:rsid w:val="00D14225"/>
    <w:rsid w:val="00D1450D"/>
    <w:rsid w:val="00D14B12"/>
    <w:rsid w:val="00D14C50"/>
    <w:rsid w:val="00D14D26"/>
    <w:rsid w:val="00D14FAC"/>
    <w:rsid w:val="00D15169"/>
    <w:rsid w:val="00D155BC"/>
    <w:rsid w:val="00D15608"/>
    <w:rsid w:val="00D15933"/>
    <w:rsid w:val="00D15CFE"/>
    <w:rsid w:val="00D15F1B"/>
    <w:rsid w:val="00D16271"/>
    <w:rsid w:val="00D16888"/>
    <w:rsid w:val="00D16F16"/>
    <w:rsid w:val="00D17043"/>
    <w:rsid w:val="00D172D8"/>
    <w:rsid w:val="00D178CC"/>
    <w:rsid w:val="00D207CC"/>
    <w:rsid w:val="00D20B0A"/>
    <w:rsid w:val="00D20B1E"/>
    <w:rsid w:val="00D20BC9"/>
    <w:rsid w:val="00D21096"/>
    <w:rsid w:val="00D2142C"/>
    <w:rsid w:val="00D21444"/>
    <w:rsid w:val="00D21573"/>
    <w:rsid w:val="00D21697"/>
    <w:rsid w:val="00D21955"/>
    <w:rsid w:val="00D21978"/>
    <w:rsid w:val="00D21DE2"/>
    <w:rsid w:val="00D220BA"/>
    <w:rsid w:val="00D22517"/>
    <w:rsid w:val="00D22AAD"/>
    <w:rsid w:val="00D22CD6"/>
    <w:rsid w:val="00D22D9A"/>
    <w:rsid w:val="00D2321B"/>
    <w:rsid w:val="00D23E96"/>
    <w:rsid w:val="00D2442F"/>
    <w:rsid w:val="00D24540"/>
    <w:rsid w:val="00D2539A"/>
    <w:rsid w:val="00D25671"/>
    <w:rsid w:val="00D257B6"/>
    <w:rsid w:val="00D258C8"/>
    <w:rsid w:val="00D260B7"/>
    <w:rsid w:val="00D2627F"/>
    <w:rsid w:val="00D26AA8"/>
    <w:rsid w:val="00D26D69"/>
    <w:rsid w:val="00D26E00"/>
    <w:rsid w:val="00D2796F"/>
    <w:rsid w:val="00D2799C"/>
    <w:rsid w:val="00D27AA3"/>
    <w:rsid w:val="00D27AE3"/>
    <w:rsid w:val="00D27DFA"/>
    <w:rsid w:val="00D27F05"/>
    <w:rsid w:val="00D27FBF"/>
    <w:rsid w:val="00D3008C"/>
    <w:rsid w:val="00D3008D"/>
    <w:rsid w:val="00D3044B"/>
    <w:rsid w:val="00D30802"/>
    <w:rsid w:val="00D30D91"/>
    <w:rsid w:val="00D3218A"/>
    <w:rsid w:val="00D3252E"/>
    <w:rsid w:val="00D33109"/>
    <w:rsid w:val="00D33173"/>
    <w:rsid w:val="00D3324C"/>
    <w:rsid w:val="00D3355A"/>
    <w:rsid w:val="00D33584"/>
    <w:rsid w:val="00D335C7"/>
    <w:rsid w:val="00D339E6"/>
    <w:rsid w:val="00D33E29"/>
    <w:rsid w:val="00D34014"/>
    <w:rsid w:val="00D3455C"/>
    <w:rsid w:val="00D34741"/>
    <w:rsid w:val="00D348B4"/>
    <w:rsid w:val="00D34A10"/>
    <w:rsid w:val="00D34D84"/>
    <w:rsid w:val="00D34E97"/>
    <w:rsid w:val="00D34F28"/>
    <w:rsid w:val="00D35017"/>
    <w:rsid w:val="00D351E0"/>
    <w:rsid w:val="00D357B3"/>
    <w:rsid w:val="00D3583E"/>
    <w:rsid w:val="00D35B67"/>
    <w:rsid w:val="00D35E75"/>
    <w:rsid w:val="00D35EE3"/>
    <w:rsid w:val="00D35FDE"/>
    <w:rsid w:val="00D3696D"/>
    <w:rsid w:val="00D36977"/>
    <w:rsid w:val="00D36CF9"/>
    <w:rsid w:val="00D36D0C"/>
    <w:rsid w:val="00D36FB6"/>
    <w:rsid w:val="00D3713B"/>
    <w:rsid w:val="00D379C7"/>
    <w:rsid w:val="00D37BC5"/>
    <w:rsid w:val="00D40017"/>
    <w:rsid w:val="00D40249"/>
    <w:rsid w:val="00D402C1"/>
    <w:rsid w:val="00D40407"/>
    <w:rsid w:val="00D40451"/>
    <w:rsid w:val="00D4097C"/>
    <w:rsid w:val="00D40B24"/>
    <w:rsid w:val="00D40C14"/>
    <w:rsid w:val="00D41371"/>
    <w:rsid w:val="00D41624"/>
    <w:rsid w:val="00D41C2C"/>
    <w:rsid w:val="00D41DF8"/>
    <w:rsid w:val="00D42139"/>
    <w:rsid w:val="00D4243C"/>
    <w:rsid w:val="00D42503"/>
    <w:rsid w:val="00D42B92"/>
    <w:rsid w:val="00D42CDD"/>
    <w:rsid w:val="00D431AB"/>
    <w:rsid w:val="00D43570"/>
    <w:rsid w:val="00D43F30"/>
    <w:rsid w:val="00D44241"/>
    <w:rsid w:val="00D445A1"/>
    <w:rsid w:val="00D44B7C"/>
    <w:rsid w:val="00D44CE4"/>
    <w:rsid w:val="00D44CF3"/>
    <w:rsid w:val="00D44F98"/>
    <w:rsid w:val="00D45794"/>
    <w:rsid w:val="00D4608F"/>
    <w:rsid w:val="00D461C9"/>
    <w:rsid w:val="00D463D9"/>
    <w:rsid w:val="00D46629"/>
    <w:rsid w:val="00D46E51"/>
    <w:rsid w:val="00D4766F"/>
    <w:rsid w:val="00D47887"/>
    <w:rsid w:val="00D47940"/>
    <w:rsid w:val="00D479A4"/>
    <w:rsid w:val="00D47BA3"/>
    <w:rsid w:val="00D47C1B"/>
    <w:rsid w:val="00D47C7D"/>
    <w:rsid w:val="00D50654"/>
    <w:rsid w:val="00D50B27"/>
    <w:rsid w:val="00D5198B"/>
    <w:rsid w:val="00D51A08"/>
    <w:rsid w:val="00D51AF3"/>
    <w:rsid w:val="00D51C3E"/>
    <w:rsid w:val="00D51E55"/>
    <w:rsid w:val="00D51E9B"/>
    <w:rsid w:val="00D52202"/>
    <w:rsid w:val="00D52234"/>
    <w:rsid w:val="00D524D4"/>
    <w:rsid w:val="00D5282C"/>
    <w:rsid w:val="00D52A62"/>
    <w:rsid w:val="00D52AD9"/>
    <w:rsid w:val="00D52D3D"/>
    <w:rsid w:val="00D53326"/>
    <w:rsid w:val="00D535E7"/>
    <w:rsid w:val="00D5365C"/>
    <w:rsid w:val="00D5374E"/>
    <w:rsid w:val="00D5394E"/>
    <w:rsid w:val="00D53F9B"/>
    <w:rsid w:val="00D541AA"/>
    <w:rsid w:val="00D545DE"/>
    <w:rsid w:val="00D54669"/>
    <w:rsid w:val="00D54A2B"/>
    <w:rsid w:val="00D54AC5"/>
    <w:rsid w:val="00D54D61"/>
    <w:rsid w:val="00D54D81"/>
    <w:rsid w:val="00D5531F"/>
    <w:rsid w:val="00D5542D"/>
    <w:rsid w:val="00D556E3"/>
    <w:rsid w:val="00D55980"/>
    <w:rsid w:val="00D55A53"/>
    <w:rsid w:val="00D55C56"/>
    <w:rsid w:val="00D55FD4"/>
    <w:rsid w:val="00D56403"/>
    <w:rsid w:val="00D564E9"/>
    <w:rsid w:val="00D566D3"/>
    <w:rsid w:val="00D5695A"/>
    <w:rsid w:val="00D56AAA"/>
    <w:rsid w:val="00D56B98"/>
    <w:rsid w:val="00D5722B"/>
    <w:rsid w:val="00D57508"/>
    <w:rsid w:val="00D5799D"/>
    <w:rsid w:val="00D57A87"/>
    <w:rsid w:val="00D57D60"/>
    <w:rsid w:val="00D6033D"/>
    <w:rsid w:val="00D6056E"/>
    <w:rsid w:val="00D60C6B"/>
    <w:rsid w:val="00D60DB4"/>
    <w:rsid w:val="00D61163"/>
    <w:rsid w:val="00D61268"/>
    <w:rsid w:val="00D612F3"/>
    <w:rsid w:val="00D615DC"/>
    <w:rsid w:val="00D61A5C"/>
    <w:rsid w:val="00D61A8C"/>
    <w:rsid w:val="00D61CD3"/>
    <w:rsid w:val="00D61DB6"/>
    <w:rsid w:val="00D6223E"/>
    <w:rsid w:val="00D62269"/>
    <w:rsid w:val="00D627F9"/>
    <w:rsid w:val="00D62D6B"/>
    <w:rsid w:val="00D62E75"/>
    <w:rsid w:val="00D63059"/>
    <w:rsid w:val="00D636A6"/>
    <w:rsid w:val="00D637EB"/>
    <w:rsid w:val="00D63E43"/>
    <w:rsid w:val="00D63FBC"/>
    <w:rsid w:val="00D64144"/>
    <w:rsid w:val="00D64421"/>
    <w:rsid w:val="00D64579"/>
    <w:rsid w:val="00D64772"/>
    <w:rsid w:val="00D6477B"/>
    <w:rsid w:val="00D64858"/>
    <w:rsid w:val="00D64CA3"/>
    <w:rsid w:val="00D64CF9"/>
    <w:rsid w:val="00D65832"/>
    <w:rsid w:val="00D658B7"/>
    <w:rsid w:val="00D659A8"/>
    <w:rsid w:val="00D65AD8"/>
    <w:rsid w:val="00D65CA0"/>
    <w:rsid w:val="00D65EC1"/>
    <w:rsid w:val="00D65F88"/>
    <w:rsid w:val="00D6617A"/>
    <w:rsid w:val="00D667D6"/>
    <w:rsid w:val="00D668D5"/>
    <w:rsid w:val="00D66B97"/>
    <w:rsid w:val="00D66E78"/>
    <w:rsid w:val="00D671A6"/>
    <w:rsid w:val="00D6743D"/>
    <w:rsid w:val="00D67847"/>
    <w:rsid w:val="00D67E49"/>
    <w:rsid w:val="00D7041A"/>
    <w:rsid w:val="00D704C8"/>
    <w:rsid w:val="00D704F7"/>
    <w:rsid w:val="00D70903"/>
    <w:rsid w:val="00D70A73"/>
    <w:rsid w:val="00D71334"/>
    <w:rsid w:val="00D713EF"/>
    <w:rsid w:val="00D71558"/>
    <w:rsid w:val="00D71719"/>
    <w:rsid w:val="00D7197D"/>
    <w:rsid w:val="00D719C1"/>
    <w:rsid w:val="00D71A41"/>
    <w:rsid w:val="00D71AEE"/>
    <w:rsid w:val="00D71E03"/>
    <w:rsid w:val="00D72065"/>
    <w:rsid w:val="00D724BC"/>
    <w:rsid w:val="00D72B88"/>
    <w:rsid w:val="00D72E3F"/>
    <w:rsid w:val="00D72FE3"/>
    <w:rsid w:val="00D73484"/>
    <w:rsid w:val="00D734D0"/>
    <w:rsid w:val="00D735DF"/>
    <w:rsid w:val="00D73DAB"/>
    <w:rsid w:val="00D741E1"/>
    <w:rsid w:val="00D741FD"/>
    <w:rsid w:val="00D7496F"/>
    <w:rsid w:val="00D749DD"/>
    <w:rsid w:val="00D74DEA"/>
    <w:rsid w:val="00D75DB8"/>
    <w:rsid w:val="00D75F63"/>
    <w:rsid w:val="00D760B5"/>
    <w:rsid w:val="00D767EE"/>
    <w:rsid w:val="00D77155"/>
    <w:rsid w:val="00D7739D"/>
    <w:rsid w:val="00D773E7"/>
    <w:rsid w:val="00D77703"/>
    <w:rsid w:val="00D7792B"/>
    <w:rsid w:val="00D814A9"/>
    <w:rsid w:val="00D814E8"/>
    <w:rsid w:val="00D81ABD"/>
    <w:rsid w:val="00D81C72"/>
    <w:rsid w:val="00D81E5D"/>
    <w:rsid w:val="00D81F9C"/>
    <w:rsid w:val="00D825D2"/>
    <w:rsid w:val="00D825F4"/>
    <w:rsid w:val="00D829DC"/>
    <w:rsid w:val="00D82A07"/>
    <w:rsid w:val="00D82A92"/>
    <w:rsid w:val="00D82BAA"/>
    <w:rsid w:val="00D82C4F"/>
    <w:rsid w:val="00D82C76"/>
    <w:rsid w:val="00D82C8A"/>
    <w:rsid w:val="00D82E60"/>
    <w:rsid w:val="00D8317B"/>
    <w:rsid w:val="00D832A8"/>
    <w:rsid w:val="00D83ADC"/>
    <w:rsid w:val="00D83B74"/>
    <w:rsid w:val="00D83E04"/>
    <w:rsid w:val="00D84288"/>
    <w:rsid w:val="00D84C92"/>
    <w:rsid w:val="00D84F5B"/>
    <w:rsid w:val="00D856A8"/>
    <w:rsid w:val="00D85C1C"/>
    <w:rsid w:val="00D862CD"/>
    <w:rsid w:val="00D863A6"/>
    <w:rsid w:val="00D867FC"/>
    <w:rsid w:val="00D86866"/>
    <w:rsid w:val="00D86983"/>
    <w:rsid w:val="00D869D6"/>
    <w:rsid w:val="00D86A51"/>
    <w:rsid w:val="00D86E50"/>
    <w:rsid w:val="00D87004"/>
    <w:rsid w:val="00D870E5"/>
    <w:rsid w:val="00D8711F"/>
    <w:rsid w:val="00D87139"/>
    <w:rsid w:val="00D87606"/>
    <w:rsid w:val="00D879BE"/>
    <w:rsid w:val="00D87D88"/>
    <w:rsid w:val="00D90012"/>
    <w:rsid w:val="00D90216"/>
    <w:rsid w:val="00D90519"/>
    <w:rsid w:val="00D908B9"/>
    <w:rsid w:val="00D90923"/>
    <w:rsid w:val="00D909FD"/>
    <w:rsid w:val="00D90B07"/>
    <w:rsid w:val="00D90D0E"/>
    <w:rsid w:val="00D90F88"/>
    <w:rsid w:val="00D91005"/>
    <w:rsid w:val="00D91101"/>
    <w:rsid w:val="00D9110C"/>
    <w:rsid w:val="00D911E3"/>
    <w:rsid w:val="00D914D3"/>
    <w:rsid w:val="00D918A9"/>
    <w:rsid w:val="00D91A1D"/>
    <w:rsid w:val="00D91BA4"/>
    <w:rsid w:val="00D92068"/>
    <w:rsid w:val="00D9211E"/>
    <w:rsid w:val="00D9227A"/>
    <w:rsid w:val="00D922E6"/>
    <w:rsid w:val="00D92482"/>
    <w:rsid w:val="00D927AE"/>
    <w:rsid w:val="00D927F2"/>
    <w:rsid w:val="00D92901"/>
    <w:rsid w:val="00D92B8E"/>
    <w:rsid w:val="00D92E1A"/>
    <w:rsid w:val="00D92EE9"/>
    <w:rsid w:val="00D92FF7"/>
    <w:rsid w:val="00D938DD"/>
    <w:rsid w:val="00D93D17"/>
    <w:rsid w:val="00D943BE"/>
    <w:rsid w:val="00D945D6"/>
    <w:rsid w:val="00D94B90"/>
    <w:rsid w:val="00D950F2"/>
    <w:rsid w:val="00D9525B"/>
    <w:rsid w:val="00D95635"/>
    <w:rsid w:val="00D957D2"/>
    <w:rsid w:val="00D96C0B"/>
    <w:rsid w:val="00D96F42"/>
    <w:rsid w:val="00D974F8"/>
    <w:rsid w:val="00D97863"/>
    <w:rsid w:val="00D97A55"/>
    <w:rsid w:val="00D97ABC"/>
    <w:rsid w:val="00D97ADF"/>
    <w:rsid w:val="00D97C6E"/>
    <w:rsid w:val="00D97D48"/>
    <w:rsid w:val="00D97FD7"/>
    <w:rsid w:val="00DA0266"/>
    <w:rsid w:val="00DA0D9C"/>
    <w:rsid w:val="00DA0F02"/>
    <w:rsid w:val="00DA109A"/>
    <w:rsid w:val="00DA1469"/>
    <w:rsid w:val="00DA1800"/>
    <w:rsid w:val="00DA1873"/>
    <w:rsid w:val="00DA1C8F"/>
    <w:rsid w:val="00DA1EE2"/>
    <w:rsid w:val="00DA205F"/>
    <w:rsid w:val="00DA24F9"/>
    <w:rsid w:val="00DA260E"/>
    <w:rsid w:val="00DA28F3"/>
    <w:rsid w:val="00DA2B7C"/>
    <w:rsid w:val="00DA2D9D"/>
    <w:rsid w:val="00DA30F4"/>
    <w:rsid w:val="00DA3847"/>
    <w:rsid w:val="00DA3BFB"/>
    <w:rsid w:val="00DA3F78"/>
    <w:rsid w:val="00DA3FE7"/>
    <w:rsid w:val="00DA4449"/>
    <w:rsid w:val="00DA47A0"/>
    <w:rsid w:val="00DA4903"/>
    <w:rsid w:val="00DA494B"/>
    <w:rsid w:val="00DA5248"/>
    <w:rsid w:val="00DA5C9D"/>
    <w:rsid w:val="00DA61F6"/>
    <w:rsid w:val="00DA6600"/>
    <w:rsid w:val="00DA74A6"/>
    <w:rsid w:val="00DA76CA"/>
    <w:rsid w:val="00DA77C6"/>
    <w:rsid w:val="00DA7C2B"/>
    <w:rsid w:val="00DA7D4C"/>
    <w:rsid w:val="00DB034C"/>
    <w:rsid w:val="00DB0426"/>
    <w:rsid w:val="00DB076D"/>
    <w:rsid w:val="00DB0855"/>
    <w:rsid w:val="00DB0AC6"/>
    <w:rsid w:val="00DB0D3A"/>
    <w:rsid w:val="00DB0DE2"/>
    <w:rsid w:val="00DB135E"/>
    <w:rsid w:val="00DB140E"/>
    <w:rsid w:val="00DB14D6"/>
    <w:rsid w:val="00DB1523"/>
    <w:rsid w:val="00DB184E"/>
    <w:rsid w:val="00DB1E82"/>
    <w:rsid w:val="00DB2114"/>
    <w:rsid w:val="00DB23F3"/>
    <w:rsid w:val="00DB2420"/>
    <w:rsid w:val="00DB2432"/>
    <w:rsid w:val="00DB24B8"/>
    <w:rsid w:val="00DB279C"/>
    <w:rsid w:val="00DB2A77"/>
    <w:rsid w:val="00DB2AB2"/>
    <w:rsid w:val="00DB2B24"/>
    <w:rsid w:val="00DB2FA0"/>
    <w:rsid w:val="00DB3019"/>
    <w:rsid w:val="00DB30F5"/>
    <w:rsid w:val="00DB347A"/>
    <w:rsid w:val="00DB34F1"/>
    <w:rsid w:val="00DB3544"/>
    <w:rsid w:val="00DB3571"/>
    <w:rsid w:val="00DB3990"/>
    <w:rsid w:val="00DB3AE7"/>
    <w:rsid w:val="00DB4091"/>
    <w:rsid w:val="00DB4181"/>
    <w:rsid w:val="00DB45FE"/>
    <w:rsid w:val="00DB4A2B"/>
    <w:rsid w:val="00DB4B5B"/>
    <w:rsid w:val="00DB533F"/>
    <w:rsid w:val="00DB5342"/>
    <w:rsid w:val="00DB544A"/>
    <w:rsid w:val="00DB586B"/>
    <w:rsid w:val="00DB6035"/>
    <w:rsid w:val="00DB6312"/>
    <w:rsid w:val="00DB646C"/>
    <w:rsid w:val="00DB6658"/>
    <w:rsid w:val="00DB6830"/>
    <w:rsid w:val="00DB705A"/>
    <w:rsid w:val="00DB7138"/>
    <w:rsid w:val="00DB726D"/>
    <w:rsid w:val="00DB7402"/>
    <w:rsid w:val="00DB76BC"/>
    <w:rsid w:val="00DB7AFC"/>
    <w:rsid w:val="00DC042E"/>
    <w:rsid w:val="00DC079A"/>
    <w:rsid w:val="00DC1065"/>
    <w:rsid w:val="00DC106A"/>
    <w:rsid w:val="00DC12AD"/>
    <w:rsid w:val="00DC154F"/>
    <w:rsid w:val="00DC1873"/>
    <w:rsid w:val="00DC191D"/>
    <w:rsid w:val="00DC1A74"/>
    <w:rsid w:val="00DC1EFE"/>
    <w:rsid w:val="00DC1FEE"/>
    <w:rsid w:val="00DC204E"/>
    <w:rsid w:val="00DC20D2"/>
    <w:rsid w:val="00DC228C"/>
    <w:rsid w:val="00DC2874"/>
    <w:rsid w:val="00DC2DFF"/>
    <w:rsid w:val="00DC3152"/>
    <w:rsid w:val="00DC3722"/>
    <w:rsid w:val="00DC3837"/>
    <w:rsid w:val="00DC38B9"/>
    <w:rsid w:val="00DC4501"/>
    <w:rsid w:val="00DC4534"/>
    <w:rsid w:val="00DC47C8"/>
    <w:rsid w:val="00DC4838"/>
    <w:rsid w:val="00DC4B67"/>
    <w:rsid w:val="00DC4BAD"/>
    <w:rsid w:val="00DC4EFA"/>
    <w:rsid w:val="00DC50BD"/>
    <w:rsid w:val="00DC5416"/>
    <w:rsid w:val="00DC5674"/>
    <w:rsid w:val="00DC57ED"/>
    <w:rsid w:val="00DC64F5"/>
    <w:rsid w:val="00DC6966"/>
    <w:rsid w:val="00DC69AB"/>
    <w:rsid w:val="00DC6B80"/>
    <w:rsid w:val="00DC6CEC"/>
    <w:rsid w:val="00DC73DB"/>
    <w:rsid w:val="00DC77CC"/>
    <w:rsid w:val="00DC78D5"/>
    <w:rsid w:val="00DC7AF7"/>
    <w:rsid w:val="00DC7FA3"/>
    <w:rsid w:val="00DD031C"/>
    <w:rsid w:val="00DD083D"/>
    <w:rsid w:val="00DD135B"/>
    <w:rsid w:val="00DD1478"/>
    <w:rsid w:val="00DD17C7"/>
    <w:rsid w:val="00DD18D4"/>
    <w:rsid w:val="00DD19CF"/>
    <w:rsid w:val="00DD1BC6"/>
    <w:rsid w:val="00DD1D7D"/>
    <w:rsid w:val="00DD204F"/>
    <w:rsid w:val="00DD2233"/>
    <w:rsid w:val="00DD237D"/>
    <w:rsid w:val="00DD2899"/>
    <w:rsid w:val="00DD2E1C"/>
    <w:rsid w:val="00DD2E72"/>
    <w:rsid w:val="00DD322D"/>
    <w:rsid w:val="00DD3BE6"/>
    <w:rsid w:val="00DD3D22"/>
    <w:rsid w:val="00DD3D86"/>
    <w:rsid w:val="00DD3EEC"/>
    <w:rsid w:val="00DD3EF8"/>
    <w:rsid w:val="00DD3FAC"/>
    <w:rsid w:val="00DD443C"/>
    <w:rsid w:val="00DD4766"/>
    <w:rsid w:val="00DD4CF2"/>
    <w:rsid w:val="00DD4F38"/>
    <w:rsid w:val="00DD505B"/>
    <w:rsid w:val="00DD5543"/>
    <w:rsid w:val="00DD55E1"/>
    <w:rsid w:val="00DD5719"/>
    <w:rsid w:val="00DD577F"/>
    <w:rsid w:val="00DD6685"/>
    <w:rsid w:val="00DD687C"/>
    <w:rsid w:val="00DD68B6"/>
    <w:rsid w:val="00DD6D09"/>
    <w:rsid w:val="00DD6F79"/>
    <w:rsid w:val="00DD720E"/>
    <w:rsid w:val="00DD7221"/>
    <w:rsid w:val="00DD7441"/>
    <w:rsid w:val="00DD7CF9"/>
    <w:rsid w:val="00DD7E26"/>
    <w:rsid w:val="00DE0969"/>
    <w:rsid w:val="00DE09D4"/>
    <w:rsid w:val="00DE0C71"/>
    <w:rsid w:val="00DE0D63"/>
    <w:rsid w:val="00DE1451"/>
    <w:rsid w:val="00DE1708"/>
    <w:rsid w:val="00DE1B05"/>
    <w:rsid w:val="00DE1C75"/>
    <w:rsid w:val="00DE27C3"/>
    <w:rsid w:val="00DE297E"/>
    <w:rsid w:val="00DE2A21"/>
    <w:rsid w:val="00DE2E11"/>
    <w:rsid w:val="00DE32AD"/>
    <w:rsid w:val="00DE35B6"/>
    <w:rsid w:val="00DE3AB7"/>
    <w:rsid w:val="00DE3B43"/>
    <w:rsid w:val="00DE4370"/>
    <w:rsid w:val="00DE4612"/>
    <w:rsid w:val="00DE46B1"/>
    <w:rsid w:val="00DE4A2C"/>
    <w:rsid w:val="00DE4A85"/>
    <w:rsid w:val="00DE4ACF"/>
    <w:rsid w:val="00DE4C73"/>
    <w:rsid w:val="00DE5AE0"/>
    <w:rsid w:val="00DE5EFD"/>
    <w:rsid w:val="00DE65B8"/>
    <w:rsid w:val="00DE6A6C"/>
    <w:rsid w:val="00DE6C9E"/>
    <w:rsid w:val="00DE717F"/>
    <w:rsid w:val="00DE7409"/>
    <w:rsid w:val="00DE79B3"/>
    <w:rsid w:val="00DE79EF"/>
    <w:rsid w:val="00DE7C61"/>
    <w:rsid w:val="00DF01BF"/>
    <w:rsid w:val="00DF0D8B"/>
    <w:rsid w:val="00DF0DEF"/>
    <w:rsid w:val="00DF111E"/>
    <w:rsid w:val="00DF146C"/>
    <w:rsid w:val="00DF14A3"/>
    <w:rsid w:val="00DF17B4"/>
    <w:rsid w:val="00DF1869"/>
    <w:rsid w:val="00DF1BE6"/>
    <w:rsid w:val="00DF20F4"/>
    <w:rsid w:val="00DF2244"/>
    <w:rsid w:val="00DF2282"/>
    <w:rsid w:val="00DF23DE"/>
    <w:rsid w:val="00DF266A"/>
    <w:rsid w:val="00DF304B"/>
    <w:rsid w:val="00DF31E3"/>
    <w:rsid w:val="00DF334F"/>
    <w:rsid w:val="00DF39B0"/>
    <w:rsid w:val="00DF4526"/>
    <w:rsid w:val="00DF4894"/>
    <w:rsid w:val="00DF5083"/>
    <w:rsid w:val="00DF58FF"/>
    <w:rsid w:val="00DF5C2D"/>
    <w:rsid w:val="00DF5D2B"/>
    <w:rsid w:val="00DF5DA0"/>
    <w:rsid w:val="00DF5DB4"/>
    <w:rsid w:val="00DF6526"/>
    <w:rsid w:val="00DF65C5"/>
    <w:rsid w:val="00DF68F2"/>
    <w:rsid w:val="00DF6972"/>
    <w:rsid w:val="00DF6C7E"/>
    <w:rsid w:val="00DF70A6"/>
    <w:rsid w:val="00DF710E"/>
    <w:rsid w:val="00E005FE"/>
    <w:rsid w:val="00E00C29"/>
    <w:rsid w:val="00E00C61"/>
    <w:rsid w:val="00E00F39"/>
    <w:rsid w:val="00E01379"/>
    <w:rsid w:val="00E0175A"/>
    <w:rsid w:val="00E019F6"/>
    <w:rsid w:val="00E01AF7"/>
    <w:rsid w:val="00E021E9"/>
    <w:rsid w:val="00E02459"/>
    <w:rsid w:val="00E026FA"/>
    <w:rsid w:val="00E02A04"/>
    <w:rsid w:val="00E02D5B"/>
    <w:rsid w:val="00E02D7C"/>
    <w:rsid w:val="00E0308D"/>
    <w:rsid w:val="00E03476"/>
    <w:rsid w:val="00E03994"/>
    <w:rsid w:val="00E03C16"/>
    <w:rsid w:val="00E03CF8"/>
    <w:rsid w:val="00E03DD1"/>
    <w:rsid w:val="00E0485E"/>
    <w:rsid w:val="00E04C54"/>
    <w:rsid w:val="00E04D00"/>
    <w:rsid w:val="00E04D56"/>
    <w:rsid w:val="00E04E45"/>
    <w:rsid w:val="00E04E6C"/>
    <w:rsid w:val="00E04F3C"/>
    <w:rsid w:val="00E05290"/>
    <w:rsid w:val="00E05632"/>
    <w:rsid w:val="00E05A65"/>
    <w:rsid w:val="00E05C37"/>
    <w:rsid w:val="00E06436"/>
    <w:rsid w:val="00E067BB"/>
    <w:rsid w:val="00E06EDC"/>
    <w:rsid w:val="00E073EF"/>
    <w:rsid w:val="00E075EE"/>
    <w:rsid w:val="00E0760A"/>
    <w:rsid w:val="00E07763"/>
    <w:rsid w:val="00E07991"/>
    <w:rsid w:val="00E1050A"/>
    <w:rsid w:val="00E1050D"/>
    <w:rsid w:val="00E1051E"/>
    <w:rsid w:val="00E10B71"/>
    <w:rsid w:val="00E11086"/>
    <w:rsid w:val="00E1144E"/>
    <w:rsid w:val="00E115C8"/>
    <w:rsid w:val="00E119E3"/>
    <w:rsid w:val="00E11B4F"/>
    <w:rsid w:val="00E11D8E"/>
    <w:rsid w:val="00E11DA8"/>
    <w:rsid w:val="00E11DB8"/>
    <w:rsid w:val="00E11F96"/>
    <w:rsid w:val="00E124FD"/>
    <w:rsid w:val="00E125C2"/>
    <w:rsid w:val="00E1294A"/>
    <w:rsid w:val="00E12A03"/>
    <w:rsid w:val="00E12BC6"/>
    <w:rsid w:val="00E12E86"/>
    <w:rsid w:val="00E131CC"/>
    <w:rsid w:val="00E13834"/>
    <w:rsid w:val="00E13A75"/>
    <w:rsid w:val="00E13F11"/>
    <w:rsid w:val="00E14086"/>
    <w:rsid w:val="00E140AD"/>
    <w:rsid w:val="00E141F1"/>
    <w:rsid w:val="00E142A8"/>
    <w:rsid w:val="00E143DB"/>
    <w:rsid w:val="00E143FB"/>
    <w:rsid w:val="00E145BF"/>
    <w:rsid w:val="00E1462F"/>
    <w:rsid w:val="00E14A5F"/>
    <w:rsid w:val="00E153CC"/>
    <w:rsid w:val="00E15580"/>
    <w:rsid w:val="00E156BD"/>
    <w:rsid w:val="00E15CCE"/>
    <w:rsid w:val="00E15F67"/>
    <w:rsid w:val="00E15FA7"/>
    <w:rsid w:val="00E16326"/>
    <w:rsid w:val="00E1642C"/>
    <w:rsid w:val="00E1668B"/>
    <w:rsid w:val="00E16CB4"/>
    <w:rsid w:val="00E16F28"/>
    <w:rsid w:val="00E16F70"/>
    <w:rsid w:val="00E17114"/>
    <w:rsid w:val="00E173CE"/>
    <w:rsid w:val="00E177CE"/>
    <w:rsid w:val="00E1787C"/>
    <w:rsid w:val="00E17C9B"/>
    <w:rsid w:val="00E17E41"/>
    <w:rsid w:val="00E17F4F"/>
    <w:rsid w:val="00E200C0"/>
    <w:rsid w:val="00E20113"/>
    <w:rsid w:val="00E20329"/>
    <w:rsid w:val="00E20670"/>
    <w:rsid w:val="00E20747"/>
    <w:rsid w:val="00E20A61"/>
    <w:rsid w:val="00E20A94"/>
    <w:rsid w:val="00E21595"/>
    <w:rsid w:val="00E21E16"/>
    <w:rsid w:val="00E21EC2"/>
    <w:rsid w:val="00E22160"/>
    <w:rsid w:val="00E22EE4"/>
    <w:rsid w:val="00E230BC"/>
    <w:rsid w:val="00E2318B"/>
    <w:rsid w:val="00E23283"/>
    <w:rsid w:val="00E235FA"/>
    <w:rsid w:val="00E2379C"/>
    <w:rsid w:val="00E238F0"/>
    <w:rsid w:val="00E23C8D"/>
    <w:rsid w:val="00E23DE5"/>
    <w:rsid w:val="00E23F3E"/>
    <w:rsid w:val="00E24681"/>
    <w:rsid w:val="00E24C6A"/>
    <w:rsid w:val="00E25200"/>
    <w:rsid w:val="00E25458"/>
    <w:rsid w:val="00E256AD"/>
    <w:rsid w:val="00E25722"/>
    <w:rsid w:val="00E25B24"/>
    <w:rsid w:val="00E260F0"/>
    <w:rsid w:val="00E26602"/>
    <w:rsid w:val="00E26B71"/>
    <w:rsid w:val="00E275C1"/>
    <w:rsid w:val="00E275CA"/>
    <w:rsid w:val="00E27638"/>
    <w:rsid w:val="00E27842"/>
    <w:rsid w:val="00E278C4"/>
    <w:rsid w:val="00E27ABB"/>
    <w:rsid w:val="00E30854"/>
    <w:rsid w:val="00E308AB"/>
    <w:rsid w:val="00E30981"/>
    <w:rsid w:val="00E30B46"/>
    <w:rsid w:val="00E30C02"/>
    <w:rsid w:val="00E30C42"/>
    <w:rsid w:val="00E313E9"/>
    <w:rsid w:val="00E314B2"/>
    <w:rsid w:val="00E318F1"/>
    <w:rsid w:val="00E31AB2"/>
    <w:rsid w:val="00E31C47"/>
    <w:rsid w:val="00E31EF0"/>
    <w:rsid w:val="00E32072"/>
    <w:rsid w:val="00E3237B"/>
    <w:rsid w:val="00E32401"/>
    <w:rsid w:val="00E32548"/>
    <w:rsid w:val="00E32A46"/>
    <w:rsid w:val="00E32CB8"/>
    <w:rsid w:val="00E33793"/>
    <w:rsid w:val="00E341D1"/>
    <w:rsid w:val="00E34447"/>
    <w:rsid w:val="00E346FB"/>
    <w:rsid w:val="00E347DC"/>
    <w:rsid w:val="00E3497F"/>
    <w:rsid w:val="00E34B61"/>
    <w:rsid w:val="00E34B90"/>
    <w:rsid w:val="00E34C39"/>
    <w:rsid w:val="00E34D3E"/>
    <w:rsid w:val="00E34DAA"/>
    <w:rsid w:val="00E35800"/>
    <w:rsid w:val="00E35B54"/>
    <w:rsid w:val="00E35D77"/>
    <w:rsid w:val="00E3605B"/>
    <w:rsid w:val="00E36120"/>
    <w:rsid w:val="00E36233"/>
    <w:rsid w:val="00E362A3"/>
    <w:rsid w:val="00E36734"/>
    <w:rsid w:val="00E36913"/>
    <w:rsid w:val="00E36FEB"/>
    <w:rsid w:val="00E373F2"/>
    <w:rsid w:val="00E37EC2"/>
    <w:rsid w:val="00E37F77"/>
    <w:rsid w:val="00E37F81"/>
    <w:rsid w:val="00E403B0"/>
    <w:rsid w:val="00E40A81"/>
    <w:rsid w:val="00E40EB6"/>
    <w:rsid w:val="00E41570"/>
    <w:rsid w:val="00E4168C"/>
    <w:rsid w:val="00E416AD"/>
    <w:rsid w:val="00E4184C"/>
    <w:rsid w:val="00E41E22"/>
    <w:rsid w:val="00E41E40"/>
    <w:rsid w:val="00E42080"/>
    <w:rsid w:val="00E421DC"/>
    <w:rsid w:val="00E42286"/>
    <w:rsid w:val="00E42516"/>
    <w:rsid w:val="00E42940"/>
    <w:rsid w:val="00E42BEB"/>
    <w:rsid w:val="00E42CC5"/>
    <w:rsid w:val="00E430CF"/>
    <w:rsid w:val="00E439C5"/>
    <w:rsid w:val="00E43A99"/>
    <w:rsid w:val="00E43BF6"/>
    <w:rsid w:val="00E43C33"/>
    <w:rsid w:val="00E43D15"/>
    <w:rsid w:val="00E4426B"/>
    <w:rsid w:val="00E44364"/>
    <w:rsid w:val="00E4488F"/>
    <w:rsid w:val="00E453D5"/>
    <w:rsid w:val="00E45D88"/>
    <w:rsid w:val="00E45DA3"/>
    <w:rsid w:val="00E467F3"/>
    <w:rsid w:val="00E46850"/>
    <w:rsid w:val="00E46D9B"/>
    <w:rsid w:val="00E47785"/>
    <w:rsid w:val="00E47C1E"/>
    <w:rsid w:val="00E47C46"/>
    <w:rsid w:val="00E47D48"/>
    <w:rsid w:val="00E502DA"/>
    <w:rsid w:val="00E503B4"/>
    <w:rsid w:val="00E50FB1"/>
    <w:rsid w:val="00E5145A"/>
    <w:rsid w:val="00E516D7"/>
    <w:rsid w:val="00E51792"/>
    <w:rsid w:val="00E5252C"/>
    <w:rsid w:val="00E52B22"/>
    <w:rsid w:val="00E530B8"/>
    <w:rsid w:val="00E53A9A"/>
    <w:rsid w:val="00E53AC9"/>
    <w:rsid w:val="00E53BF3"/>
    <w:rsid w:val="00E53DB4"/>
    <w:rsid w:val="00E541FD"/>
    <w:rsid w:val="00E54FC8"/>
    <w:rsid w:val="00E55081"/>
    <w:rsid w:val="00E5530D"/>
    <w:rsid w:val="00E555DF"/>
    <w:rsid w:val="00E558ED"/>
    <w:rsid w:val="00E55B87"/>
    <w:rsid w:val="00E56CB1"/>
    <w:rsid w:val="00E56FD3"/>
    <w:rsid w:val="00E57074"/>
    <w:rsid w:val="00E57096"/>
    <w:rsid w:val="00E576BF"/>
    <w:rsid w:val="00E57773"/>
    <w:rsid w:val="00E579AE"/>
    <w:rsid w:val="00E57B40"/>
    <w:rsid w:val="00E6099C"/>
    <w:rsid w:val="00E60A23"/>
    <w:rsid w:val="00E6149E"/>
    <w:rsid w:val="00E6182A"/>
    <w:rsid w:val="00E62082"/>
    <w:rsid w:val="00E6259C"/>
    <w:rsid w:val="00E62B59"/>
    <w:rsid w:val="00E62B6F"/>
    <w:rsid w:val="00E62F53"/>
    <w:rsid w:val="00E6338E"/>
    <w:rsid w:val="00E635AA"/>
    <w:rsid w:val="00E635F1"/>
    <w:rsid w:val="00E6493D"/>
    <w:rsid w:val="00E649C9"/>
    <w:rsid w:val="00E649F1"/>
    <w:rsid w:val="00E64BA3"/>
    <w:rsid w:val="00E64E46"/>
    <w:rsid w:val="00E6504F"/>
    <w:rsid w:val="00E65280"/>
    <w:rsid w:val="00E652FB"/>
    <w:rsid w:val="00E653F9"/>
    <w:rsid w:val="00E65813"/>
    <w:rsid w:val="00E65878"/>
    <w:rsid w:val="00E658DA"/>
    <w:rsid w:val="00E659C6"/>
    <w:rsid w:val="00E66334"/>
    <w:rsid w:val="00E66669"/>
    <w:rsid w:val="00E66DEA"/>
    <w:rsid w:val="00E67331"/>
    <w:rsid w:val="00E67876"/>
    <w:rsid w:val="00E67EB3"/>
    <w:rsid w:val="00E67EB7"/>
    <w:rsid w:val="00E70009"/>
    <w:rsid w:val="00E701A3"/>
    <w:rsid w:val="00E70BA9"/>
    <w:rsid w:val="00E70CC3"/>
    <w:rsid w:val="00E7112C"/>
    <w:rsid w:val="00E71137"/>
    <w:rsid w:val="00E71535"/>
    <w:rsid w:val="00E7157A"/>
    <w:rsid w:val="00E71696"/>
    <w:rsid w:val="00E717FE"/>
    <w:rsid w:val="00E71BA1"/>
    <w:rsid w:val="00E721A7"/>
    <w:rsid w:val="00E72820"/>
    <w:rsid w:val="00E729CE"/>
    <w:rsid w:val="00E730D4"/>
    <w:rsid w:val="00E7336C"/>
    <w:rsid w:val="00E73397"/>
    <w:rsid w:val="00E73CCC"/>
    <w:rsid w:val="00E73DA2"/>
    <w:rsid w:val="00E74872"/>
    <w:rsid w:val="00E74A09"/>
    <w:rsid w:val="00E74D64"/>
    <w:rsid w:val="00E75009"/>
    <w:rsid w:val="00E75081"/>
    <w:rsid w:val="00E751BA"/>
    <w:rsid w:val="00E75EF7"/>
    <w:rsid w:val="00E75F21"/>
    <w:rsid w:val="00E7622E"/>
    <w:rsid w:val="00E7631F"/>
    <w:rsid w:val="00E763DB"/>
    <w:rsid w:val="00E764F7"/>
    <w:rsid w:val="00E766A2"/>
    <w:rsid w:val="00E76985"/>
    <w:rsid w:val="00E76E6E"/>
    <w:rsid w:val="00E77DE9"/>
    <w:rsid w:val="00E802BF"/>
    <w:rsid w:val="00E8063B"/>
    <w:rsid w:val="00E8083A"/>
    <w:rsid w:val="00E80EF8"/>
    <w:rsid w:val="00E811C8"/>
    <w:rsid w:val="00E81201"/>
    <w:rsid w:val="00E8137D"/>
    <w:rsid w:val="00E81489"/>
    <w:rsid w:val="00E816B7"/>
    <w:rsid w:val="00E816C6"/>
    <w:rsid w:val="00E81A3E"/>
    <w:rsid w:val="00E8218B"/>
    <w:rsid w:val="00E827F7"/>
    <w:rsid w:val="00E83400"/>
    <w:rsid w:val="00E83449"/>
    <w:rsid w:val="00E83A09"/>
    <w:rsid w:val="00E8416C"/>
    <w:rsid w:val="00E84331"/>
    <w:rsid w:val="00E84578"/>
    <w:rsid w:val="00E8486B"/>
    <w:rsid w:val="00E848EF"/>
    <w:rsid w:val="00E84DD1"/>
    <w:rsid w:val="00E84DF6"/>
    <w:rsid w:val="00E84F3A"/>
    <w:rsid w:val="00E85107"/>
    <w:rsid w:val="00E851E4"/>
    <w:rsid w:val="00E85649"/>
    <w:rsid w:val="00E85747"/>
    <w:rsid w:val="00E85821"/>
    <w:rsid w:val="00E86174"/>
    <w:rsid w:val="00E86210"/>
    <w:rsid w:val="00E867EA"/>
    <w:rsid w:val="00E86AB9"/>
    <w:rsid w:val="00E86C5B"/>
    <w:rsid w:val="00E87364"/>
    <w:rsid w:val="00E8759A"/>
    <w:rsid w:val="00E87A87"/>
    <w:rsid w:val="00E87D66"/>
    <w:rsid w:val="00E87DA2"/>
    <w:rsid w:val="00E87FA0"/>
    <w:rsid w:val="00E907FC"/>
    <w:rsid w:val="00E90969"/>
    <w:rsid w:val="00E90ADA"/>
    <w:rsid w:val="00E90B8F"/>
    <w:rsid w:val="00E91242"/>
    <w:rsid w:val="00E914C5"/>
    <w:rsid w:val="00E91D59"/>
    <w:rsid w:val="00E91D98"/>
    <w:rsid w:val="00E92DFC"/>
    <w:rsid w:val="00E92E5C"/>
    <w:rsid w:val="00E9334D"/>
    <w:rsid w:val="00E938A1"/>
    <w:rsid w:val="00E93B92"/>
    <w:rsid w:val="00E93D49"/>
    <w:rsid w:val="00E93DAD"/>
    <w:rsid w:val="00E93F5F"/>
    <w:rsid w:val="00E9416D"/>
    <w:rsid w:val="00E9427A"/>
    <w:rsid w:val="00E944C9"/>
    <w:rsid w:val="00E945B2"/>
    <w:rsid w:val="00E94766"/>
    <w:rsid w:val="00E94A62"/>
    <w:rsid w:val="00E94A87"/>
    <w:rsid w:val="00E94FA5"/>
    <w:rsid w:val="00E95084"/>
    <w:rsid w:val="00E953F4"/>
    <w:rsid w:val="00E962BC"/>
    <w:rsid w:val="00E963E3"/>
    <w:rsid w:val="00E96C21"/>
    <w:rsid w:val="00E96D09"/>
    <w:rsid w:val="00E9768B"/>
    <w:rsid w:val="00E97F21"/>
    <w:rsid w:val="00EA0742"/>
    <w:rsid w:val="00EA0E89"/>
    <w:rsid w:val="00EA0FD8"/>
    <w:rsid w:val="00EA14BE"/>
    <w:rsid w:val="00EA165D"/>
    <w:rsid w:val="00EA1BD8"/>
    <w:rsid w:val="00EA1C76"/>
    <w:rsid w:val="00EA1C79"/>
    <w:rsid w:val="00EA1D71"/>
    <w:rsid w:val="00EA2E39"/>
    <w:rsid w:val="00EA2E8F"/>
    <w:rsid w:val="00EA3C8D"/>
    <w:rsid w:val="00EA418A"/>
    <w:rsid w:val="00EA4955"/>
    <w:rsid w:val="00EA51D9"/>
    <w:rsid w:val="00EA555F"/>
    <w:rsid w:val="00EA564D"/>
    <w:rsid w:val="00EA58AD"/>
    <w:rsid w:val="00EA5BC3"/>
    <w:rsid w:val="00EA635B"/>
    <w:rsid w:val="00EA6B9E"/>
    <w:rsid w:val="00EA6E61"/>
    <w:rsid w:val="00EA7B85"/>
    <w:rsid w:val="00EA7D31"/>
    <w:rsid w:val="00EB006A"/>
    <w:rsid w:val="00EB00A4"/>
    <w:rsid w:val="00EB03AD"/>
    <w:rsid w:val="00EB073F"/>
    <w:rsid w:val="00EB0FA2"/>
    <w:rsid w:val="00EB15E9"/>
    <w:rsid w:val="00EB1733"/>
    <w:rsid w:val="00EB19AC"/>
    <w:rsid w:val="00EB1D9D"/>
    <w:rsid w:val="00EB1DCA"/>
    <w:rsid w:val="00EB205D"/>
    <w:rsid w:val="00EB24C8"/>
    <w:rsid w:val="00EB2A50"/>
    <w:rsid w:val="00EB3071"/>
    <w:rsid w:val="00EB310E"/>
    <w:rsid w:val="00EB3377"/>
    <w:rsid w:val="00EB363C"/>
    <w:rsid w:val="00EB3A93"/>
    <w:rsid w:val="00EB3C94"/>
    <w:rsid w:val="00EB4254"/>
    <w:rsid w:val="00EB46DC"/>
    <w:rsid w:val="00EB4966"/>
    <w:rsid w:val="00EB4A4D"/>
    <w:rsid w:val="00EB5395"/>
    <w:rsid w:val="00EB54AA"/>
    <w:rsid w:val="00EB5962"/>
    <w:rsid w:val="00EB5B6B"/>
    <w:rsid w:val="00EB5C2B"/>
    <w:rsid w:val="00EB5D29"/>
    <w:rsid w:val="00EB6240"/>
    <w:rsid w:val="00EB67FC"/>
    <w:rsid w:val="00EB6B19"/>
    <w:rsid w:val="00EB7789"/>
    <w:rsid w:val="00EB790B"/>
    <w:rsid w:val="00EC0077"/>
    <w:rsid w:val="00EC00B9"/>
    <w:rsid w:val="00EC0683"/>
    <w:rsid w:val="00EC06FA"/>
    <w:rsid w:val="00EC07BF"/>
    <w:rsid w:val="00EC0F9C"/>
    <w:rsid w:val="00EC0FC0"/>
    <w:rsid w:val="00EC1647"/>
    <w:rsid w:val="00EC167F"/>
    <w:rsid w:val="00EC1E76"/>
    <w:rsid w:val="00EC1E83"/>
    <w:rsid w:val="00EC1F28"/>
    <w:rsid w:val="00EC2216"/>
    <w:rsid w:val="00EC27F6"/>
    <w:rsid w:val="00EC2CE1"/>
    <w:rsid w:val="00EC2D62"/>
    <w:rsid w:val="00EC3300"/>
    <w:rsid w:val="00EC350C"/>
    <w:rsid w:val="00EC364F"/>
    <w:rsid w:val="00EC369C"/>
    <w:rsid w:val="00EC36D6"/>
    <w:rsid w:val="00EC37AD"/>
    <w:rsid w:val="00EC3948"/>
    <w:rsid w:val="00EC39BC"/>
    <w:rsid w:val="00EC3DF0"/>
    <w:rsid w:val="00EC3FA1"/>
    <w:rsid w:val="00EC4061"/>
    <w:rsid w:val="00EC42E6"/>
    <w:rsid w:val="00EC4512"/>
    <w:rsid w:val="00EC45C7"/>
    <w:rsid w:val="00EC4A50"/>
    <w:rsid w:val="00EC4B19"/>
    <w:rsid w:val="00EC4C66"/>
    <w:rsid w:val="00EC4DEE"/>
    <w:rsid w:val="00EC4FBB"/>
    <w:rsid w:val="00EC51D4"/>
    <w:rsid w:val="00EC5853"/>
    <w:rsid w:val="00EC5B0D"/>
    <w:rsid w:val="00EC5EB5"/>
    <w:rsid w:val="00EC5F51"/>
    <w:rsid w:val="00EC6243"/>
    <w:rsid w:val="00EC6842"/>
    <w:rsid w:val="00EC704F"/>
    <w:rsid w:val="00EC75AA"/>
    <w:rsid w:val="00EC77F7"/>
    <w:rsid w:val="00EC78B4"/>
    <w:rsid w:val="00EC7E78"/>
    <w:rsid w:val="00EC7ED1"/>
    <w:rsid w:val="00EC7FD9"/>
    <w:rsid w:val="00ED0248"/>
    <w:rsid w:val="00ED04B1"/>
    <w:rsid w:val="00ED067E"/>
    <w:rsid w:val="00ED094D"/>
    <w:rsid w:val="00ED0B58"/>
    <w:rsid w:val="00ED0B91"/>
    <w:rsid w:val="00ED0DA0"/>
    <w:rsid w:val="00ED1121"/>
    <w:rsid w:val="00ED186E"/>
    <w:rsid w:val="00ED18D0"/>
    <w:rsid w:val="00ED1EA5"/>
    <w:rsid w:val="00ED23BD"/>
    <w:rsid w:val="00ED28E5"/>
    <w:rsid w:val="00ED2A92"/>
    <w:rsid w:val="00ED2E2F"/>
    <w:rsid w:val="00ED2FD0"/>
    <w:rsid w:val="00ED2FEB"/>
    <w:rsid w:val="00ED302E"/>
    <w:rsid w:val="00ED39BF"/>
    <w:rsid w:val="00ED3BD9"/>
    <w:rsid w:val="00ED3C34"/>
    <w:rsid w:val="00ED45CE"/>
    <w:rsid w:val="00ED48FA"/>
    <w:rsid w:val="00ED4916"/>
    <w:rsid w:val="00ED494F"/>
    <w:rsid w:val="00ED4953"/>
    <w:rsid w:val="00ED52DF"/>
    <w:rsid w:val="00ED5388"/>
    <w:rsid w:val="00ED55F7"/>
    <w:rsid w:val="00ED5984"/>
    <w:rsid w:val="00ED59AB"/>
    <w:rsid w:val="00ED5BED"/>
    <w:rsid w:val="00ED5DD6"/>
    <w:rsid w:val="00ED644F"/>
    <w:rsid w:val="00ED66D5"/>
    <w:rsid w:val="00ED6DFF"/>
    <w:rsid w:val="00ED70E2"/>
    <w:rsid w:val="00ED70EF"/>
    <w:rsid w:val="00ED730D"/>
    <w:rsid w:val="00ED73A6"/>
    <w:rsid w:val="00ED77F2"/>
    <w:rsid w:val="00ED7AF6"/>
    <w:rsid w:val="00ED7D09"/>
    <w:rsid w:val="00ED7E6C"/>
    <w:rsid w:val="00EE01FF"/>
    <w:rsid w:val="00EE05A2"/>
    <w:rsid w:val="00EE0C7F"/>
    <w:rsid w:val="00EE10D3"/>
    <w:rsid w:val="00EE14FE"/>
    <w:rsid w:val="00EE1718"/>
    <w:rsid w:val="00EE1D46"/>
    <w:rsid w:val="00EE21D6"/>
    <w:rsid w:val="00EE241B"/>
    <w:rsid w:val="00EE3222"/>
    <w:rsid w:val="00EE3743"/>
    <w:rsid w:val="00EE3D1B"/>
    <w:rsid w:val="00EE4129"/>
    <w:rsid w:val="00EE4289"/>
    <w:rsid w:val="00EE433E"/>
    <w:rsid w:val="00EE4358"/>
    <w:rsid w:val="00EE4AF7"/>
    <w:rsid w:val="00EE4B56"/>
    <w:rsid w:val="00EE4F1B"/>
    <w:rsid w:val="00EE53F7"/>
    <w:rsid w:val="00EE542E"/>
    <w:rsid w:val="00EE5449"/>
    <w:rsid w:val="00EE57A7"/>
    <w:rsid w:val="00EE5878"/>
    <w:rsid w:val="00EE59A8"/>
    <w:rsid w:val="00EE62CC"/>
    <w:rsid w:val="00EE671E"/>
    <w:rsid w:val="00EE6A9A"/>
    <w:rsid w:val="00EE6EAE"/>
    <w:rsid w:val="00EE70C1"/>
    <w:rsid w:val="00EE74F1"/>
    <w:rsid w:val="00EE7573"/>
    <w:rsid w:val="00EE7BC0"/>
    <w:rsid w:val="00EE7CE1"/>
    <w:rsid w:val="00EF001E"/>
    <w:rsid w:val="00EF0468"/>
    <w:rsid w:val="00EF07C6"/>
    <w:rsid w:val="00EF0E82"/>
    <w:rsid w:val="00EF16F8"/>
    <w:rsid w:val="00EF214B"/>
    <w:rsid w:val="00EF2364"/>
    <w:rsid w:val="00EF2411"/>
    <w:rsid w:val="00EF247C"/>
    <w:rsid w:val="00EF259B"/>
    <w:rsid w:val="00EF25E3"/>
    <w:rsid w:val="00EF2BFD"/>
    <w:rsid w:val="00EF2D77"/>
    <w:rsid w:val="00EF3161"/>
    <w:rsid w:val="00EF3175"/>
    <w:rsid w:val="00EF348C"/>
    <w:rsid w:val="00EF381D"/>
    <w:rsid w:val="00EF38F6"/>
    <w:rsid w:val="00EF3AB3"/>
    <w:rsid w:val="00EF3B76"/>
    <w:rsid w:val="00EF3B87"/>
    <w:rsid w:val="00EF433E"/>
    <w:rsid w:val="00EF44B9"/>
    <w:rsid w:val="00EF451B"/>
    <w:rsid w:val="00EF46A2"/>
    <w:rsid w:val="00EF4709"/>
    <w:rsid w:val="00EF4C8A"/>
    <w:rsid w:val="00EF4FE7"/>
    <w:rsid w:val="00EF5452"/>
    <w:rsid w:val="00EF573F"/>
    <w:rsid w:val="00EF58D5"/>
    <w:rsid w:val="00EF6255"/>
    <w:rsid w:val="00EF67AC"/>
    <w:rsid w:val="00EF6A39"/>
    <w:rsid w:val="00EF6BE6"/>
    <w:rsid w:val="00EF6C7A"/>
    <w:rsid w:val="00EF6D55"/>
    <w:rsid w:val="00EF6D85"/>
    <w:rsid w:val="00EF6EC3"/>
    <w:rsid w:val="00EF6FAA"/>
    <w:rsid w:val="00EF7125"/>
    <w:rsid w:val="00EF7263"/>
    <w:rsid w:val="00EF73D6"/>
    <w:rsid w:val="00EF7A61"/>
    <w:rsid w:val="00EF7B7E"/>
    <w:rsid w:val="00EF7D11"/>
    <w:rsid w:val="00EF7E1B"/>
    <w:rsid w:val="00F00DB9"/>
    <w:rsid w:val="00F01000"/>
    <w:rsid w:val="00F014A4"/>
    <w:rsid w:val="00F019B9"/>
    <w:rsid w:val="00F01C83"/>
    <w:rsid w:val="00F02039"/>
    <w:rsid w:val="00F02476"/>
    <w:rsid w:val="00F02BC3"/>
    <w:rsid w:val="00F02D6E"/>
    <w:rsid w:val="00F036A1"/>
    <w:rsid w:val="00F03BA4"/>
    <w:rsid w:val="00F0467D"/>
    <w:rsid w:val="00F04BC6"/>
    <w:rsid w:val="00F04BDF"/>
    <w:rsid w:val="00F04F80"/>
    <w:rsid w:val="00F056B7"/>
    <w:rsid w:val="00F0573B"/>
    <w:rsid w:val="00F05A30"/>
    <w:rsid w:val="00F05B07"/>
    <w:rsid w:val="00F05BA8"/>
    <w:rsid w:val="00F05C4E"/>
    <w:rsid w:val="00F05E2B"/>
    <w:rsid w:val="00F06219"/>
    <w:rsid w:val="00F06A95"/>
    <w:rsid w:val="00F070A4"/>
    <w:rsid w:val="00F076A3"/>
    <w:rsid w:val="00F077BA"/>
    <w:rsid w:val="00F07A5A"/>
    <w:rsid w:val="00F1023E"/>
    <w:rsid w:val="00F10B6B"/>
    <w:rsid w:val="00F10E1A"/>
    <w:rsid w:val="00F110D7"/>
    <w:rsid w:val="00F112C2"/>
    <w:rsid w:val="00F11700"/>
    <w:rsid w:val="00F117DB"/>
    <w:rsid w:val="00F11A5A"/>
    <w:rsid w:val="00F11BCD"/>
    <w:rsid w:val="00F11D83"/>
    <w:rsid w:val="00F12426"/>
    <w:rsid w:val="00F12871"/>
    <w:rsid w:val="00F12DC0"/>
    <w:rsid w:val="00F12DE0"/>
    <w:rsid w:val="00F12DE8"/>
    <w:rsid w:val="00F1342F"/>
    <w:rsid w:val="00F1343C"/>
    <w:rsid w:val="00F1393B"/>
    <w:rsid w:val="00F13AF9"/>
    <w:rsid w:val="00F13DEA"/>
    <w:rsid w:val="00F146F9"/>
    <w:rsid w:val="00F14817"/>
    <w:rsid w:val="00F14A08"/>
    <w:rsid w:val="00F14A26"/>
    <w:rsid w:val="00F14BE2"/>
    <w:rsid w:val="00F14E0C"/>
    <w:rsid w:val="00F15247"/>
    <w:rsid w:val="00F1559C"/>
    <w:rsid w:val="00F157E5"/>
    <w:rsid w:val="00F16899"/>
    <w:rsid w:val="00F169E1"/>
    <w:rsid w:val="00F16BAA"/>
    <w:rsid w:val="00F16E8E"/>
    <w:rsid w:val="00F1757A"/>
    <w:rsid w:val="00F175C8"/>
    <w:rsid w:val="00F175D6"/>
    <w:rsid w:val="00F17900"/>
    <w:rsid w:val="00F202A9"/>
    <w:rsid w:val="00F20C11"/>
    <w:rsid w:val="00F21125"/>
    <w:rsid w:val="00F21365"/>
    <w:rsid w:val="00F214DB"/>
    <w:rsid w:val="00F21678"/>
    <w:rsid w:val="00F21990"/>
    <w:rsid w:val="00F21A04"/>
    <w:rsid w:val="00F21B2A"/>
    <w:rsid w:val="00F21BE9"/>
    <w:rsid w:val="00F21F9C"/>
    <w:rsid w:val="00F2251B"/>
    <w:rsid w:val="00F226CB"/>
    <w:rsid w:val="00F22834"/>
    <w:rsid w:val="00F23420"/>
    <w:rsid w:val="00F23A69"/>
    <w:rsid w:val="00F24260"/>
    <w:rsid w:val="00F243DC"/>
    <w:rsid w:val="00F24406"/>
    <w:rsid w:val="00F244A2"/>
    <w:rsid w:val="00F2488A"/>
    <w:rsid w:val="00F248AE"/>
    <w:rsid w:val="00F24B7D"/>
    <w:rsid w:val="00F24E44"/>
    <w:rsid w:val="00F252B3"/>
    <w:rsid w:val="00F254FD"/>
    <w:rsid w:val="00F25D46"/>
    <w:rsid w:val="00F25DAC"/>
    <w:rsid w:val="00F25F27"/>
    <w:rsid w:val="00F2631A"/>
    <w:rsid w:val="00F263CA"/>
    <w:rsid w:val="00F26665"/>
    <w:rsid w:val="00F26985"/>
    <w:rsid w:val="00F26DE9"/>
    <w:rsid w:val="00F26EBC"/>
    <w:rsid w:val="00F270B7"/>
    <w:rsid w:val="00F2712C"/>
    <w:rsid w:val="00F27C01"/>
    <w:rsid w:val="00F27F4D"/>
    <w:rsid w:val="00F27F50"/>
    <w:rsid w:val="00F27F6B"/>
    <w:rsid w:val="00F30056"/>
    <w:rsid w:val="00F301E8"/>
    <w:rsid w:val="00F3089B"/>
    <w:rsid w:val="00F30A94"/>
    <w:rsid w:val="00F30BB3"/>
    <w:rsid w:val="00F30C56"/>
    <w:rsid w:val="00F3128D"/>
    <w:rsid w:val="00F3208A"/>
    <w:rsid w:val="00F327A4"/>
    <w:rsid w:val="00F32860"/>
    <w:rsid w:val="00F329C8"/>
    <w:rsid w:val="00F32D82"/>
    <w:rsid w:val="00F32F91"/>
    <w:rsid w:val="00F32FE4"/>
    <w:rsid w:val="00F3306A"/>
    <w:rsid w:val="00F332F8"/>
    <w:rsid w:val="00F333F2"/>
    <w:rsid w:val="00F336FE"/>
    <w:rsid w:val="00F339E7"/>
    <w:rsid w:val="00F33A07"/>
    <w:rsid w:val="00F33B4E"/>
    <w:rsid w:val="00F34412"/>
    <w:rsid w:val="00F3483B"/>
    <w:rsid w:val="00F34B82"/>
    <w:rsid w:val="00F34FC0"/>
    <w:rsid w:val="00F35022"/>
    <w:rsid w:val="00F3529B"/>
    <w:rsid w:val="00F35758"/>
    <w:rsid w:val="00F35E89"/>
    <w:rsid w:val="00F3622C"/>
    <w:rsid w:val="00F363E0"/>
    <w:rsid w:val="00F36ADF"/>
    <w:rsid w:val="00F36C3F"/>
    <w:rsid w:val="00F36D73"/>
    <w:rsid w:val="00F36DD0"/>
    <w:rsid w:val="00F36DF7"/>
    <w:rsid w:val="00F36E7D"/>
    <w:rsid w:val="00F37155"/>
    <w:rsid w:val="00F3725F"/>
    <w:rsid w:val="00F3742E"/>
    <w:rsid w:val="00F37ACA"/>
    <w:rsid w:val="00F401F7"/>
    <w:rsid w:val="00F40205"/>
    <w:rsid w:val="00F40249"/>
    <w:rsid w:val="00F4038A"/>
    <w:rsid w:val="00F403E0"/>
    <w:rsid w:val="00F40C56"/>
    <w:rsid w:val="00F40DBC"/>
    <w:rsid w:val="00F40E9F"/>
    <w:rsid w:val="00F41133"/>
    <w:rsid w:val="00F41181"/>
    <w:rsid w:val="00F41297"/>
    <w:rsid w:val="00F417CA"/>
    <w:rsid w:val="00F41865"/>
    <w:rsid w:val="00F4198D"/>
    <w:rsid w:val="00F41F34"/>
    <w:rsid w:val="00F42073"/>
    <w:rsid w:val="00F420C3"/>
    <w:rsid w:val="00F421F3"/>
    <w:rsid w:val="00F422A2"/>
    <w:rsid w:val="00F4241C"/>
    <w:rsid w:val="00F42D39"/>
    <w:rsid w:val="00F42DC8"/>
    <w:rsid w:val="00F43242"/>
    <w:rsid w:val="00F43422"/>
    <w:rsid w:val="00F434D0"/>
    <w:rsid w:val="00F436BF"/>
    <w:rsid w:val="00F439A3"/>
    <w:rsid w:val="00F43A57"/>
    <w:rsid w:val="00F4415E"/>
    <w:rsid w:val="00F443C2"/>
    <w:rsid w:val="00F445B5"/>
    <w:rsid w:val="00F445D6"/>
    <w:rsid w:val="00F4461D"/>
    <w:rsid w:val="00F44AAD"/>
    <w:rsid w:val="00F44D62"/>
    <w:rsid w:val="00F44F07"/>
    <w:rsid w:val="00F4515F"/>
    <w:rsid w:val="00F45351"/>
    <w:rsid w:val="00F453EF"/>
    <w:rsid w:val="00F4546A"/>
    <w:rsid w:val="00F454FA"/>
    <w:rsid w:val="00F45883"/>
    <w:rsid w:val="00F45D05"/>
    <w:rsid w:val="00F45E4A"/>
    <w:rsid w:val="00F4600F"/>
    <w:rsid w:val="00F464BF"/>
    <w:rsid w:val="00F4699C"/>
    <w:rsid w:val="00F46B4E"/>
    <w:rsid w:val="00F472AB"/>
    <w:rsid w:val="00F472E3"/>
    <w:rsid w:val="00F47663"/>
    <w:rsid w:val="00F4767E"/>
    <w:rsid w:val="00F47CB8"/>
    <w:rsid w:val="00F47EE4"/>
    <w:rsid w:val="00F47FFD"/>
    <w:rsid w:val="00F503EA"/>
    <w:rsid w:val="00F50734"/>
    <w:rsid w:val="00F50848"/>
    <w:rsid w:val="00F50A7D"/>
    <w:rsid w:val="00F50C7E"/>
    <w:rsid w:val="00F51074"/>
    <w:rsid w:val="00F515A8"/>
    <w:rsid w:val="00F51A7E"/>
    <w:rsid w:val="00F51B0C"/>
    <w:rsid w:val="00F51FC2"/>
    <w:rsid w:val="00F520E6"/>
    <w:rsid w:val="00F52C8A"/>
    <w:rsid w:val="00F531D5"/>
    <w:rsid w:val="00F535B3"/>
    <w:rsid w:val="00F538BF"/>
    <w:rsid w:val="00F53B01"/>
    <w:rsid w:val="00F54398"/>
    <w:rsid w:val="00F548E3"/>
    <w:rsid w:val="00F54B71"/>
    <w:rsid w:val="00F54C5A"/>
    <w:rsid w:val="00F54C8D"/>
    <w:rsid w:val="00F54DEA"/>
    <w:rsid w:val="00F54E21"/>
    <w:rsid w:val="00F5518C"/>
    <w:rsid w:val="00F554B6"/>
    <w:rsid w:val="00F555B8"/>
    <w:rsid w:val="00F55C15"/>
    <w:rsid w:val="00F55CA4"/>
    <w:rsid w:val="00F563AB"/>
    <w:rsid w:val="00F563B5"/>
    <w:rsid w:val="00F56677"/>
    <w:rsid w:val="00F567C5"/>
    <w:rsid w:val="00F56CC9"/>
    <w:rsid w:val="00F56EF6"/>
    <w:rsid w:val="00F579DD"/>
    <w:rsid w:val="00F579F0"/>
    <w:rsid w:val="00F57CF3"/>
    <w:rsid w:val="00F57D4B"/>
    <w:rsid w:val="00F57E32"/>
    <w:rsid w:val="00F60714"/>
    <w:rsid w:val="00F60DC1"/>
    <w:rsid w:val="00F60E1C"/>
    <w:rsid w:val="00F60E86"/>
    <w:rsid w:val="00F60F06"/>
    <w:rsid w:val="00F61468"/>
    <w:rsid w:val="00F614BC"/>
    <w:rsid w:val="00F615AB"/>
    <w:rsid w:val="00F618B2"/>
    <w:rsid w:val="00F61D75"/>
    <w:rsid w:val="00F61E3D"/>
    <w:rsid w:val="00F625C4"/>
    <w:rsid w:val="00F62BAA"/>
    <w:rsid w:val="00F62BB0"/>
    <w:rsid w:val="00F62F3A"/>
    <w:rsid w:val="00F62F6F"/>
    <w:rsid w:val="00F6321C"/>
    <w:rsid w:val="00F633E2"/>
    <w:rsid w:val="00F634B7"/>
    <w:rsid w:val="00F63BF0"/>
    <w:rsid w:val="00F642D3"/>
    <w:rsid w:val="00F64481"/>
    <w:rsid w:val="00F647BD"/>
    <w:rsid w:val="00F64AB9"/>
    <w:rsid w:val="00F64AC5"/>
    <w:rsid w:val="00F64EF2"/>
    <w:rsid w:val="00F64F8E"/>
    <w:rsid w:val="00F64FED"/>
    <w:rsid w:val="00F6556E"/>
    <w:rsid w:val="00F65623"/>
    <w:rsid w:val="00F65905"/>
    <w:rsid w:val="00F65E74"/>
    <w:rsid w:val="00F662A6"/>
    <w:rsid w:val="00F6648C"/>
    <w:rsid w:val="00F665E9"/>
    <w:rsid w:val="00F66ED2"/>
    <w:rsid w:val="00F66F65"/>
    <w:rsid w:val="00F67170"/>
    <w:rsid w:val="00F6723B"/>
    <w:rsid w:val="00F67FD7"/>
    <w:rsid w:val="00F67FEA"/>
    <w:rsid w:val="00F70101"/>
    <w:rsid w:val="00F7062A"/>
    <w:rsid w:val="00F70BA1"/>
    <w:rsid w:val="00F70BA8"/>
    <w:rsid w:val="00F70BDA"/>
    <w:rsid w:val="00F70F40"/>
    <w:rsid w:val="00F711BE"/>
    <w:rsid w:val="00F717DB"/>
    <w:rsid w:val="00F72577"/>
    <w:rsid w:val="00F727CF"/>
    <w:rsid w:val="00F72946"/>
    <w:rsid w:val="00F72E55"/>
    <w:rsid w:val="00F72FD4"/>
    <w:rsid w:val="00F7318C"/>
    <w:rsid w:val="00F73A35"/>
    <w:rsid w:val="00F73AE1"/>
    <w:rsid w:val="00F73ED4"/>
    <w:rsid w:val="00F74134"/>
    <w:rsid w:val="00F74445"/>
    <w:rsid w:val="00F745CB"/>
    <w:rsid w:val="00F74AD0"/>
    <w:rsid w:val="00F7538F"/>
    <w:rsid w:val="00F7543D"/>
    <w:rsid w:val="00F75A86"/>
    <w:rsid w:val="00F76187"/>
    <w:rsid w:val="00F76516"/>
    <w:rsid w:val="00F765B8"/>
    <w:rsid w:val="00F7663C"/>
    <w:rsid w:val="00F76694"/>
    <w:rsid w:val="00F768CD"/>
    <w:rsid w:val="00F76A68"/>
    <w:rsid w:val="00F76BD0"/>
    <w:rsid w:val="00F76D59"/>
    <w:rsid w:val="00F76F75"/>
    <w:rsid w:val="00F7744D"/>
    <w:rsid w:val="00F77859"/>
    <w:rsid w:val="00F778FE"/>
    <w:rsid w:val="00F77902"/>
    <w:rsid w:val="00F779B1"/>
    <w:rsid w:val="00F779EA"/>
    <w:rsid w:val="00F77A14"/>
    <w:rsid w:val="00F77D4F"/>
    <w:rsid w:val="00F77DA4"/>
    <w:rsid w:val="00F80841"/>
    <w:rsid w:val="00F80A3A"/>
    <w:rsid w:val="00F8106F"/>
    <w:rsid w:val="00F815F2"/>
    <w:rsid w:val="00F819DB"/>
    <w:rsid w:val="00F81CD9"/>
    <w:rsid w:val="00F81DBB"/>
    <w:rsid w:val="00F82657"/>
    <w:rsid w:val="00F82AA1"/>
    <w:rsid w:val="00F83000"/>
    <w:rsid w:val="00F83086"/>
    <w:rsid w:val="00F8325C"/>
    <w:rsid w:val="00F83306"/>
    <w:rsid w:val="00F835FD"/>
    <w:rsid w:val="00F83A1B"/>
    <w:rsid w:val="00F83A39"/>
    <w:rsid w:val="00F83D6D"/>
    <w:rsid w:val="00F83DE1"/>
    <w:rsid w:val="00F8410B"/>
    <w:rsid w:val="00F843CF"/>
    <w:rsid w:val="00F844C4"/>
    <w:rsid w:val="00F84607"/>
    <w:rsid w:val="00F84790"/>
    <w:rsid w:val="00F847C9"/>
    <w:rsid w:val="00F84939"/>
    <w:rsid w:val="00F84BC1"/>
    <w:rsid w:val="00F85008"/>
    <w:rsid w:val="00F85569"/>
    <w:rsid w:val="00F8572A"/>
    <w:rsid w:val="00F85B61"/>
    <w:rsid w:val="00F85D39"/>
    <w:rsid w:val="00F86282"/>
    <w:rsid w:val="00F86E0A"/>
    <w:rsid w:val="00F87163"/>
    <w:rsid w:val="00F878D4"/>
    <w:rsid w:val="00F87912"/>
    <w:rsid w:val="00F900AA"/>
    <w:rsid w:val="00F90201"/>
    <w:rsid w:val="00F905B6"/>
    <w:rsid w:val="00F90671"/>
    <w:rsid w:val="00F90A61"/>
    <w:rsid w:val="00F90B02"/>
    <w:rsid w:val="00F90BF8"/>
    <w:rsid w:val="00F90C59"/>
    <w:rsid w:val="00F90DA7"/>
    <w:rsid w:val="00F90EA3"/>
    <w:rsid w:val="00F90FA9"/>
    <w:rsid w:val="00F90FBA"/>
    <w:rsid w:val="00F91275"/>
    <w:rsid w:val="00F916FC"/>
    <w:rsid w:val="00F91A96"/>
    <w:rsid w:val="00F91E5F"/>
    <w:rsid w:val="00F91FBC"/>
    <w:rsid w:val="00F9208F"/>
    <w:rsid w:val="00F9218D"/>
    <w:rsid w:val="00F92516"/>
    <w:rsid w:val="00F929F6"/>
    <w:rsid w:val="00F92B81"/>
    <w:rsid w:val="00F92E95"/>
    <w:rsid w:val="00F9337C"/>
    <w:rsid w:val="00F93646"/>
    <w:rsid w:val="00F938A3"/>
    <w:rsid w:val="00F9401B"/>
    <w:rsid w:val="00F942E7"/>
    <w:rsid w:val="00F94468"/>
    <w:rsid w:val="00F9474A"/>
    <w:rsid w:val="00F95E2D"/>
    <w:rsid w:val="00F95F45"/>
    <w:rsid w:val="00F9652E"/>
    <w:rsid w:val="00F96AC2"/>
    <w:rsid w:val="00F96B9B"/>
    <w:rsid w:val="00F96C22"/>
    <w:rsid w:val="00F96C78"/>
    <w:rsid w:val="00F971DE"/>
    <w:rsid w:val="00F97206"/>
    <w:rsid w:val="00F9723E"/>
    <w:rsid w:val="00F97437"/>
    <w:rsid w:val="00F97824"/>
    <w:rsid w:val="00F97995"/>
    <w:rsid w:val="00FA0012"/>
    <w:rsid w:val="00FA030D"/>
    <w:rsid w:val="00FA0849"/>
    <w:rsid w:val="00FA10C2"/>
    <w:rsid w:val="00FA16EA"/>
    <w:rsid w:val="00FA198E"/>
    <w:rsid w:val="00FA1C77"/>
    <w:rsid w:val="00FA228C"/>
    <w:rsid w:val="00FA27BF"/>
    <w:rsid w:val="00FA3090"/>
    <w:rsid w:val="00FA3176"/>
    <w:rsid w:val="00FA3214"/>
    <w:rsid w:val="00FA3575"/>
    <w:rsid w:val="00FA365C"/>
    <w:rsid w:val="00FA4253"/>
    <w:rsid w:val="00FA4728"/>
    <w:rsid w:val="00FA4885"/>
    <w:rsid w:val="00FA49CD"/>
    <w:rsid w:val="00FA4C06"/>
    <w:rsid w:val="00FA4E7C"/>
    <w:rsid w:val="00FA548B"/>
    <w:rsid w:val="00FA5538"/>
    <w:rsid w:val="00FA5CE7"/>
    <w:rsid w:val="00FA5E33"/>
    <w:rsid w:val="00FA663D"/>
    <w:rsid w:val="00FA695B"/>
    <w:rsid w:val="00FA74BE"/>
    <w:rsid w:val="00FA7642"/>
    <w:rsid w:val="00FA7719"/>
    <w:rsid w:val="00FA7884"/>
    <w:rsid w:val="00FA7E68"/>
    <w:rsid w:val="00FB05A3"/>
    <w:rsid w:val="00FB06D7"/>
    <w:rsid w:val="00FB06D9"/>
    <w:rsid w:val="00FB0D2F"/>
    <w:rsid w:val="00FB12D2"/>
    <w:rsid w:val="00FB131F"/>
    <w:rsid w:val="00FB159E"/>
    <w:rsid w:val="00FB17B6"/>
    <w:rsid w:val="00FB1CE6"/>
    <w:rsid w:val="00FB1FBB"/>
    <w:rsid w:val="00FB2347"/>
    <w:rsid w:val="00FB2840"/>
    <w:rsid w:val="00FB2930"/>
    <w:rsid w:val="00FB295A"/>
    <w:rsid w:val="00FB2CEE"/>
    <w:rsid w:val="00FB3031"/>
    <w:rsid w:val="00FB3203"/>
    <w:rsid w:val="00FB387E"/>
    <w:rsid w:val="00FB42B0"/>
    <w:rsid w:val="00FB4490"/>
    <w:rsid w:val="00FB449C"/>
    <w:rsid w:val="00FB48BD"/>
    <w:rsid w:val="00FB4A43"/>
    <w:rsid w:val="00FB4D0C"/>
    <w:rsid w:val="00FB523B"/>
    <w:rsid w:val="00FB52A9"/>
    <w:rsid w:val="00FB5596"/>
    <w:rsid w:val="00FB58F9"/>
    <w:rsid w:val="00FB59E9"/>
    <w:rsid w:val="00FB6970"/>
    <w:rsid w:val="00FB6C7B"/>
    <w:rsid w:val="00FB7593"/>
    <w:rsid w:val="00FB797E"/>
    <w:rsid w:val="00FC0122"/>
    <w:rsid w:val="00FC070A"/>
    <w:rsid w:val="00FC0979"/>
    <w:rsid w:val="00FC0994"/>
    <w:rsid w:val="00FC0B68"/>
    <w:rsid w:val="00FC0E0B"/>
    <w:rsid w:val="00FC0E8C"/>
    <w:rsid w:val="00FC0F6D"/>
    <w:rsid w:val="00FC10D6"/>
    <w:rsid w:val="00FC11DE"/>
    <w:rsid w:val="00FC14EA"/>
    <w:rsid w:val="00FC14F5"/>
    <w:rsid w:val="00FC217A"/>
    <w:rsid w:val="00FC2426"/>
    <w:rsid w:val="00FC2C3B"/>
    <w:rsid w:val="00FC2D8D"/>
    <w:rsid w:val="00FC35ED"/>
    <w:rsid w:val="00FC4193"/>
    <w:rsid w:val="00FC46DB"/>
    <w:rsid w:val="00FC4838"/>
    <w:rsid w:val="00FC4904"/>
    <w:rsid w:val="00FC4969"/>
    <w:rsid w:val="00FC4980"/>
    <w:rsid w:val="00FC4AC6"/>
    <w:rsid w:val="00FC4C6A"/>
    <w:rsid w:val="00FC4D1E"/>
    <w:rsid w:val="00FC4DD6"/>
    <w:rsid w:val="00FC4E8E"/>
    <w:rsid w:val="00FC537D"/>
    <w:rsid w:val="00FC565D"/>
    <w:rsid w:val="00FC5B7B"/>
    <w:rsid w:val="00FC5C2C"/>
    <w:rsid w:val="00FC62CB"/>
    <w:rsid w:val="00FC64C1"/>
    <w:rsid w:val="00FC676F"/>
    <w:rsid w:val="00FC6AA2"/>
    <w:rsid w:val="00FC708D"/>
    <w:rsid w:val="00FC70EE"/>
    <w:rsid w:val="00FC73EE"/>
    <w:rsid w:val="00FC7555"/>
    <w:rsid w:val="00FC7912"/>
    <w:rsid w:val="00FC7BAF"/>
    <w:rsid w:val="00FC7BFA"/>
    <w:rsid w:val="00FD0217"/>
    <w:rsid w:val="00FD070D"/>
    <w:rsid w:val="00FD0F31"/>
    <w:rsid w:val="00FD13E7"/>
    <w:rsid w:val="00FD1486"/>
    <w:rsid w:val="00FD1574"/>
    <w:rsid w:val="00FD201B"/>
    <w:rsid w:val="00FD21E7"/>
    <w:rsid w:val="00FD2229"/>
    <w:rsid w:val="00FD2282"/>
    <w:rsid w:val="00FD228C"/>
    <w:rsid w:val="00FD24DF"/>
    <w:rsid w:val="00FD25F4"/>
    <w:rsid w:val="00FD26DD"/>
    <w:rsid w:val="00FD2798"/>
    <w:rsid w:val="00FD335D"/>
    <w:rsid w:val="00FD35D3"/>
    <w:rsid w:val="00FD3AAB"/>
    <w:rsid w:val="00FD3F10"/>
    <w:rsid w:val="00FD458F"/>
    <w:rsid w:val="00FD4747"/>
    <w:rsid w:val="00FD4A10"/>
    <w:rsid w:val="00FD4AC5"/>
    <w:rsid w:val="00FD4EE9"/>
    <w:rsid w:val="00FD539E"/>
    <w:rsid w:val="00FD55B0"/>
    <w:rsid w:val="00FD5DCD"/>
    <w:rsid w:val="00FD5F7E"/>
    <w:rsid w:val="00FD6072"/>
    <w:rsid w:val="00FD61E3"/>
    <w:rsid w:val="00FD6277"/>
    <w:rsid w:val="00FD638F"/>
    <w:rsid w:val="00FD6667"/>
    <w:rsid w:val="00FD66F9"/>
    <w:rsid w:val="00FD69E5"/>
    <w:rsid w:val="00FD6AFC"/>
    <w:rsid w:val="00FD6F76"/>
    <w:rsid w:val="00FD7010"/>
    <w:rsid w:val="00FD7250"/>
    <w:rsid w:val="00FD7345"/>
    <w:rsid w:val="00FD73EA"/>
    <w:rsid w:val="00FD7624"/>
    <w:rsid w:val="00FD7C24"/>
    <w:rsid w:val="00FD7F4F"/>
    <w:rsid w:val="00FE04BD"/>
    <w:rsid w:val="00FE05A3"/>
    <w:rsid w:val="00FE061B"/>
    <w:rsid w:val="00FE0916"/>
    <w:rsid w:val="00FE0C03"/>
    <w:rsid w:val="00FE0E42"/>
    <w:rsid w:val="00FE0F1B"/>
    <w:rsid w:val="00FE122E"/>
    <w:rsid w:val="00FE12A2"/>
    <w:rsid w:val="00FE145F"/>
    <w:rsid w:val="00FE16BF"/>
    <w:rsid w:val="00FE1883"/>
    <w:rsid w:val="00FE1897"/>
    <w:rsid w:val="00FE1CDA"/>
    <w:rsid w:val="00FE1D33"/>
    <w:rsid w:val="00FE1F06"/>
    <w:rsid w:val="00FE1F9F"/>
    <w:rsid w:val="00FE1FC2"/>
    <w:rsid w:val="00FE23E3"/>
    <w:rsid w:val="00FE2459"/>
    <w:rsid w:val="00FE26B6"/>
    <w:rsid w:val="00FE2913"/>
    <w:rsid w:val="00FE2EED"/>
    <w:rsid w:val="00FE2FDD"/>
    <w:rsid w:val="00FE3062"/>
    <w:rsid w:val="00FE30CA"/>
    <w:rsid w:val="00FE3171"/>
    <w:rsid w:val="00FE3777"/>
    <w:rsid w:val="00FE442A"/>
    <w:rsid w:val="00FE48E8"/>
    <w:rsid w:val="00FE4B27"/>
    <w:rsid w:val="00FE4B38"/>
    <w:rsid w:val="00FE5ABD"/>
    <w:rsid w:val="00FE5DFC"/>
    <w:rsid w:val="00FE5FB9"/>
    <w:rsid w:val="00FE605B"/>
    <w:rsid w:val="00FE669B"/>
    <w:rsid w:val="00FE6C4C"/>
    <w:rsid w:val="00FE6E25"/>
    <w:rsid w:val="00FE700F"/>
    <w:rsid w:val="00FE727E"/>
    <w:rsid w:val="00FE747C"/>
    <w:rsid w:val="00FE76DE"/>
    <w:rsid w:val="00FE7761"/>
    <w:rsid w:val="00FE77AE"/>
    <w:rsid w:val="00FE787D"/>
    <w:rsid w:val="00FE7B37"/>
    <w:rsid w:val="00FE7F5C"/>
    <w:rsid w:val="00FF0057"/>
    <w:rsid w:val="00FF02DE"/>
    <w:rsid w:val="00FF0439"/>
    <w:rsid w:val="00FF0677"/>
    <w:rsid w:val="00FF0945"/>
    <w:rsid w:val="00FF0AF9"/>
    <w:rsid w:val="00FF0FCA"/>
    <w:rsid w:val="00FF1172"/>
    <w:rsid w:val="00FF18BE"/>
    <w:rsid w:val="00FF1968"/>
    <w:rsid w:val="00FF19F2"/>
    <w:rsid w:val="00FF1D32"/>
    <w:rsid w:val="00FF1D8C"/>
    <w:rsid w:val="00FF2557"/>
    <w:rsid w:val="00FF2C1E"/>
    <w:rsid w:val="00FF2EFB"/>
    <w:rsid w:val="00FF308F"/>
    <w:rsid w:val="00FF30CD"/>
    <w:rsid w:val="00FF32D4"/>
    <w:rsid w:val="00FF34C5"/>
    <w:rsid w:val="00FF4157"/>
    <w:rsid w:val="00FF4677"/>
    <w:rsid w:val="00FF4771"/>
    <w:rsid w:val="00FF4818"/>
    <w:rsid w:val="00FF49A4"/>
    <w:rsid w:val="00FF4D39"/>
    <w:rsid w:val="00FF5023"/>
    <w:rsid w:val="00FF563F"/>
    <w:rsid w:val="00FF5AF1"/>
    <w:rsid w:val="00FF5C74"/>
    <w:rsid w:val="00FF5EC3"/>
    <w:rsid w:val="00FF605E"/>
    <w:rsid w:val="00FF6257"/>
    <w:rsid w:val="00FF6503"/>
    <w:rsid w:val="00FF6796"/>
    <w:rsid w:val="02577A45"/>
    <w:rsid w:val="03770BA0"/>
    <w:rsid w:val="04AD6E3C"/>
    <w:rsid w:val="050E5312"/>
    <w:rsid w:val="051B537D"/>
    <w:rsid w:val="069975A6"/>
    <w:rsid w:val="06DE6C95"/>
    <w:rsid w:val="06E54DB5"/>
    <w:rsid w:val="073A68C6"/>
    <w:rsid w:val="08B84379"/>
    <w:rsid w:val="08C7B402"/>
    <w:rsid w:val="09365230"/>
    <w:rsid w:val="0E3031CD"/>
    <w:rsid w:val="0FDA3303"/>
    <w:rsid w:val="0FEB00DE"/>
    <w:rsid w:val="102F687C"/>
    <w:rsid w:val="1134B257"/>
    <w:rsid w:val="13789A94"/>
    <w:rsid w:val="14AF85A6"/>
    <w:rsid w:val="156F25D4"/>
    <w:rsid w:val="15FBADD6"/>
    <w:rsid w:val="181C4140"/>
    <w:rsid w:val="18883571"/>
    <w:rsid w:val="1A271090"/>
    <w:rsid w:val="1AA5430F"/>
    <w:rsid w:val="1BC88A40"/>
    <w:rsid w:val="1E2D64D9"/>
    <w:rsid w:val="1E9BA8F7"/>
    <w:rsid w:val="1EA32CF4"/>
    <w:rsid w:val="1F999206"/>
    <w:rsid w:val="1FD9DD7E"/>
    <w:rsid w:val="20E39A76"/>
    <w:rsid w:val="2161E7C5"/>
    <w:rsid w:val="217E09E0"/>
    <w:rsid w:val="218F967E"/>
    <w:rsid w:val="225DF202"/>
    <w:rsid w:val="231D6165"/>
    <w:rsid w:val="2888A8DE"/>
    <w:rsid w:val="28C47EE7"/>
    <w:rsid w:val="299E9FFB"/>
    <w:rsid w:val="29A9530F"/>
    <w:rsid w:val="2A2EF732"/>
    <w:rsid w:val="2A3E835F"/>
    <w:rsid w:val="2BC56291"/>
    <w:rsid w:val="2C0A5980"/>
    <w:rsid w:val="2C52A3A5"/>
    <w:rsid w:val="30DCF5E3"/>
    <w:rsid w:val="31A98747"/>
    <w:rsid w:val="31AC8FF9"/>
    <w:rsid w:val="32756AEC"/>
    <w:rsid w:val="327C5DAF"/>
    <w:rsid w:val="32BC08B8"/>
    <w:rsid w:val="3354A4AF"/>
    <w:rsid w:val="36609F42"/>
    <w:rsid w:val="3778DAB9"/>
    <w:rsid w:val="37B51833"/>
    <w:rsid w:val="38C13BDB"/>
    <w:rsid w:val="38C63672"/>
    <w:rsid w:val="396829F1"/>
    <w:rsid w:val="397D8C8F"/>
    <w:rsid w:val="3A910307"/>
    <w:rsid w:val="3B206E71"/>
    <w:rsid w:val="3E639AD7"/>
    <w:rsid w:val="3EEC8CE3"/>
    <w:rsid w:val="41740D23"/>
    <w:rsid w:val="4414CF20"/>
    <w:rsid w:val="44999867"/>
    <w:rsid w:val="45DF3AE2"/>
    <w:rsid w:val="463C59A0"/>
    <w:rsid w:val="4CEFBE00"/>
    <w:rsid w:val="4D02B220"/>
    <w:rsid w:val="4EA7D1A6"/>
    <w:rsid w:val="4F94930D"/>
    <w:rsid w:val="500FF8C0"/>
    <w:rsid w:val="51892C4F"/>
    <w:rsid w:val="53D7FA57"/>
    <w:rsid w:val="55763FD1"/>
    <w:rsid w:val="56B0D250"/>
    <w:rsid w:val="56E8B56A"/>
    <w:rsid w:val="57258948"/>
    <w:rsid w:val="578DAB1B"/>
    <w:rsid w:val="58E7649A"/>
    <w:rsid w:val="5BBE8B50"/>
    <w:rsid w:val="5C04EC8D"/>
    <w:rsid w:val="5F334A2E"/>
    <w:rsid w:val="630D76B2"/>
    <w:rsid w:val="653995BA"/>
    <w:rsid w:val="6599E092"/>
    <w:rsid w:val="65C6407F"/>
    <w:rsid w:val="675DE84F"/>
    <w:rsid w:val="686186BF"/>
    <w:rsid w:val="6D0D9AD2"/>
    <w:rsid w:val="6D4285DA"/>
    <w:rsid w:val="6EA96B33"/>
    <w:rsid w:val="6EDE563B"/>
    <w:rsid w:val="70453B94"/>
    <w:rsid w:val="7111BE24"/>
    <w:rsid w:val="735D4BBD"/>
    <w:rsid w:val="74F4CAB0"/>
    <w:rsid w:val="76946869"/>
    <w:rsid w:val="77BF65BC"/>
    <w:rsid w:val="7871F9D9"/>
    <w:rsid w:val="79F40B60"/>
    <w:rsid w:val="7A33CC5E"/>
    <w:rsid w:val="7AE39F9D"/>
    <w:rsid w:val="7B18EF22"/>
    <w:rsid w:val="7BAA8D2D"/>
    <w:rsid w:val="7F9A45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53221"/>
  <w15:chartTrackingRefBased/>
  <w15:docId w15:val="{671812C2-FC34-499E-9702-95E89DB8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Theme="minorHAnsi" w:hAnsi="VIC" w:cstheme="minorBidi"/>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8E8"/>
  </w:style>
  <w:style w:type="paragraph" w:styleId="Heading1">
    <w:name w:val="heading 1"/>
    <w:basedOn w:val="Normal"/>
    <w:next w:val="Normal"/>
    <w:link w:val="Heading1Char"/>
    <w:uiPriority w:val="9"/>
    <w:qFormat/>
    <w:rsid w:val="002D39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2D39E1"/>
    <w:pPr>
      <w:spacing w:after="120" w:line="240" w:lineRule="auto"/>
      <w:outlineLvl w:val="1"/>
    </w:pPr>
    <w:rPr>
      <w:rFonts w:cs="VIC-SemiBold"/>
      <w:b/>
      <w:color w:val="4C7329"/>
      <w:sz w:val="28"/>
      <w:szCs w:val="18"/>
      <w:lang w:val="en-US"/>
    </w:rPr>
  </w:style>
  <w:style w:type="paragraph" w:styleId="Heading3">
    <w:name w:val="heading 3"/>
    <w:basedOn w:val="Normal"/>
    <w:next w:val="Normal"/>
    <w:link w:val="Heading3Char"/>
    <w:uiPriority w:val="9"/>
    <w:unhideWhenUsed/>
    <w:qFormat/>
    <w:rsid w:val="00B70C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843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489"/>
    <w:rPr>
      <w:rFonts w:ascii="Segoe UI" w:hAnsi="Segoe UI" w:cs="Segoe UI"/>
      <w:sz w:val="18"/>
      <w:szCs w:val="18"/>
    </w:rPr>
  </w:style>
  <w:style w:type="paragraph" w:styleId="ListParagraph">
    <w:name w:val="List Paragraph"/>
    <w:basedOn w:val="Normal"/>
    <w:uiPriority w:val="34"/>
    <w:qFormat/>
    <w:rsid w:val="006C6940"/>
    <w:pPr>
      <w:ind w:left="720"/>
      <w:contextualSpacing/>
    </w:pPr>
  </w:style>
  <w:style w:type="character" w:styleId="CommentReference">
    <w:name w:val="annotation reference"/>
    <w:basedOn w:val="DefaultParagraphFont"/>
    <w:uiPriority w:val="99"/>
    <w:semiHidden/>
    <w:unhideWhenUsed/>
    <w:rsid w:val="00211B3D"/>
    <w:rPr>
      <w:sz w:val="16"/>
      <w:szCs w:val="16"/>
    </w:rPr>
  </w:style>
  <w:style w:type="paragraph" w:styleId="CommentText">
    <w:name w:val="annotation text"/>
    <w:basedOn w:val="Normal"/>
    <w:link w:val="CommentTextChar"/>
    <w:uiPriority w:val="99"/>
    <w:unhideWhenUsed/>
    <w:rsid w:val="00211B3D"/>
    <w:pPr>
      <w:spacing w:line="240" w:lineRule="auto"/>
    </w:pPr>
    <w:rPr>
      <w:szCs w:val="20"/>
    </w:rPr>
  </w:style>
  <w:style w:type="character" w:customStyle="1" w:styleId="CommentTextChar">
    <w:name w:val="Comment Text Char"/>
    <w:basedOn w:val="DefaultParagraphFont"/>
    <w:link w:val="CommentText"/>
    <w:uiPriority w:val="99"/>
    <w:rsid w:val="00211B3D"/>
    <w:rPr>
      <w:sz w:val="20"/>
      <w:szCs w:val="20"/>
    </w:rPr>
  </w:style>
  <w:style w:type="paragraph" w:styleId="CommentSubject">
    <w:name w:val="annotation subject"/>
    <w:basedOn w:val="CommentText"/>
    <w:next w:val="CommentText"/>
    <w:link w:val="CommentSubjectChar"/>
    <w:uiPriority w:val="99"/>
    <w:semiHidden/>
    <w:unhideWhenUsed/>
    <w:rsid w:val="00211B3D"/>
    <w:rPr>
      <w:b/>
      <w:bCs/>
    </w:rPr>
  </w:style>
  <w:style w:type="character" w:customStyle="1" w:styleId="CommentSubjectChar">
    <w:name w:val="Comment Subject Char"/>
    <w:basedOn w:val="CommentTextChar"/>
    <w:link w:val="CommentSubject"/>
    <w:uiPriority w:val="99"/>
    <w:semiHidden/>
    <w:rsid w:val="00211B3D"/>
    <w:rPr>
      <w:b/>
      <w:bCs/>
      <w:sz w:val="20"/>
      <w:szCs w:val="20"/>
    </w:rPr>
  </w:style>
  <w:style w:type="character" w:styleId="Hyperlink">
    <w:name w:val="Hyperlink"/>
    <w:basedOn w:val="DefaultParagraphFont"/>
    <w:uiPriority w:val="99"/>
    <w:unhideWhenUsed/>
    <w:rsid w:val="00126A67"/>
    <w:rPr>
      <w:color w:val="0000FF"/>
      <w:u w:val="single"/>
    </w:rPr>
  </w:style>
  <w:style w:type="character" w:styleId="LineNumber">
    <w:name w:val="line number"/>
    <w:basedOn w:val="DefaultParagraphFont"/>
    <w:uiPriority w:val="99"/>
    <w:semiHidden/>
    <w:unhideWhenUsed/>
    <w:rsid w:val="00974C29"/>
  </w:style>
  <w:style w:type="paragraph" w:styleId="NoSpacing">
    <w:name w:val="No Spacing"/>
    <w:uiPriority w:val="1"/>
    <w:qFormat/>
    <w:rsid w:val="00F5518C"/>
    <w:pPr>
      <w:spacing w:after="0" w:line="240" w:lineRule="auto"/>
    </w:pPr>
  </w:style>
  <w:style w:type="character" w:styleId="UnresolvedMention">
    <w:name w:val="Unresolved Mention"/>
    <w:basedOn w:val="DefaultParagraphFont"/>
    <w:uiPriority w:val="99"/>
    <w:semiHidden/>
    <w:unhideWhenUsed/>
    <w:rsid w:val="002721C5"/>
    <w:rPr>
      <w:color w:val="605E5C"/>
      <w:shd w:val="clear" w:color="auto" w:fill="E1DFDD"/>
    </w:rPr>
  </w:style>
  <w:style w:type="character" w:customStyle="1" w:styleId="Heading1Char">
    <w:name w:val="Heading 1 Char"/>
    <w:basedOn w:val="DefaultParagraphFont"/>
    <w:link w:val="Heading1"/>
    <w:uiPriority w:val="9"/>
    <w:rsid w:val="002D39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D39E1"/>
    <w:rPr>
      <w:rFonts w:ascii="VIC" w:hAnsi="VIC" w:cs="VIC-SemiBold"/>
      <w:b/>
      <w:color w:val="4C7329"/>
      <w:sz w:val="28"/>
      <w:szCs w:val="18"/>
      <w:lang w:val="en-US"/>
    </w:rPr>
  </w:style>
  <w:style w:type="character" w:styleId="Strong">
    <w:name w:val="Strong"/>
    <w:basedOn w:val="DefaultParagraphFont"/>
    <w:uiPriority w:val="22"/>
    <w:qFormat/>
    <w:rsid w:val="009506C1"/>
    <w:rPr>
      <w:b/>
      <w:bCs/>
    </w:rPr>
  </w:style>
  <w:style w:type="character" w:customStyle="1" w:styleId="Heading3Char">
    <w:name w:val="Heading 3 Char"/>
    <w:basedOn w:val="DefaultParagraphFont"/>
    <w:link w:val="Heading3"/>
    <w:uiPriority w:val="9"/>
    <w:rsid w:val="00B70C76"/>
    <w:rPr>
      <w:rFonts w:asciiTheme="majorHAnsi" w:eastAsiaTheme="majorEastAsia" w:hAnsiTheme="majorHAnsi" w:cstheme="majorBidi"/>
      <w:color w:val="1F3763" w:themeColor="accent1" w:themeShade="7F"/>
      <w:sz w:val="24"/>
      <w:szCs w:val="24"/>
    </w:rPr>
  </w:style>
  <w:style w:type="table" w:customStyle="1" w:styleId="TableGrid6">
    <w:name w:val="TableGrid6"/>
    <w:rsid w:val="00B70C76"/>
    <w:pPr>
      <w:spacing w:after="0" w:line="240" w:lineRule="auto"/>
    </w:pPr>
    <w:rPr>
      <w:rFonts w:eastAsia="Times New Roman"/>
      <w:lang w:eastAsia="en-AU"/>
    </w:rPr>
    <w:tblPr>
      <w:tblCellMar>
        <w:top w:w="0" w:type="dxa"/>
        <w:left w:w="0" w:type="dxa"/>
        <w:bottom w:w="0" w:type="dxa"/>
        <w:right w:w="0" w:type="dxa"/>
      </w:tblCellMar>
    </w:tblPr>
  </w:style>
  <w:style w:type="paragraph" w:styleId="Header">
    <w:name w:val="header"/>
    <w:basedOn w:val="Normal"/>
    <w:link w:val="HeaderChar"/>
    <w:uiPriority w:val="99"/>
    <w:unhideWhenUsed/>
    <w:rsid w:val="00DA1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09A"/>
  </w:style>
  <w:style w:type="paragraph" w:styleId="Footer">
    <w:name w:val="footer"/>
    <w:basedOn w:val="Normal"/>
    <w:link w:val="FooterChar"/>
    <w:uiPriority w:val="99"/>
    <w:unhideWhenUsed/>
    <w:rsid w:val="00DA1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09A"/>
  </w:style>
  <w:style w:type="paragraph" w:styleId="Caption">
    <w:name w:val="caption"/>
    <w:basedOn w:val="Normal"/>
    <w:next w:val="Normal"/>
    <w:uiPriority w:val="35"/>
    <w:unhideWhenUsed/>
    <w:qFormat/>
    <w:rsid w:val="00A41718"/>
    <w:pPr>
      <w:keepNext/>
      <w:spacing w:after="200" w:line="240" w:lineRule="auto"/>
    </w:pPr>
    <w:rPr>
      <w:szCs w:val="20"/>
    </w:rPr>
  </w:style>
  <w:style w:type="character" w:styleId="FollowedHyperlink">
    <w:name w:val="FollowedHyperlink"/>
    <w:basedOn w:val="DefaultParagraphFont"/>
    <w:uiPriority w:val="99"/>
    <w:semiHidden/>
    <w:unhideWhenUsed/>
    <w:rsid w:val="00E12A03"/>
    <w:rPr>
      <w:color w:val="954F72" w:themeColor="followedHyperlink"/>
      <w:u w:val="single"/>
    </w:rPr>
  </w:style>
  <w:style w:type="table" w:styleId="TableGrid">
    <w:name w:val="Table Grid"/>
    <w:basedOn w:val="TableNormal"/>
    <w:uiPriority w:val="39"/>
    <w:rsid w:val="00EB67FC"/>
    <w:pPr>
      <w:spacing w:after="0" w:line="240" w:lineRule="auto"/>
    </w:pPr>
    <w:tblPr/>
  </w:style>
  <w:style w:type="character" w:styleId="Mention">
    <w:name w:val="Mention"/>
    <w:basedOn w:val="DefaultParagraphFont"/>
    <w:uiPriority w:val="99"/>
    <w:unhideWhenUsed/>
    <w:rsid w:val="00D44F98"/>
    <w:rPr>
      <w:color w:val="2B579A"/>
      <w:shd w:val="clear" w:color="auto" w:fill="E1DFDD"/>
    </w:rPr>
  </w:style>
  <w:style w:type="character" w:customStyle="1" w:styleId="Heading4Char">
    <w:name w:val="Heading 4 Char"/>
    <w:basedOn w:val="DefaultParagraphFont"/>
    <w:link w:val="Heading4"/>
    <w:uiPriority w:val="9"/>
    <w:rsid w:val="00E84331"/>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364E4D"/>
    <w:pPr>
      <w:spacing w:after="0" w:line="240" w:lineRule="auto"/>
    </w:pPr>
  </w:style>
  <w:style w:type="paragraph" w:styleId="TOCHeading">
    <w:name w:val="TOC Heading"/>
    <w:basedOn w:val="Heading1"/>
    <w:next w:val="Normal"/>
    <w:uiPriority w:val="39"/>
    <w:unhideWhenUsed/>
    <w:qFormat/>
    <w:rsid w:val="00B64930"/>
    <w:pPr>
      <w:outlineLvl w:val="9"/>
    </w:pPr>
    <w:rPr>
      <w:lang w:val="en-US"/>
    </w:rPr>
  </w:style>
  <w:style w:type="paragraph" w:styleId="TOC1">
    <w:name w:val="toc 1"/>
    <w:basedOn w:val="Normal"/>
    <w:next w:val="Normal"/>
    <w:autoRedefine/>
    <w:uiPriority w:val="39"/>
    <w:unhideWhenUsed/>
    <w:rsid w:val="00B64930"/>
    <w:pPr>
      <w:spacing w:after="100"/>
    </w:pPr>
  </w:style>
  <w:style w:type="paragraph" w:styleId="TOC2">
    <w:name w:val="toc 2"/>
    <w:basedOn w:val="Normal"/>
    <w:next w:val="Normal"/>
    <w:autoRedefine/>
    <w:uiPriority w:val="39"/>
    <w:unhideWhenUsed/>
    <w:rsid w:val="00B64930"/>
    <w:pPr>
      <w:spacing w:after="100"/>
      <w:ind w:left="200"/>
    </w:pPr>
  </w:style>
  <w:style w:type="paragraph" w:styleId="TOC3">
    <w:name w:val="toc 3"/>
    <w:basedOn w:val="Normal"/>
    <w:next w:val="Normal"/>
    <w:autoRedefine/>
    <w:uiPriority w:val="39"/>
    <w:unhideWhenUsed/>
    <w:rsid w:val="00B64930"/>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008">
      <w:bodyDiv w:val="1"/>
      <w:marLeft w:val="0"/>
      <w:marRight w:val="0"/>
      <w:marTop w:val="0"/>
      <w:marBottom w:val="0"/>
      <w:divBdr>
        <w:top w:val="none" w:sz="0" w:space="0" w:color="auto"/>
        <w:left w:val="none" w:sz="0" w:space="0" w:color="auto"/>
        <w:bottom w:val="none" w:sz="0" w:space="0" w:color="auto"/>
        <w:right w:val="none" w:sz="0" w:space="0" w:color="auto"/>
      </w:divBdr>
    </w:div>
    <w:div w:id="18165295">
      <w:bodyDiv w:val="1"/>
      <w:marLeft w:val="0"/>
      <w:marRight w:val="0"/>
      <w:marTop w:val="0"/>
      <w:marBottom w:val="0"/>
      <w:divBdr>
        <w:top w:val="none" w:sz="0" w:space="0" w:color="auto"/>
        <w:left w:val="none" w:sz="0" w:space="0" w:color="auto"/>
        <w:bottom w:val="none" w:sz="0" w:space="0" w:color="auto"/>
        <w:right w:val="none" w:sz="0" w:space="0" w:color="auto"/>
      </w:divBdr>
    </w:div>
    <w:div w:id="57024935">
      <w:bodyDiv w:val="1"/>
      <w:marLeft w:val="0"/>
      <w:marRight w:val="0"/>
      <w:marTop w:val="0"/>
      <w:marBottom w:val="0"/>
      <w:divBdr>
        <w:top w:val="none" w:sz="0" w:space="0" w:color="auto"/>
        <w:left w:val="none" w:sz="0" w:space="0" w:color="auto"/>
        <w:bottom w:val="none" w:sz="0" w:space="0" w:color="auto"/>
        <w:right w:val="none" w:sz="0" w:space="0" w:color="auto"/>
      </w:divBdr>
    </w:div>
    <w:div w:id="103767616">
      <w:bodyDiv w:val="1"/>
      <w:marLeft w:val="0"/>
      <w:marRight w:val="0"/>
      <w:marTop w:val="0"/>
      <w:marBottom w:val="0"/>
      <w:divBdr>
        <w:top w:val="none" w:sz="0" w:space="0" w:color="auto"/>
        <w:left w:val="none" w:sz="0" w:space="0" w:color="auto"/>
        <w:bottom w:val="none" w:sz="0" w:space="0" w:color="auto"/>
        <w:right w:val="none" w:sz="0" w:space="0" w:color="auto"/>
      </w:divBdr>
    </w:div>
    <w:div w:id="134224318">
      <w:bodyDiv w:val="1"/>
      <w:marLeft w:val="0"/>
      <w:marRight w:val="0"/>
      <w:marTop w:val="0"/>
      <w:marBottom w:val="0"/>
      <w:divBdr>
        <w:top w:val="none" w:sz="0" w:space="0" w:color="auto"/>
        <w:left w:val="none" w:sz="0" w:space="0" w:color="auto"/>
        <w:bottom w:val="none" w:sz="0" w:space="0" w:color="auto"/>
        <w:right w:val="none" w:sz="0" w:space="0" w:color="auto"/>
      </w:divBdr>
    </w:div>
    <w:div w:id="182937484">
      <w:bodyDiv w:val="1"/>
      <w:marLeft w:val="0"/>
      <w:marRight w:val="0"/>
      <w:marTop w:val="0"/>
      <w:marBottom w:val="0"/>
      <w:divBdr>
        <w:top w:val="none" w:sz="0" w:space="0" w:color="auto"/>
        <w:left w:val="none" w:sz="0" w:space="0" w:color="auto"/>
        <w:bottom w:val="none" w:sz="0" w:space="0" w:color="auto"/>
        <w:right w:val="none" w:sz="0" w:space="0" w:color="auto"/>
      </w:divBdr>
    </w:div>
    <w:div w:id="187959623">
      <w:bodyDiv w:val="1"/>
      <w:marLeft w:val="0"/>
      <w:marRight w:val="0"/>
      <w:marTop w:val="0"/>
      <w:marBottom w:val="0"/>
      <w:divBdr>
        <w:top w:val="none" w:sz="0" w:space="0" w:color="auto"/>
        <w:left w:val="none" w:sz="0" w:space="0" w:color="auto"/>
        <w:bottom w:val="none" w:sz="0" w:space="0" w:color="auto"/>
        <w:right w:val="none" w:sz="0" w:space="0" w:color="auto"/>
      </w:divBdr>
    </w:div>
    <w:div w:id="199130995">
      <w:bodyDiv w:val="1"/>
      <w:marLeft w:val="0"/>
      <w:marRight w:val="0"/>
      <w:marTop w:val="0"/>
      <w:marBottom w:val="0"/>
      <w:divBdr>
        <w:top w:val="none" w:sz="0" w:space="0" w:color="auto"/>
        <w:left w:val="none" w:sz="0" w:space="0" w:color="auto"/>
        <w:bottom w:val="none" w:sz="0" w:space="0" w:color="auto"/>
        <w:right w:val="none" w:sz="0" w:space="0" w:color="auto"/>
      </w:divBdr>
    </w:div>
    <w:div w:id="200213602">
      <w:bodyDiv w:val="1"/>
      <w:marLeft w:val="0"/>
      <w:marRight w:val="0"/>
      <w:marTop w:val="0"/>
      <w:marBottom w:val="0"/>
      <w:divBdr>
        <w:top w:val="none" w:sz="0" w:space="0" w:color="auto"/>
        <w:left w:val="none" w:sz="0" w:space="0" w:color="auto"/>
        <w:bottom w:val="none" w:sz="0" w:space="0" w:color="auto"/>
        <w:right w:val="none" w:sz="0" w:space="0" w:color="auto"/>
      </w:divBdr>
    </w:div>
    <w:div w:id="249240199">
      <w:bodyDiv w:val="1"/>
      <w:marLeft w:val="0"/>
      <w:marRight w:val="0"/>
      <w:marTop w:val="0"/>
      <w:marBottom w:val="0"/>
      <w:divBdr>
        <w:top w:val="none" w:sz="0" w:space="0" w:color="auto"/>
        <w:left w:val="none" w:sz="0" w:space="0" w:color="auto"/>
        <w:bottom w:val="none" w:sz="0" w:space="0" w:color="auto"/>
        <w:right w:val="none" w:sz="0" w:space="0" w:color="auto"/>
      </w:divBdr>
    </w:div>
    <w:div w:id="254048500">
      <w:bodyDiv w:val="1"/>
      <w:marLeft w:val="0"/>
      <w:marRight w:val="0"/>
      <w:marTop w:val="0"/>
      <w:marBottom w:val="0"/>
      <w:divBdr>
        <w:top w:val="none" w:sz="0" w:space="0" w:color="auto"/>
        <w:left w:val="none" w:sz="0" w:space="0" w:color="auto"/>
        <w:bottom w:val="none" w:sz="0" w:space="0" w:color="auto"/>
        <w:right w:val="none" w:sz="0" w:space="0" w:color="auto"/>
      </w:divBdr>
    </w:div>
    <w:div w:id="256910246">
      <w:bodyDiv w:val="1"/>
      <w:marLeft w:val="0"/>
      <w:marRight w:val="0"/>
      <w:marTop w:val="0"/>
      <w:marBottom w:val="0"/>
      <w:divBdr>
        <w:top w:val="none" w:sz="0" w:space="0" w:color="auto"/>
        <w:left w:val="none" w:sz="0" w:space="0" w:color="auto"/>
        <w:bottom w:val="none" w:sz="0" w:space="0" w:color="auto"/>
        <w:right w:val="none" w:sz="0" w:space="0" w:color="auto"/>
      </w:divBdr>
    </w:div>
    <w:div w:id="259023112">
      <w:bodyDiv w:val="1"/>
      <w:marLeft w:val="0"/>
      <w:marRight w:val="0"/>
      <w:marTop w:val="0"/>
      <w:marBottom w:val="0"/>
      <w:divBdr>
        <w:top w:val="none" w:sz="0" w:space="0" w:color="auto"/>
        <w:left w:val="none" w:sz="0" w:space="0" w:color="auto"/>
        <w:bottom w:val="none" w:sz="0" w:space="0" w:color="auto"/>
        <w:right w:val="none" w:sz="0" w:space="0" w:color="auto"/>
      </w:divBdr>
    </w:div>
    <w:div w:id="263925054">
      <w:bodyDiv w:val="1"/>
      <w:marLeft w:val="0"/>
      <w:marRight w:val="0"/>
      <w:marTop w:val="0"/>
      <w:marBottom w:val="0"/>
      <w:divBdr>
        <w:top w:val="none" w:sz="0" w:space="0" w:color="auto"/>
        <w:left w:val="none" w:sz="0" w:space="0" w:color="auto"/>
        <w:bottom w:val="none" w:sz="0" w:space="0" w:color="auto"/>
        <w:right w:val="none" w:sz="0" w:space="0" w:color="auto"/>
      </w:divBdr>
    </w:div>
    <w:div w:id="272638581">
      <w:bodyDiv w:val="1"/>
      <w:marLeft w:val="0"/>
      <w:marRight w:val="0"/>
      <w:marTop w:val="0"/>
      <w:marBottom w:val="0"/>
      <w:divBdr>
        <w:top w:val="none" w:sz="0" w:space="0" w:color="auto"/>
        <w:left w:val="none" w:sz="0" w:space="0" w:color="auto"/>
        <w:bottom w:val="none" w:sz="0" w:space="0" w:color="auto"/>
        <w:right w:val="none" w:sz="0" w:space="0" w:color="auto"/>
      </w:divBdr>
    </w:div>
    <w:div w:id="285353581">
      <w:bodyDiv w:val="1"/>
      <w:marLeft w:val="0"/>
      <w:marRight w:val="0"/>
      <w:marTop w:val="0"/>
      <w:marBottom w:val="0"/>
      <w:divBdr>
        <w:top w:val="none" w:sz="0" w:space="0" w:color="auto"/>
        <w:left w:val="none" w:sz="0" w:space="0" w:color="auto"/>
        <w:bottom w:val="none" w:sz="0" w:space="0" w:color="auto"/>
        <w:right w:val="none" w:sz="0" w:space="0" w:color="auto"/>
      </w:divBdr>
    </w:div>
    <w:div w:id="291131965">
      <w:bodyDiv w:val="1"/>
      <w:marLeft w:val="0"/>
      <w:marRight w:val="0"/>
      <w:marTop w:val="0"/>
      <w:marBottom w:val="0"/>
      <w:divBdr>
        <w:top w:val="none" w:sz="0" w:space="0" w:color="auto"/>
        <w:left w:val="none" w:sz="0" w:space="0" w:color="auto"/>
        <w:bottom w:val="none" w:sz="0" w:space="0" w:color="auto"/>
        <w:right w:val="none" w:sz="0" w:space="0" w:color="auto"/>
      </w:divBdr>
    </w:div>
    <w:div w:id="295379072">
      <w:bodyDiv w:val="1"/>
      <w:marLeft w:val="0"/>
      <w:marRight w:val="0"/>
      <w:marTop w:val="0"/>
      <w:marBottom w:val="0"/>
      <w:divBdr>
        <w:top w:val="none" w:sz="0" w:space="0" w:color="auto"/>
        <w:left w:val="none" w:sz="0" w:space="0" w:color="auto"/>
        <w:bottom w:val="none" w:sz="0" w:space="0" w:color="auto"/>
        <w:right w:val="none" w:sz="0" w:space="0" w:color="auto"/>
      </w:divBdr>
    </w:div>
    <w:div w:id="306934530">
      <w:bodyDiv w:val="1"/>
      <w:marLeft w:val="0"/>
      <w:marRight w:val="0"/>
      <w:marTop w:val="0"/>
      <w:marBottom w:val="0"/>
      <w:divBdr>
        <w:top w:val="none" w:sz="0" w:space="0" w:color="auto"/>
        <w:left w:val="none" w:sz="0" w:space="0" w:color="auto"/>
        <w:bottom w:val="none" w:sz="0" w:space="0" w:color="auto"/>
        <w:right w:val="none" w:sz="0" w:space="0" w:color="auto"/>
      </w:divBdr>
    </w:div>
    <w:div w:id="318123626">
      <w:bodyDiv w:val="1"/>
      <w:marLeft w:val="0"/>
      <w:marRight w:val="0"/>
      <w:marTop w:val="0"/>
      <w:marBottom w:val="0"/>
      <w:divBdr>
        <w:top w:val="none" w:sz="0" w:space="0" w:color="auto"/>
        <w:left w:val="none" w:sz="0" w:space="0" w:color="auto"/>
        <w:bottom w:val="none" w:sz="0" w:space="0" w:color="auto"/>
        <w:right w:val="none" w:sz="0" w:space="0" w:color="auto"/>
      </w:divBdr>
    </w:div>
    <w:div w:id="434374773">
      <w:bodyDiv w:val="1"/>
      <w:marLeft w:val="0"/>
      <w:marRight w:val="0"/>
      <w:marTop w:val="0"/>
      <w:marBottom w:val="0"/>
      <w:divBdr>
        <w:top w:val="none" w:sz="0" w:space="0" w:color="auto"/>
        <w:left w:val="none" w:sz="0" w:space="0" w:color="auto"/>
        <w:bottom w:val="none" w:sz="0" w:space="0" w:color="auto"/>
        <w:right w:val="none" w:sz="0" w:space="0" w:color="auto"/>
      </w:divBdr>
    </w:div>
    <w:div w:id="448478908">
      <w:bodyDiv w:val="1"/>
      <w:marLeft w:val="0"/>
      <w:marRight w:val="0"/>
      <w:marTop w:val="0"/>
      <w:marBottom w:val="0"/>
      <w:divBdr>
        <w:top w:val="none" w:sz="0" w:space="0" w:color="auto"/>
        <w:left w:val="none" w:sz="0" w:space="0" w:color="auto"/>
        <w:bottom w:val="none" w:sz="0" w:space="0" w:color="auto"/>
        <w:right w:val="none" w:sz="0" w:space="0" w:color="auto"/>
      </w:divBdr>
    </w:div>
    <w:div w:id="457141897">
      <w:bodyDiv w:val="1"/>
      <w:marLeft w:val="0"/>
      <w:marRight w:val="0"/>
      <w:marTop w:val="0"/>
      <w:marBottom w:val="0"/>
      <w:divBdr>
        <w:top w:val="none" w:sz="0" w:space="0" w:color="auto"/>
        <w:left w:val="none" w:sz="0" w:space="0" w:color="auto"/>
        <w:bottom w:val="none" w:sz="0" w:space="0" w:color="auto"/>
        <w:right w:val="none" w:sz="0" w:space="0" w:color="auto"/>
      </w:divBdr>
    </w:div>
    <w:div w:id="470172184">
      <w:bodyDiv w:val="1"/>
      <w:marLeft w:val="0"/>
      <w:marRight w:val="0"/>
      <w:marTop w:val="0"/>
      <w:marBottom w:val="0"/>
      <w:divBdr>
        <w:top w:val="none" w:sz="0" w:space="0" w:color="auto"/>
        <w:left w:val="none" w:sz="0" w:space="0" w:color="auto"/>
        <w:bottom w:val="none" w:sz="0" w:space="0" w:color="auto"/>
        <w:right w:val="none" w:sz="0" w:space="0" w:color="auto"/>
      </w:divBdr>
    </w:div>
    <w:div w:id="470750164">
      <w:bodyDiv w:val="1"/>
      <w:marLeft w:val="0"/>
      <w:marRight w:val="0"/>
      <w:marTop w:val="0"/>
      <w:marBottom w:val="0"/>
      <w:divBdr>
        <w:top w:val="none" w:sz="0" w:space="0" w:color="auto"/>
        <w:left w:val="none" w:sz="0" w:space="0" w:color="auto"/>
        <w:bottom w:val="none" w:sz="0" w:space="0" w:color="auto"/>
        <w:right w:val="none" w:sz="0" w:space="0" w:color="auto"/>
      </w:divBdr>
    </w:div>
    <w:div w:id="530843527">
      <w:bodyDiv w:val="1"/>
      <w:marLeft w:val="0"/>
      <w:marRight w:val="0"/>
      <w:marTop w:val="0"/>
      <w:marBottom w:val="0"/>
      <w:divBdr>
        <w:top w:val="none" w:sz="0" w:space="0" w:color="auto"/>
        <w:left w:val="none" w:sz="0" w:space="0" w:color="auto"/>
        <w:bottom w:val="none" w:sz="0" w:space="0" w:color="auto"/>
        <w:right w:val="none" w:sz="0" w:space="0" w:color="auto"/>
      </w:divBdr>
    </w:div>
    <w:div w:id="594704190">
      <w:bodyDiv w:val="1"/>
      <w:marLeft w:val="0"/>
      <w:marRight w:val="0"/>
      <w:marTop w:val="0"/>
      <w:marBottom w:val="0"/>
      <w:divBdr>
        <w:top w:val="none" w:sz="0" w:space="0" w:color="auto"/>
        <w:left w:val="none" w:sz="0" w:space="0" w:color="auto"/>
        <w:bottom w:val="none" w:sz="0" w:space="0" w:color="auto"/>
        <w:right w:val="none" w:sz="0" w:space="0" w:color="auto"/>
      </w:divBdr>
    </w:div>
    <w:div w:id="680543719">
      <w:bodyDiv w:val="1"/>
      <w:marLeft w:val="0"/>
      <w:marRight w:val="0"/>
      <w:marTop w:val="0"/>
      <w:marBottom w:val="0"/>
      <w:divBdr>
        <w:top w:val="none" w:sz="0" w:space="0" w:color="auto"/>
        <w:left w:val="none" w:sz="0" w:space="0" w:color="auto"/>
        <w:bottom w:val="none" w:sz="0" w:space="0" w:color="auto"/>
        <w:right w:val="none" w:sz="0" w:space="0" w:color="auto"/>
      </w:divBdr>
    </w:div>
    <w:div w:id="683870162">
      <w:bodyDiv w:val="1"/>
      <w:marLeft w:val="0"/>
      <w:marRight w:val="0"/>
      <w:marTop w:val="0"/>
      <w:marBottom w:val="0"/>
      <w:divBdr>
        <w:top w:val="none" w:sz="0" w:space="0" w:color="auto"/>
        <w:left w:val="none" w:sz="0" w:space="0" w:color="auto"/>
        <w:bottom w:val="none" w:sz="0" w:space="0" w:color="auto"/>
        <w:right w:val="none" w:sz="0" w:space="0" w:color="auto"/>
      </w:divBdr>
    </w:div>
    <w:div w:id="684595253">
      <w:bodyDiv w:val="1"/>
      <w:marLeft w:val="0"/>
      <w:marRight w:val="0"/>
      <w:marTop w:val="0"/>
      <w:marBottom w:val="0"/>
      <w:divBdr>
        <w:top w:val="none" w:sz="0" w:space="0" w:color="auto"/>
        <w:left w:val="none" w:sz="0" w:space="0" w:color="auto"/>
        <w:bottom w:val="none" w:sz="0" w:space="0" w:color="auto"/>
        <w:right w:val="none" w:sz="0" w:space="0" w:color="auto"/>
      </w:divBdr>
    </w:div>
    <w:div w:id="690647834">
      <w:bodyDiv w:val="1"/>
      <w:marLeft w:val="0"/>
      <w:marRight w:val="0"/>
      <w:marTop w:val="0"/>
      <w:marBottom w:val="0"/>
      <w:divBdr>
        <w:top w:val="none" w:sz="0" w:space="0" w:color="auto"/>
        <w:left w:val="none" w:sz="0" w:space="0" w:color="auto"/>
        <w:bottom w:val="none" w:sz="0" w:space="0" w:color="auto"/>
        <w:right w:val="none" w:sz="0" w:space="0" w:color="auto"/>
      </w:divBdr>
    </w:div>
    <w:div w:id="701782565">
      <w:bodyDiv w:val="1"/>
      <w:marLeft w:val="0"/>
      <w:marRight w:val="0"/>
      <w:marTop w:val="0"/>
      <w:marBottom w:val="0"/>
      <w:divBdr>
        <w:top w:val="none" w:sz="0" w:space="0" w:color="auto"/>
        <w:left w:val="none" w:sz="0" w:space="0" w:color="auto"/>
        <w:bottom w:val="none" w:sz="0" w:space="0" w:color="auto"/>
        <w:right w:val="none" w:sz="0" w:space="0" w:color="auto"/>
      </w:divBdr>
    </w:div>
    <w:div w:id="712928672">
      <w:bodyDiv w:val="1"/>
      <w:marLeft w:val="0"/>
      <w:marRight w:val="0"/>
      <w:marTop w:val="0"/>
      <w:marBottom w:val="0"/>
      <w:divBdr>
        <w:top w:val="none" w:sz="0" w:space="0" w:color="auto"/>
        <w:left w:val="none" w:sz="0" w:space="0" w:color="auto"/>
        <w:bottom w:val="none" w:sz="0" w:space="0" w:color="auto"/>
        <w:right w:val="none" w:sz="0" w:space="0" w:color="auto"/>
      </w:divBdr>
    </w:div>
    <w:div w:id="784272875">
      <w:bodyDiv w:val="1"/>
      <w:marLeft w:val="0"/>
      <w:marRight w:val="0"/>
      <w:marTop w:val="0"/>
      <w:marBottom w:val="0"/>
      <w:divBdr>
        <w:top w:val="none" w:sz="0" w:space="0" w:color="auto"/>
        <w:left w:val="none" w:sz="0" w:space="0" w:color="auto"/>
        <w:bottom w:val="none" w:sz="0" w:space="0" w:color="auto"/>
        <w:right w:val="none" w:sz="0" w:space="0" w:color="auto"/>
      </w:divBdr>
    </w:div>
    <w:div w:id="819006322">
      <w:bodyDiv w:val="1"/>
      <w:marLeft w:val="0"/>
      <w:marRight w:val="0"/>
      <w:marTop w:val="0"/>
      <w:marBottom w:val="0"/>
      <w:divBdr>
        <w:top w:val="none" w:sz="0" w:space="0" w:color="auto"/>
        <w:left w:val="none" w:sz="0" w:space="0" w:color="auto"/>
        <w:bottom w:val="none" w:sz="0" w:space="0" w:color="auto"/>
        <w:right w:val="none" w:sz="0" w:space="0" w:color="auto"/>
      </w:divBdr>
    </w:div>
    <w:div w:id="822625138">
      <w:bodyDiv w:val="1"/>
      <w:marLeft w:val="0"/>
      <w:marRight w:val="0"/>
      <w:marTop w:val="0"/>
      <w:marBottom w:val="0"/>
      <w:divBdr>
        <w:top w:val="none" w:sz="0" w:space="0" w:color="auto"/>
        <w:left w:val="none" w:sz="0" w:space="0" w:color="auto"/>
        <w:bottom w:val="none" w:sz="0" w:space="0" w:color="auto"/>
        <w:right w:val="none" w:sz="0" w:space="0" w:color="auto"/>
      </w:divBdr>
    </w:div>
    <w:div w:id="829520760">
      <w:bodyDiv w:val="1"/>
      <w:marLeft w:val="0"/>
      <w:marRight w:val="0"/>
      <w:marTop w:val="0"/>
      <w:marBottom w:val="0"/>
      <w:divBdr>
        <w:top w:val="none" w:sz="0" w:space="0" w:color="auto"/>
        <w:left w:val="none" w:sz="0" w:space="0" w:color="auto"/>
        <w:bottom w:val="none" w:sz="0" w:space="0" w:color="auto"/>
        <w:right w:val="none" w:sz="0" w:space="0" w:color="auto"/>
      </w:divBdr>
    </w:div>
    <w:div w:id="839154589">
      <w:bodyDiv w:val="1"/>
      <w:marLeft w:val="0"/>
      <w:marRight w:val="0"/>
      <w:marTop w:val="0"/>
      <w:marBottom w:val="0"/>
      <w:divBdr>
        <w:top w:val="none" w:sz="0" w:space="0" w:color="auto"/>
        <w:left w:val="none" w:sz="0" w:space="0" w:color="auto"/>
        <w:bottom w:val="none" w:sz="0" w:space="0" w:color="auto"/>
        <w:right w:val="none" w:sz="0" w:space="0" w:color="auto"/>
      </w:divBdr>
    </w:div>
    <w:div w:id="841436054">
      <w:bodyDiv w:val="1"/>
      <w:marLeft w:val="0"/>
      <w:marRight w:val="0"/>
      <w:marTop w:val="0"/>
      <w:marBottom w:val="0"/>
      <w:divBdr>
        <w:top w:val="none" w:sz="0" w:space="0" w:color="auto"/>
        <w:left w:val="none" w:sz="0" w:space="0" w:color="auto"/>
        <w:bottom w:val="none" w:sz="0" w:space="0" w:color="auto"/>
        <w:right w:val="none" w:sz="0" w:space="0" w:color="auto"/>
      </w:divBdr>
    </w:div>
    <w:div w:id="856650684">
      <w:bodyDiv w:val="1"/>
      <w:marLeft w:val="0"/>
      <w:marRight w:val="0"/>
      <w:marTop w:val="0"/>
      <w:marBottom w:val="0"/>
      <w:divBdr>
        <w:top w:val="none" w:sz="0" w:space="0" w:color="auto"/>
        <w:left w:val="none" w:sz="0" w:space="0" w:color="auto"/>
        <w:bottom w:val="none" w:sz="0" w:space="0" w:color="auto"/>
        <w:right w:val="none" w:sz="0" w:space="0" w:color="auto"/>
      </w:divBdr>
    </w:div>
    <w:div w:id="876696137">
      <w:bodyDiv w:val="1"/>
      <w:marLeft w:val="0"/>
      <w:marRight w:val="0"/>
      <w:marTop w:val="0"/>
      <w:marBottom w:val="0"/>
      <w:divBdr>
        <w:top w:val="none" w:sz="0" w:space="0" w:color="auto"/>
        <w:left w:val="none" w:sz="0" w:space="0" w:color="auto"/>
        <w:bottom w:val="none" w:sz="0" w:space="0" w:color="auto"/>
        <w:right w:val="none" w:sz="0" w:space="0" w:color="auto"/>
      </w:divBdr>
    </w:div>
    <w:div w:id="890075713">
      <w:bodyDiv w:val="1"/>
      <w:marLeft w:val="0"/>
      <w:marRight w:val="0"/>
      <w:marTop w:val="0"/>
      <w:marBottom w:val="0"/>
      <w:divBdr>
        <w:top w:val="none" w:sz="0" w:space="0" w:color="auto"/>
        <w:left w:val="none" w:sz="0" w:space="0" w:color="auto"/>
        <w:bottom w:val="none" w:sz="0" w:space="0" w:color="auto"/>
        <w:right w:val="none" w:sz="0" w:space="0" w:color="auto"/>
      </w:divBdr>
    </w:div>
    <w:div w:id="898590327">
      <w:bodyDiv w:val="1"/>
      <w:marLeft w:val="0"/>
      <w:marRight w:val="0"/>
      <w:marTop w:val="0"/>
      <w:marBottom w:val="0"/>
      <w:divBdr>
        <w:top w:val="none" w:sz="0" w:space="0" w:color="auto"/>
        <w:left w:val="none" w:sz="0" w:space="0" w:color="auto"/>
        <w:bottom w:val="none" w:sz="0" w:space="0" w:color="auto"/>
        <w:right w:val="none" w:sz="0" w:space="0" w:color="auto"/>
      </w:divBdr>
    </w:div>
    <w:div w:id="963774800">
      <w:bodyDiv w:val="1"/>
      <w:marLeft w:val="0"/>
      <w:marRight w:val="0"/>
      <w:marTop w:val="0"/>
      <w:marBottom w:val="0"/>
      <w:divBdr>
        <w:top w:val="none" w:sz="0" w:space="0" w:color="auto"/>
        <w:left w:val="none" w:sz="0" w:space="0" w:color="auto"/>
        <w:bottom w:val="none" w:sz="0" w:space="0" w:color="auto"/>
        <w:right w:val="none" w:sz="0" w:space="0" w:color="auto"/>
      </w:divBdr>
    </w:div>
    <w:div w:id="1158611268">
      <w:bodyDiv w:val="1"/>
      <w:marLeft w:val="0"/>
      <w:marRight w:val="0"/>
      <w:marTop w:val="0"/>
      <w:marBottom w:val="0"/>
      <w:divBdr>
        <w:top w:val="none" w:sz="0" w:space="0" w:color="auto"/>
        <w:left w:val="none" w:sz="0" w:space="0" w:color="auto"/>
        <w:bottom w:val="none" w:sz="0" w:space="0" w:color="auto"/>
        <w:right w:val="none" w:sz="0" w:space="0" w:color="auto"/>
      </w:divBdr>
    </w:div>
    <w:div w:id="1169053367">
      <w:bodyDiv w:val="1"/>
      <w:marLeft w:val="0"/>
      <w:marRight w:val="0"/>
      <w:marTop w:val="0"/>
      <w:marBottom w:val="0"/>
      <w:divBdr>
        <w:top w:val="none" w:sz="0" w:space="0" w:color="auto"/>
        <w:left w:val="none" w:sz="0" w:space="0" w:color="auto"/>
        <w:bottom w:val="none" w:sz="0" w:space="0" w:color="auto"/>
        <w:right w:val="none" w:sz="0" w:space="0" w:color="auto"/>
      </w:divBdr>
    </w:div>
    <w:div w:id="1267888449">
      <w:bodyDiv w:val="1"/>
      <w:marLeft w:val="0"/>
      <w:marRight w:val="0"/>
      <w:marTop w:val="0"/>
      <w:marBottom w:val="0"/>
      <w:divBdr>
        <w:top w:val="none" w:sz="0" w:space="0" w:color="auto"/>
        <w:left w:val="none" w:sz="0" w:space="0" w:color="auto"/>
        <w:bottom w:val="none" w:sz="0" w:space="0" w:color="auto"/>
        <w:right w:val="none" w:sz="0" w:space="0" w:color="auto"/>
      </w:divBdr>
    </w:div>
    <w:div w:id="1280605068">
      <w:bodyDiv w:val="1"/>
      <w:marLeft w:val="0"/>
      <w:marRight w:val="0"/>
      <w:marTop w:val="0"/>
      <w:marBottom w:val="0"/>
      <w:divBdr>
        <w:top w:val="none" w:sz="0" w:space="0" w:color="auto"/>
        <w:left w:val="none" w:sz="0" w:space="0" w:color="auto"/>
        <w:bottom w:val="none" w:sz="0" w:space="0" w:color="auto"/>
        <w:right w:val="none" w:sz="0" w:space="0" w:color="auto"/>
      </w:divBdr>
    </w:div>
    <w:div w:id="1383672823">
      <w:bodyDiv w:val="1"/>
      <w:marLeft w:val="0"/>
      <w:marRight w:val="0"/>
      <w:marTop w:val="0"/>
      <w:marBottom w:val="0"/>
      <w:divBdr>
        <w:top w:val="none" w:sz="0" w:space="0" w:color="auto"/>
        <w:left w:val="none" w:sz="0" w:space="0" w:color="auto"/>
        <w:bottom w:val="none" w:sz="0" w:space="0" w:color="auto"/>
        <w:right w:val="none" w:sz="0" w:space="0" w:color="auto"/>
      </w:divBdr>
    </w:div>
    <w:div w:id="1437872459">
      <w:bodyDiv w:val="1"/>
      <w:marLeft w:val="0"/>
      <w:marRight w:val="0"/>
      <w:marTop w:val="0"/>
      <w:marBottom w:val="0"/>
      <w:divBdr>
        <w:top w:val="none" w:sz="0" w:space="0" w:color="auto"/>
        <w:left w:val="none" w:sz="0" w:space="0" w:color="auto"/>
        <w:bottom w:val="none" w:sz="0" w:space="0" w:color="auto"/>
        <w:right w:val="none" w:sz="0" w:space="0" w:color="auto"/>
      </w:divBdr>
    </w:div>
    <w:div w:id="1474061378">
      <w:bodyDiv w:val="1"/>
      <w:marLeft w:val="0"/>
      <w:marRight w:val="0"/>
      <w:marTop w:val="0"/>
      <w:marBottom w:val="0"/>
      <w:divBdr>
        <w:top w:val="none" w:sz="0" w:space="0" w:color="auto"/>
        <w:left w:val="none" w:sz="0" w:space="0" w:color="auto"/>
        <w:bottom w:val="none" w:sz="0" w:space="0" w:color="auto"/>
        <w:right w:val="none" w:sz="0" w:space="0" w:color="auto"/>
      </w:divBdr>
    </w:div>
    <w:div w:id="1478231244">
      <w:bodyDiv w:val="1"/>
      <w:marLeft w:val="0"/>
      <w:marRight w:val="0"/>
      <w:marTop w:val="0"/>
      <w:marBottom w:val="0"/>
      <w:divBdr>
        <w:top w:val="none" w:sz="0" w:space="0" w:color="auto"/>
        <w:left w:val="none" w:sz="0" w:space="0" w:color="auto"/>
        <w:bottom w:val="none" w:sz="0" w:space="0" w:color="auto"/>
        <w:right w:val="none" w:sz="0" w:space="0" w:color="auto"/>
      </w:divBdr>
    </w:div>
    <w:div w:id="1506751895">
      <w:bodyDiv w:val="1"/>
      <w:marLeft w:val="0"/>
      <w:marRight w:val="0"/>
      <w:marTop w:val="0"/>
      <w:marBottom w:val="0"/>
      <w:divBdr>
        <w:top w:val="none" w:sz="0" w:space="0" w:color="auto"/>
        <w:left w:val="none" w:sz="0" w:space="0" w:color="auto"/>
        <w:bottom w:val="none" w:sz="0" w:space="0" w:color="auto"/>
        <w:right w:val="none" w:sz="0" w:space="0" w:color="auto"/>
      </w:divBdr>
    </w:div>
    <w:div w:id="1511531674">
      <w:bodyDiv w:val="1"/>
      <w:marLeft w:val="0"/>
      <w:marRight w:val="0"/>
      <w:marTop w:val="0"/>
      <w:marBottom w:val="0"/>
      <w:divBdr>
        <w:top w:val="none" w:sz="0" w:space="0" w:color="auto"/>
        <w:left w:val="none" w:sz="0" w:space="0" w:color="auto"/>
        <w:bottom w:val="none" w:sz="0" w:space="0" w:color="auto"/>
        <w:right w:val="none" w:sz="0" w:space="0" w:color="auto"/>
      </w:divBdr>
    </w:div>
    <w:div w:id="1538621020">
      <w:bodyDiv w:val="1"/>
      <w:marLeft w:val="0"/>
      <w:marRight w:val="0"/>
      <w:marTop w:val="0"/>
      <w:marBottom w:val="0"/>
      <w:divBdr>
        <w:top w:val="none" w:sz="0" w:space="0" w:color="auto"/>
        <w:left w:val="none" w:sz="0" w:space="0" w:color="auto"/>
        <w:bottom w:val="none" w:sz="0" w:space="0" w:color="auto"/>
        <w:right w:val="none" w:sz="0" w:space="0" w:color="auto"/>
      </w:divBdr>
    </w:div>
    <w:div w:id="1549218074">
      <w:bodyDiv w:val="1"/>
      <w:marLeft w:val="0"/>
      <w:marRight w:val="0"/>
      <w:marTop w:val="0"/>
      <w:marBottom w:val="0"/>
      <w:divBdr>
        <w:top w:val="none" w:sz="0" w:space="0" w:color="auto"/>
        <w:left w:val="none" w:sz="0" w:space="0" w:color="auto"/>
        <w:bottom w:val="none" w:sz="0" w:space="0" w:color="auto"/>
        <w:right w:val="none" w:sz="0" w:space="0" w:color="auto"/>
      </w:divBdr>
    </w:div>
    <w:div w:id="1556354675">
      <w:bodyDiv w:val="1"/>
      <w:marLeft w:val="0"/>
      <w:marRight w:val="0"/>
      <w:marTop w:val="0"/>
      <w:marBottom w:val="0"/>
      <w:divBdr>
        <w:top w:val="none" w:sz="0" w:space="0" w:color="auto"/>
        <w:left w:val="none" w:sz="0" w:space="0" w:color="auto"/>
        <w:bottom w:val="none" w:sz="0" w:space="0" w:color="auto"/>
        <w:right w:val="none" w:sz="0" w:space="0" w:color="auto"/>
      </w:divBdr>
    </w:div>
    <w:div w:id="1574776181">
      <w:bodyDiv w:val="1"/>
      <w:marLeft w:val="0"/>
      <w:marRight w:val="0"/>
      <w:marTop w:val="0"/>
      <w:marBottom w:val="0"/>
      <w:divBdr>
        <w:top w:val="none" w:sz="0" w:space="0" w:color="auto"/>
        <w:left w:val="none" w:sz="0" w:space="0" w:color="auto"/>
        <w:bottom w:val="none" w:sz="0" w:space="0" w:color="auto"/>
        <w:right w:val="none" w:sz="0" w:space="0" w:color="auto"/>
      </w:divBdr>
    </w:div>
    <w:div w:id="1653024382">
      <w:bodyDiv w:val="1"/>
      <w:marLeft w:val="0"/>
      <w:marRight w:val="0"/>
      <w:marTop w:val="0"/>
      <w:marBottom w:val="0"/>
      <w:divBdr>
        <w:top w:val="none" w:sz="0" w:space="0" w:color="auto"/>
        <w:left w:val="none" w:sz="0" w:space="0" w:color="auto"/>
        <w:bottom w:val="none" w:sz="0" w:space="0" w:color="auto"/>
        <w:right w:val="none" w:sz="0" w:space="0" w:color="auto"/>
      </w:divBdr>
    </w:div>
    <w:div w:id="1703943144">
      <w:bodyDiv w:val="1"/>
      <w:marLeft w:val="0"/>
      <w:marRight w:val="0"/>
      <w:marTop w:val="0"/>
      <w:marBottom w:val="0"/>
      <w:divBdr>
        <w:top w:val="none" w:sz="0" w:space="0" w:color="auto"/>
        <w:left w:val="none" w:sz="0" w:space="0" w:color="auto"/>
        <w:bottom w:val="none" w:sz="0" w:space="0" w:color="auto"/>
        <w:right w:val="none" w:sz="0" w:space="0" w:color="auto"/>
      </w:divBdr>
    </w:div>
    <w:div w:id="1720202034">
      <w:bodyDiv w:val="1"/>
      <w:marLeft w:val="0"/>
      <w:marRight w:val="0"/>
      <w:marTop w:val="0"/>
      <w:marBottom w:val="0"/>
      <w:divBdr>
        <w:top w:val="none" w:sz="0" w:space="0" w:color="auto"/>
        <w:left w:val="none" w:sz="0" w:space="0" w:color="auto"/>
        <w:bottom w:val="none" w:sz="0" w:space="0" w:color="auto"/>
        <w:right w:val="none" w:sz="0" w:space="0" w:color="auto"/>
      </w:divBdr>
    </w:div>
    <w:div w:id="1724333155">
      <w:bodyDiv w:val="1"/>
      <w:marLeft w:val="0"/>
      <w:marRight w:val="0"/>
      <w:marTop w:val="0"/>
      <w:marBottom w:val="0"/>
      <w:divBdr>
        <w:top w:val="none" w:sz="0" w:space="0" w:color="auto"/>
        <w:left w:val="none" w:sz="0" w:space="0" w:color="auto"/>
        <w:bottom w:val="none" w:sz="0" w:space="0" w:color="auto"/>
        <w:right w:val="none" w:sz="0" w:space="0" w:color="auto"/>
      </w:divBdr>
    </w:div>
    <w:div w:id="1738047247">
      <w:bodyDiv w:val="1"/>
      <w:marLeft w:val="0"/>
      <w:marRight w:val="0"/>
      <w:marTop w:val="0"/>
      <w:marBottom w:val="0"/>
      <w:divBdr>
        <w:top w:val="none" w:sz="0" w:space="0" w:color="auto"/>
        <w:left w:val="none" w:sz="0" w:space="0" w:color="auto"/>
        <w:bottom w:val="none" w:sz="0" w:space="0" w:color="auto"/>
        <w:right w:val="none" w:sz="0" w:space="0" w:color="auto"/>
      </w:divBdr>
    </w:div>
    <w:div w:id="1738237226">
      <w:bodyDiv w:val="1"/>
      <w:marLeft w:val="0"/>
      <w:marRight w:val="0"/>
      <w:marTop w:val="0"/>
      <w:marBottom w:val="0"/>
      <w:divBdr>
        <w:top w:val="none" w:sz="0" w:space="0" w:color="auto"/>
        <w:left w:val="none" w:sz="0" w:space="0" w:color="auto"/>
        <w:bottom w:val="none" w:sz="0" w:space="0" w:color="auto"/>
        <w:right w:val="none" w:sz="0" w:space="0" w:color="auto"/>
      </w:divBdr>
    </w:div>
    <w:div w:id="1766150464">
      <w:bodyDiv w:val="1"/>
      <w:marLeft w:val="0"/>
      <w:marRight w:val="0"/>
      <w:marTop w:val="0"/>
      <w:marBottom w:val="0"/>
      <w:divBdr>
        <w:top w:val="none" w:sz="0" w:space="0" w:color="auto"/>
        <w:left w:val="none" w:sz="0" w:space="0" w:color="auto"/>
        <w:bottom w:val="none" w:sz="0" w:space="0" w:color="auto"/>
        <w:right w:val="none" w:sz="0" w:space="0" w:color="auto"/>
      </w:divBdr>
    </w:div>
    <w:div w:id="1770156861">
      <w:bodyDiv w:val="1"/>
      <w:marLeft w:val="0"/>
      <w:marRight w:val="0"/>
      <w:marTop w:val="0"/>
      <w:marBottom w:val="0"/>
      <w:divBdr>
        <w:top w:val="none" w:sz="0" w:space="0" w:color="auto"/>
        <w:left w:val="none" w:sz="0" w:space="0" w:color="auto"/>
        <w:bottom w:val="none" w:sz="0" w:space="0" w:color="auto"/>
        <w:right w:val="none" w:sz="0" w:space="0" w:color="auto"/>
      </w:divBdr>
    </w:div>
    <w:div w:id="1771470438">
      <w:bodyDiv w:val="1"/>
      <w:marLeft w:val="0"/>
      <w:marRight w:val="0"/>
      <w:marTop w:val="0"/>
      <w:marBottom w:val="0"/>
      <w:divBdr>
        <w:top w:val="none" w:sz="0" w:space="0" w:color="auto"/>
        <w:left w:val="none" w:sz="0" w:space="0" w:color="auto"/>
        <w:bottom w:val="none" w:sz="0" w:space="0" w:color="auto"/>
        <w:right w:val="none" w:sz="0" w:space="0" w:color="auto"/>
      </w:divBdr>
    </w:div>
    <w:div w:id="1784808523">
      <w:bodyDiv w:val="1"/>
      <w:marLeft w:val="0"/>
      <w:marRight w:val="0"/>
      <w:marTop w:val="0"/>
      <w:marBottom w:val="0"/>
      <w:divBdr>
        <w:top w:val="none" w:sz="0" w:space="0" w:color="auto"/>
        <w:left w:val="none" w:sz="0" w:space="0" w:color="auto"/>
        <w:bottom w:val="none" w:sz="0" w:space="0" w:color="auto"/>
        <w:right w:val="none" w:sz="0" w:space="0" w:color="auto"/>
      </w:divBdr>
    </w:div>
    <w:div w:id="1790473060">
      <w:bodyDiv w:val="1"/>
      <w:marLeft w:val="0"/>
      <w:marRight w:val="0"/>
      <w:marTop w:val="0"/>
      <w:marBottom w:val="0"/>
      <w:divBdr>
        <w:top w:val="none" w:sz="0" w:space="0" w:color="auto"/>
        <w:left w:val="none" w:sz="0" w:space="0" w:color="auto"/>
        <w:bottom w:val="none" w:sz="0" w:space="0" w:color="auto"/>
        <w:right w:val="none" w:sz="0" w:space="0" w:color="auto"/>
      </w:divBdr>
    </w:div>
    <w:div w:id="1921139646">
      <w:bodyDiv w:val="1"/>
      <w:marLeft w:val="0"/>
      <w:marRight w:val="0"/>
      <w:marTop w:val="0"/>
      <w:marBottom w:val="0"/>
      <w:divBdr>
        <w:top w:val="none" w:sz="0" w:space="0" w:color="auto"/>
        <w:left w:val="none" w:sz="0" w:space="0" w:color="auto"/>
        <w:bottom w:val="none" w:sz="0" w:space="0" w:color="auto"/>
        <w:right w:val="none" w:sz="0" w:space="0" w:color="auto"/>
      </w:divBdr>
    </w:div>
    <w:div w:id="2005740886">
      <w:bodyDiv w:val="1"/>
      <w:marLeft w:val="0"/>
      <w:marRight w:val="0"/>
      <w:marTop w:val="0"/>
      <w:marBottom w:val="0"/>
      <w:divBdr>
        <w:top w:val="none" w:sz="0" w:space="0" w:color="auto"/>
        <w:left w:val="none" w:sz="0" w:space="0" w:color="auto"/>
        <w:bottom w:val="none" w:sz="0" w:space="0" w:color="auto"/>
        <w:right w:val="none" w:sz="0" w:space="0" w:color="auto"/>
      </w:divBdr>
    </w:div>
    <w:div w:id="2018649180">
      <w:bodyDiv w:val="1"/>
      <w:marLeft w:val="0"/>
      <w:marRight w:val="0"/>
      <w:marTop w:val="0"/>
      <w:marBottom w:val="0"/>
      <w:divBdr>
        <w:top w:val="none" w:sz="0" w:space="0" w:color="auto"/>
        <w:left w:val="none" w:sz="0" w:space="0" w:color="auto"/>
        <w:bottom w:val="none" w:sz="0" w:space="0" w:color="auto"/>
        <w:right w:val="none" w:sz="0" w:space="0" w:color="auto"/>
      </w:divBdr>
    </w:div>
    <w:div w:id="2018725797">
      <w:bodyDiv w:val="1"/>
      <w:marLeft w:val="0"/>
      <w:marRight w:val="0"/>
      <w:marTop w:val="0"/>
      <w:marBottom w:val="0"/>
      <w:divBdr>
        <w:top w:val="none" w:sz="0" w:space="0" w:color="auto"/>
        <w:left w:val="none" w:sz="0" w:space="0" w:color="auto"/>
        <w:bottom w:val="none" w:sz="0" w:space="0" w:color="auto"/>
        <w:right w:val="none" w:sz="0" w:space="0" w:color="auto"/>
      </w:divBdr>
    </w:div>
    <w:div w:id="2037920441">
      <w:bodyDiv w:val="1"/>
      <w:marLeft w:val="0"/>
      <w:marRight w:val="0"/>
      <w:marTop w:val="0"/>
      <w:marBottom w:val="0"/>
      <w:divBdr>
        <w:top w:val="none" w:sz="0" w:space="0" w:color="auto"/>
        <w:left w:val="none" w:sz="0" w:space="0" w:color="auto"/>
        <w:bottom w:val="none" w:sz="0" w:space="0" w:color="auto"/>
        <w:right w:val="none" w:sz="0" w:space="0" w:color="auto"/>
      </w:divBdr>
    </w:div>
    <w:div w:id="2068531003">
      <w:bodyDiv w:val="1"/>
      <w:marLeft w:val="0"/>
      <w:marRight w:val="0"/>
      <w:marTop w:val="0"/>
      <w:marBottom w:val="0"/>
      <w:divBdr>
        <w:top w:val="none" w:sz="0" w:space="0" w:color="auto"/>
        <w:left w:val="none" w:sz="0" w:space="0" w:color="auto"/>
        <w:bottom w:val="none" w:sz="0" w:space="0" w:color="auto"/>
        <w:right w:val="none" w:sz="0" w:space="0" w:color="auto"/>
      </w:divBdr>
    </w:div>
    <w:div w:id="21360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m.henty@agriculture.vic.gov.au" TargetMode="External"/><Relationship Id="rId18" Type="http://schemas.openxmlformats.org/officeDocument/2006/relationships/footer" Target="footer3.xml"/><Relationship Id="rId26" Type="http://schemas.openxmlformats.org/officeDocument/2006/relationships/chart" Target="charts/chart2.xml"/><Relationship Id="rId39" Type="http://schemas.openxmlformats.org/officeDocument/2006/relationships/image" Target="media/image19.png"/><Relationship Id="R6dbd67cdfe1041eb" Type="http://schemas.microsoft.com/office/2019/09/relationships/intelligence" Target="intelligence.xml"/><Relationship Id="rId21" Type="http://schemas.openxmlformats.org/officeDocument/2006/relationships/image" Target="media/image3.png"/><Relationship Id="rId34" Type="http://schemas.openxmlformats.org/officeDocument/2006/relationships/image" Target="media/image14.png"/><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image" Target="media/image9.png"/><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hart" Target="charts/chart1.xm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griculture.vic.gov.au/livestockfarmmonitor" TargetMode="Externa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6.png"/><Relationship Id="rId33" Type="http://schemas.openxmlformats.org/officeDocument/2006/relationships/image" Target="media/image13.png"/><Relationship Id="rId38" Type="http://schemas.openxmlformats.org/officeDocument/2006/relationships/image" Target="media/image18.png"/></Relationships>
</file>

<file path=word/charts/_rels/chart1.xml.rels><?xml version="1.0" encoding="UTF-8" standalone="yes"?>
<Relationships xmlns="http://schemas.openxmlformats.org/package/2006/relationships"><Relationship Id="rId3" Type="http://schemas.openxmlformats.org/officeDocument/2006/relationships/oleObject" Target="https://delwpvicgovau.sharepoint.com/sites/VG000110/Livestock/LFMP%202024-25/Appendix%20tables/2024-25%20Appendix%20table%20tool%20v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elwpvicgovau-my.sharepoint.com/personal/claire_waterman_agriculture_vic_gov_au/Documents/01.%20FMP/Livestock%20FMP/2024-25/Copy%20of%20change%20feed%20inventories%20and%20purchased%20feed_LFMP%2024-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19735778399185"/>
          <c:y val="8.2508904664249635E-2"/>
          <c:w val="0.81621074114954195"/>
          <c:h val="0.75209571424162436"/>
        </c:manualLayout>
      </c:layout>
      <c:barChart>
        <c:barDir val="col"/>
        <c:grouping val="clustered"/>
        <c:varyColors val="0"/>
        <c:ser>
          <c:idx val="0"/>
          <c:order val="0"/>
          <c:tx>
            <c:strRef>
              <c:f>'Debt incidence'!$U$1</c:f>
              <c:strCache>
                <c:ptCount val="1"/>
                <c:pt idx="0">
                  <c:v>Gippsland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5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'Debt incidence'!$O$3:$O$6</c:f>
              <c:strCache>
                <c:ptCount val="4"/>
                <c:pt idx="0">
                  <c:v>Increased debt</c:v>
                </c:pt>
                <c:pt idx="1">
                  <c:v>Reduced debt</c:v>
                </c:pt>
                <c:pt idx="2">
                  <c:v>No debt at July 1st or June 30th</c:v>
                </c:pt>
                <c:pt idx="3">
                  <c:v>No change in debt</c:v>
                </c:pt>
              </c:strCache>
            </c:strRef>
          </c:cat>
          <c:val>
            <c:numRef>
              <c:f>'Debt incidence'!$U$3:$U$6</c:f>
              <c:numCache>
                <c:formatCode>0%</c:formatCode>
                <c:ptCount val="4"/>
                <c:pt idx="0">
                  <c:v>0.27586206896551724</c:v>
                </c:pt>
                <c:pt idx="1">
                  <c:v>0.41379310344827586</c:v>
                </c:pt>
                <c:pt idx="2">
                  <c:v>0.27586206896551724</c:v>
                </c:pt>
                <c:pt idx="3">
                  <c:v>3.4482758620689655E-2</c:v>
                </c:pt>
              </c:numCache>
            </c:numRef>
          </c:val>
          <c:extLst>
            <c:ext xmlns:c16="http://schemas.microsoft.com/office/drawing/2014/chart" uri="{C3380CC4-5D6E-409C-BE32-E72D297353CC}">
              <c16:uniqueId val="{00000000-F7FA-4E38-9364-066195296436}"/>
            </c:ext>
          </c:extLst>
        </c:ser>
        <c:ser>
          <c:idx val="1"/>
          <c:order val="1"/>
          <c:tx>
            <c:strRef>
              <c:f>'Debt incidence'!$V$1</c:f>
              <c:strCache>
                <c:ptCount val="1"/>
                <c:pt idx="0">
                  <c:v>North</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5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'Debt incidence'!$O$3:$O$6</c:f>
              <c:strCache>
                <c:ptCount val="4"/>
                <c:pt idx="0">
                  <c:v>Increased debt</c:v>
                </c:pt>
                <c:pt idx="1">
                  <c:v>Reduced debt</c:v>
                </c:pt>
                <c:pt idx="2">
                  <c:v>No debt at July 1st or June 30th</c:v>
                </c:pt>
                <c:pt idx="3">
                  <c:v>No change in debt</c:v>
                </c:pt>
              </c:strCache>
            </c:strRef>
          </c:cat>
          <c:val>
            <c:numRef>
              <c:f>'Debt incidence'!$V$3:$V$6</c:f>
              <c:numCache>
                <c:formatCode>0%</c:formatCode>
                <c:ptCount val="4"/>
                <c:pt idx="0">
                  <c:v>0.23529411764705882</c:v>
                </c:pt>
                <c:pt idx="1">
                  <c:v>0.44117647058823528</c:v>
                </c:pt>
                <c:pt idx="2">
                  <c:v>0.29411764705882354</c:v>
                </c:pt>
                <c:pt idx="3">
                  <c:v>2.9411764705882353E-2</c:v>
                </c:pt>
              </c:numCache>
            </c:numRef>
          </c:val>
          <c:extLst>
            <c:ext xmlns:c16="http://schemas.microsoft.com/office/drawing/2014/chart" uri="{C3380CC4-5D6E-409C-BE32-E72D297353CC}">
              <c16:uniqueId val="{00000001-F7FA-4E38-9364-066195296436}"/>
            </c:ext>
          </c:extLst>
        </c:ser>
        <c:ser>
          <c:idx val="2"/>
          <c:order val="2"/>
          <c:tx>
            <c:strRef>
              <c:f>'Debt incidence'!$W$1</c:f>
              <c:strCache>
                <c:ptCount val="1"/>
                <c:pt idx="0">
                  <c:v>South West</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5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'Debt incidence'!$O$3:$O$6</c:f>
              <c:strCache>
                <c:ptCount val="4"/>
                <c:pt idx="0">
                  <c:v>Increased debt</c:v>
                </c:pt>
                <c:pt idx="1">
                  <c:v>Reduced debt</c:v>
                </c:pt>
                <c:pt idx="2">
                  <c:v>No debt at July 1st or June 30th</c:v>
                </c:pt>
                <c:pt idx="3">
                  <c:v>No change in debt</c:v>
                </c:pt>
              </c:strCache>
            </c:strRef>
          </c:cat>
          <c:val>
            <c:numRef>
              <c:f>'Debt incidence'!$W$3:$W$6</c:f>
              <c:numCache>
                <c:formatCode>0%</c:formatCode>
                <c:ptCount val="4"/>
                <c:pt idx="0">
                  <c:v>0.56338028169014087</c:v>
                </c:pt>
                <c:pt idx="1">
                  <c:v>0.25352112676056338</c:v>
                </c:pt>
                <c:pt idx="2">
                  <c:v>9.8591549295774641E-2</c:v>
                </c:pt>
                <c:pt idx="3">
                  <c:v>8.4507042253521125E-2</c:v>
                </c:pt>
              </c:numCache>
            </c:numRef>
          </c:val>
          <c:extLst>
            <c:ext xmlns:c16="http://schemas.microsoft.com/office/drawing/2014/chart" uri="{C3380CC4-5D6E-409C-BE32-E72D297353CC}">
              <c16:uniqueId val="{00000002-F7FA-4E38-9364-066195296436}"/>
            </c:ext>
          </c:extLst>
        </c:ser>
        <c:dLbls>
          <c:showLegendKey val="0"/>
          <c:showVal val="0"/>
          <c:showCatName val="0"/>
          <c:showSerName val="0"/>
          <c:showPercent val="0"/>
          <c:showBubbleSize val="0"/>
        </c:dLbls>
        <c:gapWidth val="219"/>
        <c:overlap val="-27"/>
        <c:axId val="772794848"/>
        <c:axId val="772787632"/>
      </c:barChart>
      <c:catAx>
        <c:axId val="772794848"/>
        <c:scaling>
          <c:orientation val="minMax"/>
        </c:scaling>
        <c:delete val="0"/>
        <c:axPos val="b"/>
        <c:title>
          <c:tx>
            <c:rich>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r>
                  <a:rPr lang="en-AU"/>
                  <a:t>Debt activity from July 2024 to June 2025</a:t>
                </a:r>
              </a:p>
            </c:rich>
          </c:tx>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772787632"/>
        <c:crosses val="autoZero"/>
        <c:auto val="1"/>
        <c:lblAlgn val="ctr"/>
        <c:lblOffset val="100"/>
        <c:noMultiLvlLbl val="0"/>
      </c:catAx>
      <c:valAx>
        <c:axId val="772787632"/>
        <c:scaling>
          <c:orientation val="minMax"/>
        </c:scaling>
        <c:delete val="0"/>
        <c:axPos val="l"/>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r>
                  <a:rPr lang="en-AU"/>
                  <a:t>Proportion of farms</a:t>
                </a:r>
              </a:p>
            </c:rich>
          </c:tx>
          <c:layout>
            <c:manualLayout>
              <c:xMode val="edge"/>
              <c:yMode val="edge"/>
              <c:x val="1.6701461377870562E-2"/>
              <c:y val="0.25224933846462338"/>
            </c:manualLayout>
          </c:layout>
          <c:overlay val="0"/>
          <c:spPr>
            <a:noFill/>
            <a:ln>
              <a:noFill/>
            </a:ln>
            <a:effectLst/>
          </c:spPr>
          <c:txPr>
            <a:bodyPr rot="-54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772794848"/>
        <c:crosses val="autoZero"/>
        <c:crossBetween val="between"/>
      </c:valAx>
      <c:spPr>
        <a:noFill/>
        <a:ln>
          <a:noFill/>
        </a:ln>
        <a:effectLst/>
      </c:spPr>
    </c:plotArea>
    <c:legend>
      <c:legendPos val="b"/>
      <c:layout>
        <c:manualLayout>
          <c:xMode val="edge"/>
          <c:yMode val="edge"/>
          <c:x val="0.85788430627417145"/>
          <c:y val="4.6240903667707646E-2"/>
          <c:w val="0.12225225719803236"/>
          <c:h val="0.2365564735603283"/>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5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Equity!$A$42</c:f>
              <c:strCache>
                <c:ptCount val="1"/>
                <c:pt idx="0">
                  <c:v>Business equity less than 80%</c:v>
                </c:pt>
              </c:strCache>
            </c:strRef>
          </c:tx>
          <c:spPr>
            <a:solidFill>
              <a:schemeClr val="accent1"/>
            </a:solidFill>
            <a:ln>
              <a:noFill/>
            </a:ln>
            <a:effectLst/>
          </c:spPr>
          <c:invertIfNegative val="0"/>
          <c:cat>
            <c:strRef>
              <c:f>Equity!$D$41:$H$41</c:f>
              <c:strCache>
                <c:ptCount val="5"/>
                <c:pt idx="0">
                  <c:v>2020-21</c:v>
                </c:pt>
                <c:pt idx="1">
                  <c:v>2021-22</c:v>
                </c:pt>
                <c:pt idx="2">
                  <c:v>2022-23</c:v>
                </c:pt>
                <c:pt idx="3">
                  <c:v>2023-24</c:v>
                </c:pt>
                <c:pt idx="4">
                  <c:v>2024-25</c:v>
                </c:pt>
              </c:strCache>
            </c:strRef>
          </c:cat>
          <c:val>
            <c:numRef>
              <c:f>Equity!$D$42:$H$42</c:f>
              <c:numCache>
                <c:formatCode>0%</c:formatCode>
                <c:ptCount val="5"/>
                <c:pt idx="0">
                  <c:v>3.5602056653025765E-2</c:v>
                </c:pt>
                <c:pt idx="1">
                  <c:v>3.4174364189185048E-2</c:v>
                </c:pt>
                <c:pt idx="2">
                  <c:v>-1.3229007696405092E-3</c:v>
                </c:pt>
                <c:pt idx="3">
                  <c:v>-4.4641431216001087E-2</c:v>
                </c:pt>
                <c:pt idx="4">
                  <c:v>-3.5979919322342263E-2</c:v>
                </c:pt>
              </c:numCache>
            </c:numRef>
          </c:val>
          <c:extLst>
            <c:ext xmlns:c16="http://schemas.microsoft.com/office/drawing/2014/chart" uri="{C3380CC4-5D6E-409C-BE32-E72D297353CC}">
              <c16:uniqueId val="{00000000-7552-419B-9AAC-4888A48A6A81}"/>
            </c:ext>
          </c:extLst>
        </c:ser>
        <c:ser>
          <c:idx val="1"/>
          <c:order val="1"/>
          <c:tx>
            <c:strRef>
              <c:f>Equity!$A$43</c:f>
              <c:strCache>
                <c:ptCount val="1"/>
                <c:pt idx="0">
                  <c:v>Business equity greater than 80%</c:v>
                </c:pt>
              </c:strCache>
            </c:strRef>
          </c:tx>
          <c:spPr>
            <a:solidFill>
              <a:schemeClr val="accent2"/>
            </a:solidFill>
            <a:ln>
              <a:noFill/>
            </a:ln>
            <a:effectLst/>
          </c:spPr>
          <c:invertIfNegative val="0"/>
          <c:cat>
            <c:strRef>
              <c:f>Equity!$D$41:$H$41</c:f>
              <c:strCache>
                <c:ptCount val="5"/>
                <c:pt idx="0">
                  <c:v>2020-21</c:v>
                </c:pt>
                <c:pt idx="1">
                  <c:v>2021-22</c:v>
                </c:pt>
                <c:pt idx="2">
                  <c:v>2022-23</c:v>
                </c:pt>
                <c:pt idx="3">
                  <c:v>2023-24</c:v>
                </c:pt>
                <c:pt idx="4">
                  <c:v>2024-25</c:v>
                </c:pt>
              </c:strCache>
            </c:strRef>
          </c:cat>
          <c:val>
            <c:numRef>
              <c:f>Equity!$D$43:$H$43</c:f>
              <c:numCache>
                <c:formatCode>0%</c:formatCode>
                <c:ptCount val="5"/>
                <c:pt idx="0">
                  <c:v>3.1681970099223029E-2</c:v>
                </c:pt>
                <c:pt idx="1">
                  <c:v>3.187668928914978E-2</c:v>
                </c:pt>
                <c:pt idx="2">
                  <c:v>1.3469763640202076E-2</c:v>
                </c:pt>
                <c:pt idx="3">
                  <c:v>-1.2350047049860601E-2</c:v>
                </c:pt>
                <c:pt idx="4">
                  <c:v>-1.2636008426725522E-2</c:v>
                </c:pt>
              </c:numCache>
            </c:numRef>
          </c:val>
          <c:extLst>
            <c:ext xmlns:c16="http://schemas.microsoft.com/office/drawing/2014/chart" uri="{C3380CC4-5D6E-409C-BE32-E72D297353CC}">
              <c16:uniqueId val="{00000001-7552-419B-9AAC-4888A48A6A81}"/>
            </c:ext>
          </c:extLst>
        </c:ser>
        <c:dLbls>
          <c:showLegendKey val="0"/>
          <c:showVal val="0"/>
          <c:showCatName val="0"/>
          <c:showSerName val="0"/>
          <c:showPercent val="0"/>
          <c:showBubbleSize val="0"/>
        </c:dLbls>
        <c:gapWidth val="219"/>
        <c:overlap val="-27"/>
        <c:axId val="1025191807"/>
        <c:axId val="1025190367"/>
      </c:barChart>
      <c:catAx>
        <c:axId val="1025191807"/>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5190367"/>
        <c:crosses val="autoZero"/>
        <c:auto val="1"/>
        <c:lblAlgn val="ctr"/>
        <c:lblOffset val="100"/>
        <c:noMultiLvlLbl val="0"/>
      </c:catAx>
      <c:valAx>
        <c:axId val="102519036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Return on equity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5191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GenerationTime xmlns="5ff07fab-7e36-4994-99ee-f24a261d0371" xsi:nil="true"/>
    <MediaServiceFastMetadata xmlns="5ff07fab-7e36-4994-99ee-f24a261d0371" xsi:nil="true"/>
    <MediaServiceMetadata xmlns="5ff07fab-7e36-4994-99ee-f24a261d0371" xsi:nil="true"/>
    <MediaServiceObjectDetectorVersions xmlns="5ff07fab-7e36-4994-99ee-f24a261d0371" xsi:nil="true"/>
    <MediaServiceAutoKeyPoints xmlns="5ff07fab-7e36-4994-99ee-f24a261d0371" xsi:nil="true"/>
    <_dlc_DocIdPersistId xmlns="a5f32de4-e402-4188-b034-e71ca7d22e54" xsi:nil="true"/>
    <MediaServiceEventHashCode xmlns="5ff07fab-7e36-4994-99ee-f24a261d0371" xsi:nil="true"/>
    <MediaServiceDateTaken xmlns="5ff07fab-7e36-4994-99ee-f24a261d0371" xsi:nil="true"/>
    <MediaLengthInSeconds xmlns="5ff07fab-7e36-4994-99ee-f24a261d0371" xsi:nil="true"/>
    <MediaServiceSearchProperties xmlns="5ff07fab-7e36-4994-99ee-f24a261d0371" xsi:nil="true"/>
    <lcf76f155ced4ddcb4097134ff3c332f xmlns="39fb882c-7454-4263-941a-a0319b510aee">
      <Terms xmlns="http://schemas.microsoft.com/office/infopath/2007/PartnerControls"/>
    </lcf76f155ced4ddcb4097134ff3c332f>
    <TaxCatchAll xmlns="a8572415-c6f2-4536-b1fa-ae5704431a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019B7476B1761045B23FDB5F44313E0800678E11A7B53C4E4C93040619FC80FF19" ma:contentTypeVersion="21" ma:contentTypeDescription="DEDJTR Document" ma:contentTypeScope="" ma:versionID="8f0d5f1facda6f7c7b590641a794f560">
  <xsd:schema xmlns:xsd="http://www.w3.org/2001/XMLSchema" xmlns:xs="http://www.w3.org/2001/XMLSchema" xmlns:p="http://schemas.microsoft.com/office/2006/metadata/properties" xmlns:ns2="5ff07fab-7e36-4994-99ee-f24a261d0371" xmlns:ns3="a5f32de4-e402-4188-b034-e71ca7d22e54" xmlns:ns4="39fb882c-7454-4263-941a-a0319b510aee" xmlns:ns5="a8572415-c6f2-4536-b1fa-ae5704431a59" targetNamespace="http://schemas.microsoft.com/office/2006/metadata/properties" ma:root="true" ma:fieldsID="1f39cea1ff3253bc915ef350397e121d" ns2:_="" ns3:_="" ns4:_="" ns5:_="">
    <xsd:import namespace="5ff07fab-7e36-4994-99ee-f24a261d0371"/>
    <xsd:import namespace="a5f32de4-e402-4188-b034-e71ca7d22e54"/>
    <xsd:import namespace="39fb882c-7454-4263-941a-a0319b510aee"/>
    <xsd:import namespace="a8572415-c6f2-4536-b1fa-ae5704431a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MediaServiceObjectDetectorVersions" minOccurs="0"/>
                <xsd:element ref="ns2:MediaServiceSearchProperties" minOccurs="0"/>
                <xsd:element ref="ns3:_dlc_DocId" minOccurs="0"/>
                <xsd:element ref="ns3:_dlc_DocIdUrl" minOccurs="0"/>
                <xsd:element ref="ns3:_dlc_DocIdPersistId"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07fab-7e36-4994-99ee-f24a261d0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false">
      <xsd:simpleType>
        <xsd:restriction base="dms:Text"/>
      </xsd:simpleType>
    </xsd:element>
    <xsd:element name="MediaServiceEventHashCode" ma:index="13" nillable="true" ma:displayName="MediaServiceEventHashCode" ma:hidden="true" ma:internalName="MediaServiceEventHashCode" ma:readOnly="false">
      <xsd:simpleType>
        <xsd:restriction base="dms:Text"/>
      </xsd:simpleType>
    </xsd:element>
    <xsd:element name="MediaServiceDateTaken" ma:index="14" nillable="true" ma:displayName="MediaServiceDateTaken" ma:hidden="true" ma:internalName="MediaServiceDateTaken" ma:readOnly="false">
      <xsd:simpleType>
        <xsd:restriction base="dms:Text"/>
      </xsd:simpleType>
    </xsd:element>
    <xsd:element name="MediaServiceAutoKeyPoints" ma:index="15" nillable="true" ma:displayName="MediaServiceAutoKeyPoints" ma:hidden="true" ma:internalName="MediaServiceAutoKeyPoints" ma:readOnly="fals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false">
      <xsd:simpleType>
        <xsd:restriction base="dms:Unknown"/>
      </xsd:simpleType>
    </xsd:element>
    <xsd:element name="MediaServiceObjectDetectorVersions" ma:index="19" nillable="true" ma:displayName="MediaServiceObjectDetectorVersions" ma:hidden="true" ma:indexed="true" ma:internalName="MediaServiceObjectDetectorVersions" ma:readOnly="false">
      <xsd:simpleType>
        <xsd:restriction base="dms:Text"/>
      </xsd:simpleType>
    </xsd:element>
    <xsd:element name="MediaServiceSearchProperties" ma:index="20"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fb882c-7454-4263-941a-a0319b510aee"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72415-c6f2-4536-b1fa-ae5704431a5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accb61a-021f-4336-9eed-2b7e90fede2b}" ma:internalName="TaxCatchAll" ma:showField="CatchAllData" ma:web="a8572415-c6f2-4536-b1fa-ae5704431a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81A8D0-24B4-4305-B9E5-90FD3D1CD59F}">
  <ds:schemaRefs>
    <ds:schemaRef ds:uri="http://schemas.microsoft.com/office/2006/metadata/properties"/>
    <ds:schemaRef ds:uri="http://schemas.microsoft.com/office/infopath/2007/PartnerControls"/>
    <ds:schemaRef ds:uri="5ff07fab-7e36-4994-99ee-f24a261d0371"/>
    <ds:schemaRef ds:uri="a5f32de4-e402-4188-b034-e71ca7d22e54"/>
    <ds:schemaRef ds:uri="39fb882c-7454-4263-941a-a0319b510aee"/>
    <ds:schemaRef ds:uri="a8572415-c6f2-4536-b1fa-ae5704431a59"/>
  </ds:schemaRefs>
</ds:datastoreItem>
</file>

<file path=customXml/itemProps2.xml><?xml version="1.0" encoding="utf-8"?>
<ds:datastoreItem xmlns:ds="http://schemas.openxmlformats.org/officeDocument/2006/customXml" ds:itemID="{212F26C9-9A1A-4399-A0C5-B4F68EE32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07fab-7e36-4994-99ee-f24a261d0371"/>
    <ds:schemaRef ds:uri="a5f32de4-e402-4188-b034-e71ca7d22e54"/>
    <ds:schemaRef ds:uri="39fb882c-7454-4263-941a-a0319b510aee"/>
    <ds:schemaRef ds:uri="a8572415-c6f2-4536-b1fa-ae5704431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6ED462-4175-45A4-A230-F292514F51E8}">
  <ds:schemaRefs>
    <ds:schemaRef ds:uri="http://schemas.microsoft.com/sharepoint/events"/>
  </ds:schemaRefs>
</ds:datastoreItem>
</file>

<file path=customXml/itemProps4.xml><?xml version="1.0" encoding="utf-8"?>
<ds:datastoreItem xmlns:ds="http://schemas.openxmlformats.org/officeDocument/2006/customXml" ds:itemID="{332B14D9-979A-4952-AAB4-7AC5932442B7}">
  <ds:schemaRefs>
    <ds:schemaRef ds:uri="Microsoft.SharePoint.Taxonomy.ContentTypeSync"/>
  </ds:schemaRefs>
</ds:datastoreItem>
</file>

<file path=customXml/itemProps5.xml><?xml version="1.0" encoding="utf-8"?>
<ds:datastoreItem xmlns:ds="http://schemas.openxmlformats.org/officeDocument/2006/customXml" ds:itemID="{4254C573-D8DB-4CCA-8818-7C09E7F0021A}">
  <ds:schemaRefs>
    <ds:schemaRef ds:uri="http://schemas.openxmlformats.org/officeDocument/2006/bibliography"/>
  </ds:schemaRefs>
</ds:datastoreItem>
</file>

<file path=customXml/itemProps6.xml><?xml version="1.0" encoding="utf-8"?>
<ds:datastoreItem xmlns:ds="http://schemas.openxmlformats.org/officeDocument/2006/customXml" ds:itemID="{EA74B455-8F89-46AB-87E8-42CCDC88F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5984</Words>
  <Characters>31546</Characters>
  <Application>Microsoft Office Word</Application>
  <DocSecurity>0</DocSecurity>
  <Lines>1620</Lines>
  <Paragraphs>615</Paragraphs>
  <ScaleCrop>false</ScaleCrop>
  <Company/>
  <LinksUpToDate>false</LinksUpToDate>
  <CharactersWithSpaces>37104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 Henty (DJPR)</dc:creator>
  <cp:keywords/>
  <dc:description/>
  <cp:lastModifiedBy>Martin K Sarnecki (DEECA)</cp:lastModifiedBy>
  <cp:revision>6</cp:revision>
  <dcterms:created xsi:type="dcterms:W3CDTF">2025-11-21T00:41:00Z</dcterms:created>
  <dcterms:modified xsi:type="dcterms:W3CDTF">2025-11-27T00:17:00Z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0x010100019B7476B1761045B23FDB5F44313E0800678E11A7B53C4E4C93040619FC80FF19</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SharedWithUsers">
    <vt:lpwstr>28;#Claire F Waterman (DJPR);#239;#Julie P Harman (DJPR);#23;#Natalie C Nelson (DJPR);#313;#Lyndon J Kubeil (DJPR);#241;#Deb J Banks (DJPR);#163;#Sam J Henty (DJPR);#22;#Terry J Batey (DJPR);#141;#Kate A Linden (DJPR);#963;#Melanie S Curtis (DJPR);#497;#Sarah C Hetherington (DJPR)</vt:lpwstr>
  </property>
  <property fmtid="{D5CDD505-2E9C-101B-9397-08002B2CF9AE}" pid="9" name="MediaServiceImageTags">
    <vt:lpwstr/>
  </property>
  <property fmtid="{D5CDD505-2E9C-101B-9397-08002B2CF9AE}" pid="10" name="GrammarlyDocumentId">
    <vt:lpwstr>5a9b2544b9dbb32085dbe0f5f48b1544dd9297282b1819a92b2ce2d623ce4481</vt:lpwstr>
  </property>
  <property fmtid="{D5CDD505-2E9C-101B-9397-08002B2CF9AE}" pid="11" name="MSIP_Label_d00a4df9-c942-4b09-b23a-6c1023f6de27_Enabled">
    <vt:lpwstr>true</vt:lpwstr>
  </property>
  <property fmtid="{D5CDD505-2E9C-101B-9397-08002B2CF9AE}" pid="12" name="MSIP_Label_d00a4df9-c942-4b09-b23a-6c1023f6de27_SetDate">
    <vt:lpwstr>2023-10-24T07:57:46Z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23171324-23ff-4616-beeb-d3cb2954222e</vt:lpwstr>
  </property>
  <property fmtid="{D5CDD505-2E9C-101B-9397-08002B2CF9AE}" pid="17" name="MSIP_Label_d00a4df9-c942-4b09-b23a-6c1023f6de27_ContentBits">
    <vt:lpwstr>3</vt:lpwstr>
  </property>
  <property fmtid="{D5CDD505-2E9C-101B-9397-08002B2CF9AE}" pid="18" name="ClassificationContentMarkingFooterShapeIds">
    <vt:lpwstr>3be186d8,7263874f,61dab93e</vt:lpwstr>
  </property>
  <property fmtid="{D5CDD505-2E9C-101B-9397-08002B2CF9AE}" pid="19" name="ClassificationContentMarkingFooterFontProps">
    <vt:lpwstr>#000000,12,Calibri</vt:lpwstr>
  </property>
  <property fmtid="{D5CDD505-2E9C-101B-9397-08002B2CF9AE}" pid="20" name="ClassificationContentMarkingFooterText">
    <vt:lpwstr>OFFICIAL</vt:lpwstr>
  </property>
  <property fmtid="{D5CDD505-2E9C-101B-9397-08002B2CF9AE}" pid="21" name="MSIP_Label_4257e2ab-f512-40e2-9c9a-c64247360765_Enabled">
    <vt:lpwstr>true</vt:lpwstr>
  </property>
  <property fmtid="{D5CDD505-2E9C-101B-9397-08002B2CF9AE}" pid="22" name="MSIP_Label_4257e2ab-f512-40e2-9c9a-c64247360765_SetDate">
    <vt:lpwstr>2024-10-07T01:28:21Z</vt:lpwstr>
  </property>
  <property fmtid="{D5CDD505-2E9C-101B-9397-08002B2CF9AE}" pid="23" name="MSIP_Label_4257e2ab-f512-40e2-9c9a-c64247360765_Method">
    <vt:lpwstr>Privileged</vt:lpwstr>
  </property>
  <property fmtid="{D5CDD505-2E9C-101B-9397-08002B2CF9AE}" pid="24" name="MSIP_Label_4257e2ab-f512-40e2-9c9a-c64247360765_Name">
    <vt:lpwstr>OFFICIAL</vt:lpwstr>
  </property>
  <property fmtid="{D5CDD505-2E9C-101B-9397-08002B2CF9AE}" pid="25" name="MSIP_Label_4257e2ab-f512-40e2-9c9a-c64247360765_SiteId">
    <vt:lpwstr>e8bdd6f7-fc18-4e48-a554-7f547927223b</vt:lpwstr>
  </property>
  <property fmtid="{D5CDD505-2E9C-101B-9397-08002B2CF9AE}" pid="26" name="MSIP_Label_4257e2ab-f512-40e2-9c9a-c64247360765_ActionId">
    <vt:lpwstr>2b033851-e844-4455-9bd3-ba19f302eb13</vt:lpwstr>
  </property>
  <property fmtid="{D5CDD505-2E9C-101B-9397-08002B2CF9AE}" pid="27" name="MSIP_Label_4257e2ab-f512-40e2-9c9a-c64247360765_ContentBits">
    <vt:lpwstr>2</vt:lpwstr>
  </property>
  <property fmtid="{D5CDD505-2E9C-101B-9397-08002B2CF9AE}" pid="28" name="docLang">
    <vt:lpwstr>en</vt:lpwstr>
  </property>
</Properties>
</file>