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FB48" w14:textId="5C187B0E" w:rsidR="009B4482" w:rsidRDefault="00AF540B" w:rsidP="00AF540B">
      <w:pPr>
        <w:pStyle w:val="Title"/>
      </w:pPr>
      <w:r>
        <w:t>Livestock Biosecurity Funds Grant Program</w:t>
      </w:r>
    </w:p>
    <w:p w14:paraId="51E0DF6C" w14:textId="7737CD9B" w:rsidR="00AF540B" w:rsidRDefault="00AF540B" w:rsidP="00AF540B">
      <w:pPr>
        <w:pStyle w:val="Subtitle"/>
        <w:spacing w:after="120"/>
      </w:pPr>
      <w:r>
        <w:t xml:space="preserve">(Incorporating Cattle, Sheep, Goat, Swine and </w:t>
      </w:r>
      <w:proofErr w:type="gramStart"/>
      <w:r>
        <w:t>Honey Bee</w:t>
      </w:r>
      <w:proofErr w:type="gramEnd"/>
      <w:r>
        <w:t>)</w:t>
      </w:r>
    </w:p>
    <w:p w14:paraId="3AE8125E" w14:textId="77777777" w:rsidR="00AF540B" w:rsidRDefault="00AF540B" w:rsidP="00AF540B">
      <w:pPr>
        <w:pStyle w:val="Subtitle"/>
      </w:pPr>
      <w:r>
        <w:t xml:space="preserve">Guidelines </w:t>
      </w:r>
    </w:p>
    <w:p w14:paraId="3235A5AC" w14:textId="32D7A114" w:rsidR="00AF540B" w:rsidRDefault="00AF540B" w:rsidP="00AF540B">
      <w:r>
        <w:t>October 2022</w:t>
      </w:r>
    </w:p>
    <w:p w14:paraId="154B5A27" w14:textId="1F027749" w:rsidR="00AF540B" w:rsidRDefault="00AF540B" w:rsidP="00BE2964">
      <w:pPr>
        <w:spacing w:after="600"/>
      </w:pPr>
      <w:r>
        <w:rPr>
          <w:noProof/>
        </w:rPr>
        <w:drawing>
          <wp:inline distT="0" distB="0" distL="0" distR="0" wp14:anchorId="5AE5A288" wp14:editId="29AC1B81">
            <wp:extent cx="2222500" cy="571500"/>
            <wp:effectExtent l="0" t="0" r="0" b="0"/>
            <wp:docPr id="1" name="Picture 1" descr="Agriculture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griculture Victoria logo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6ED15" w14:textId="7A0DE6EE" w:rsidR="00AF540B" w:rsidRPr="00AF540B" w:rsidRDefault="00AF540B" w:rsidP="00AF540B">
      <w:pPr>
        <w:rPr>
          <w:b/>
          <w:bCs/>
          <w:sz w:val="32"/>
          <w:szCs w:val="44"/>
        </w:rPr>
      </w:pPr>
      <w:r w:rsidRPr="00AF540B">
        <w:rPr>
          <w:b/>
          <w:bCs/>
          <w:sz w:val="32"/>
          <w:szCs w:val="44"/>
        </w:rPr>
        <w:t>Contents</w:t>
      </w:r>
    </w:p>
    <w:p w14:paraId="04B738A9" w14:textId="473823BF" w:rsidR="00AF540B" w:rsidRDefault="00AF540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en-GB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TOC \o "1-1" \h \z \t "Heading 2,2,Heading 3,2,Heading 2 numbered,2" </w:instrText>
      </w:r>
      <w:r>
        <w:rPr>
          <w:szCs w:val="22"/>
        </w:rPr>
        <w:fldChar w:fldCharType="separate"/>
      </w:r>
      <w:hyperlink w:anchor="_Toc116548258" w:history="1">
        <w:r w:rsidRPr="00237858">
          <w:rPr>
            <w:rStyle w:val="Hyperlink"/>
            <w:noProof/>
          </w:rPr>
          <w:t>Livestock Biosecurity Funds Grant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_Toc116548258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4056E03" w14:textId="1AED13E9" w:rsidR="00AF540B" w:rsidRDefault="00000000" w:rsidP="00AF540B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16548259" w:history="1">
        <w:r w:rsidR="00AF540B" w:rsidRPr="00237858">
          <w:rPr>
            <w:rStyle w:val="Hyperlink"/>
            <w:noProof/>
          </w:rPr>
          <w:t>1.</w:t>
        </w:r>
        <w:r w:rsidR="00AF540B">
          <w:rPr>
            <w:rFonts w:asciiTheme="minorHAnsi" w:eastAsiaTheme="minorEastAsia" w:hAnsiTheme="minorHAnsi" w:cstheme="minorBidi"/>
            <w:noProof/>
            <w:sz w:val="24"/>
            <w:szCs w:val="24"/>
            <w:lang w:eastAsia="en-GB"/>
          </w:rPr>
          <w:tab/>
        </w:r>
        <w:r w:rsidR="00AF540B" w:rsidRPr="00237858">
          <w:rPr>
            <w:rStyle w:val="Hyperlink"/>
            <w:noProof/>
          </w:rPr>
          <w:t>PURPOSE</w:t>
        </w:r>
        <w:r w:rsidR="00AF540B">
          <w:rPr>
            <w:noProof/>
            <w:webHidden/>
          </w:rPr>
          <w:tab/>
        </w:r>
        <w:r w:rsidR="00AF540B">
          <w:rPr>
            <w:noProof/>
            <w:webHidden/>
          </w:rPr>
          <w:fldChar w:fldCharType="begin"/>
        </w:r>
        <w:r w:rsidR="00AF540B">
          <w:rPr>
            <w:noProof/>
            <w:webHidden/>
          </w:rPr>
          <w:instrText xml:space="preserve"> PAGEREF _Toc116548259 \h </w:instrText>
        </w:r>
        <w:r w:rsidR="00AF540B">
          <w:rPr>
            <w:noProof/>
            <w:webHidden/>
          </w:rPr>
        </w:r>
        <w:r w:rsidR="00AF540B">
          <w:rPr>
            <w:noProof/>
            <w:webHidden/>
          </w:rPr>
          <w:fldChar w:fldCharType="separate"/>
        </w:r>
        <w:r w:rsidR="00AF540B">
          <w:rPr>
            <w:noProof/>
            <w:webHidden/>
          </w:rPr>
          <w:t>2</w:t>
        </w:r>
        <w:r w:rsidR="00AF540B">
          <w:rPr>
            <w:noProof/>
            <w:webHidden/>
          </w:rPr>
          <w:fldChar w:fldCharType="end"/>
        </w:r>
      </w:hyperlink>
    </w:p>
    <w:p w14:paraId="5F5A088F" w14:textId="64BAAAE8" w:rsidR="00AF540B" w:rsidRDefault="00000000" w:rsidP="00AF540B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16548260" w:history="1">
        <w:r w:rsidR="00AF540B" w:rsidRPr="00237858">
          <w:rPr>
            <w:rStyle w:val="Hyperlink"/>
            <w:noProof/>
          </w:rPr>
          <w:t>2.</w:t>
        </w:r>
        <w:r w:rsidR="00AF540B">
          <w:rPr>
            <w:rFonts w:asciiTheme="minorHAnsi" w:eastAsiaTheme="minorEastAsia" w:hAnsiTheme="minorHAnsi" w:cstheme="minorBidi"/>
            <w:noProof/>
            <w:sz w:val="24"/>
            <w:szCs w:val="24"/>
            <w:lang w:eastAsia="en-GB"/>
          </w:rPr>
          <w:tab/>
        </w:r>
        <w:r w:rsidR="00AF540B" w:rsidRPr="00237858">
          <w:rPr>
            <w:rStyle w:val="Hyperlink"/>
            <w:noProof/>
          </w:rPr>
          <w:t>REGULATORY CONTEXT</w:t>
        </w:r>
        <w:r w:rsidR="00AF540B">
          <w:rPr>
            <w:noProof/>
            <w:webHidden/>
          </w:rPr>
          <w:tab/>
        </w:r>
        <w:r w:rsidR="00AF540B">
          <w:rPr>
            <w:noProof/>
            <w:webHidden/>
          </w:rPr>
          <w:fldChar w:fldCharType="begin"/>
        </w:r>
        <w:r w:rsidR="00AF540B">
          <w:rPr>
            <w:noProof/>
            <w:webHidden/>
          </w:rPr>
          <w:instrText xml:space="preserve"> PAGEREF _Toc116548260 \h </w:instrText>
        </w:r>
        <w:r w:rsidR="00AF540B">
          <w:rPr>
            <w:noProof/>
            <w:webHidden/>
          </w:rPr>
        </w:r>
        <w:r w:rsidR="00AF540B">
          <w:rPr>
            <w:noProof/>
            <w:webHidden/>
          </w:rPr>
          <w:fldChar w:fldCharType="separate"/>
        </w:r>
        <w:r w:rsidR="00AF540B">
          <w:rPr>
            <w:noProof/>
            <w:webHidden/>
          </w:rPr>
          <w:t>2</w:t>
        </w:r>
        <w:r w:rsidR="00AF540B">
          <w:rPr>
            <w:noProof/>
            <w:webHidden/>
          </w:rPr>
          <w:fldChar w:fldCharType="end"/>
        </w:r>
      </w:hyperlink>
    </w:p>
    <w:p w14:paraId="1C073AE1" w14:textId="4B86D88B" w:rsidR="00AF540B" w:rsidRDefault="00000000" w:rsidP="00AF540B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16548261" w:history="1">
        <w:r w:rsidR="00AF540B" w:rsidRPr="00237858">
          <w:rPr>
            <w:rStyle w:val="Hyperlink"/>
            <w:noProof/>
          </w:rPr>
          <w:t>3.</w:t>
        </w:r>
        <w:r w:rsidR="00AF540B">
          <w:rPr>
            <w:rFonts w:asciiTheme="minorHAnsi" w:eastAsiaTheme="minorEastAsia" w:hAnsiTheme="minorHAnsi" w:cstheme="minorBidi"/>
            <w:noProof/>
            <w:sz w:val="24"/>
            <w:szCs w:val="24"/>
            <w:lang w:eastAsia="en-GB"/>
          </w:rPr>
          <w:tab/>
        </w:r>
        <w:r w:rsidR="00AF540B" w:rsidRPr="00237858">
          <w:rPr>
            <w:rStyle w:val="Hyperlink"/>
            <w:noProof/>
          </w:rPr>
          <w:t>GRANT FUNDING</w:t>
        </w:r>
        <w:r w:rsidR="00AF540B">
          <w:rPr>
            <w:noProof/>
            <w:webHidden/>
          </w:rPr>
          <w:tab/>
        </w:r>
        <w:r w:rsidR="00AF540B">
          <w:rPr>
            <w:noProof/>
            <w:webHidden/>
          </w:rPr>
          <w:fldChar w:fldCharType="begin"/>
        </w:r>
        <w:r w:rsidR="00AF540B">
          <w:rPr>
            <w:noProof/>
            <w:webHidden/>
          </w:rPr>
          <w:instrText xml:space="preserve"> PAGEREF _Toc116548261 \h </w:instrText>
        </w:r>
        <w:r w:rsidR="00AF540B">
          <w:rPr>
            <w:noProof/>
            <w:webHidden/>
          </w:rPr>
        </w:r>
        <w:r w:rsidR="00AF540B">
          <w:rPr>
            <w:noProof/>
            <w:webHidden/>
          </w:rPr>
          <w:fldChar w:fldCharType="separate"/>
        </w:r>
        <w:r w:rsidR="00AF540B">
          <w:rPr>
            <w:noProof/>
            <w:webHidden/>
          </w:rPr>
          <w:t>3</w:t>
        </w:r>
        <w:r w:rsidR="00AF540B">
          <w:rPr>
            <w:noProof/>
            <w:webHidden/>
          </w:rPr>
          <w:fldChar w:fldCharType="end"/>
        </w:r>
      </w:hyperlink>
    </w:p>
    <w:p w14:paraId="5C6A96EA" w14:textId="7708F3DA" w:rsidR="00AF540B" w:rsidRDefault="00000000" w:rsidP="00AF540B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16548262" w:history="1">
        <w:r w:rsidR="00AF540B" w:rsidRPr="00237858">
          <w:rPr>
            <w:rStyle w:val="Hyperlink"/>
            <w:noProof/>
          </w:rPr>
          <w:t>4.</w:t>
        </w:r>
        <w:r w:rsidR="00AF540B">
          <w:rPr>
            <w:rFonts w:asciiTheme="minorHAnsi" w:eastAsiaTheme="minorEastAsia" w:hAnsiTheme="minorHAnsi" w:cstheme="minorBidi"/>
            <w:noProof/>
            <w:sz w:val="24"/>
            <w:szCs w:val="24"/>
            <w:lang w:eastAsia="en-GB"/>
          </w:rPr>
          <w:tab/>
        </w:r>
        <w:r w:rsidR="00AF540B" w:rsidRPr="00237858">
          <w:rPr>
            <w:rStyle w:val="Hyperlink"/>
            <w:noProof/>
          </w:rPr>
          <w:t>APPLICATION REQUIREMENTS</w:t>
        </w:r>
        <w:r w:rsidR="00AF540B">
          <w:rPr>
            <w:noProof/>
            <w:webHidden/>
          </w:rPr>
          <w:tab/>
        </w:r>
        <w:r w:rsidR="00AF540B">
          <w:rPr>
            <w:noProof/>
            <w:webHidden/>
          </w:rPr>
          <w:fldChar w:fldCharType="begin"/>
        </w:r>
        <w:r w:rsidR="00AF540B">
          <w:rPr>
            <w:noProof/>
            <w:webHidden/>
          </w:rPr>
          <w:instrText xml:space="preserve"> PAGEREF _Toc116548262 \h </w:instrText>
        </w:r>
        <w:r w:rsidR="00AF540B">
          <w:rPr>
            <w:noProof/>
            <w:webHidden/>
          </w:rPr>
        </w:r>
        <w:r w:rsidR="00AF540B">
          <w:rPr>
            <w:noProof/>
            <w:webHidden/>
          </w:rPr>
          <w:fldChar w:fldCharType="separate"/>
        </w:r>
        <w:r w:rsidR="00AF540B">
          <w:rPr>
            <w:noProof/>
            <w:webHidden/>
          </w:rPr>
          <w:t>4</w:t>
        </w:r>
        <w:r w:rsidR="00AF540B">
          <w:rPr>
            <w:noProof/>
            <w:webHidden/>
          </w:rPr>
          <w:fldChar w:fldCharType="end"/>
        </w:r>
      </w:hyperlink>
    </w:p>
    <w:p w14:paraId="002C6C4C" w14:textId="20DC20DF" w:rsidR="00AF540B" w:rsidRDefault="00000000" w:rsidP="00AF540B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16548263" w:history="1">
        <w:r w:rsidR="00AF540B" w:rsidRPr="00237858">
          <w:rPr>
            <w:rStyle w:val="Hyperlink"/>
            <w:noProof/>
          </w:rPr>
          <w:t>5.</w:t>
        </w:r>
        <w:r w:rsidR="00AF540B">
          <w:rPr>
            <w:rFonts w:asciiTheme="minorHAnsi" w:eastAsiaTheme="minorEastAsia" w:hAnsiTheme="minorHAnsi" w:cstheme="minorBidi"/>
            <w:noProof/>
            <w:sz w:val="24"/>
            <w:szCs w:val="24"/>
            <w:lang w:eastAsia="en-GB"/>
          </w:rPr>
          <w:tab/>
        </w:r>
        <w:r w:rsidR="00AF540B" w:rsidRPr="00237858">
          <w:rPr>
            <w:rStyle w:val="Hyperlink"/>
            <w:noProof/>
          </w:rPr>
          <w:t>APPLICATION ASSESSMENT</w:t>
        </w:r>
        <w:r w:rsidR="00AF540B">
          <w:rPr>
            <w:noProof/>
            <w:webHidden/>
          </w:rPr>
          <w:tab/>
        </w:r>
        <w:r w:rsidR="00AF540B">
          <w:rPr>
            <w:noProof/>
            <w:webHidden/>
          </w:rPr>
          <w:fldChar w:fldCharType="begin"/>
        </w:r>
        <w:r w:rsidR="00AF540B">
          <w:rPr>
            <w:noProof/>
            <w:webHidden/>
          </w:rPr>
          <w:instrText xml:space="preserve"> PAGEREF _Toc116548263 \h </w:instrText>
        </w:r>
        <w:r w:rsidR="00AF540B">
          <w:rPr>
            <w:noProof/>
            <w:webHidden/>
          </w:rPr>
        </w:r>
        <w:r w:rsidR="00AF540B">
          <w:rPr>
            <w:noProof/>
            <w:webHidden/>
          </w:rPr>
          <w:fldChar w:fldCharType="separate"/>
        </w:r>
        <w:r w:rsidR="00AF540B">
          <w:rPr>
            <w:noProof/>
            <w:webHidden/>
          </w:rPr>
          <w:t>6</w:t>
        </w:r>
        <w:r w:rsidR="00AF540B">
          <w:rPr>
            <w:noProof/>
            <w:webHidden/>
          </w:rPr>
          <w:fldChar w:fldCharType="end"/>
        </w:r>
      </w:hyperlink>
    </w:p>
    <w:p w14:paraId="4343588E" w14:textId="03E931AA" w:rsidR="00AF540B" w:rsidRDefault="00000000" w:rsidP="00AF540B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16548264" w:history="1">
        <w:r w:rsidR="00AF540B" w:rsidRPr="00237858">
          <w:rPr>
            <w:rStyle w:val="Hyperlink"/>
            <w:noProof/>
          </w:rPr>
          <w:t>6.</w:t>
        </w:r>
        <w:r w:rsidR="00AF540B">
          <w:rPr>
            <w:rFonts w:asciiTheme="minorHAnsi" w:eastAsiaTheme="minorEastAsia" w:hAnsiTheme="minorHAnsi" w:cstheme="minorBidi"/>
            <w:noProof/>
            <w:sz w:val="24"/>
            <w:szCs w:val="24"/>
            <w:lang w:eastAsia="en-GB"/>
          </w:rPr>
          <w:tab/>
        </w:r>
        <w:r w:rsidR="00AF540B" w:rsidRPr="00237858">
          <w:rPr>
            <w:rStyle w:val="Hyperlink"/>
            <w:noProof/>
          </w:rPr>
          <w:t xml:space="preserve">FUNDING AWARD AND GRANT AGREEMENT/ MEMORANDUM </w:t>
        </w:r>
        <w:r w:rsidR="00AF540B">
          <w:rPr>
            <w:rStyle w:val="Hyperlink"/>
            <w:noProof/>
          </w:rPr>
          <w:br/>
        </w:r>
        <w:r w:rsidR="00AF540B" w:rsidRPr="00237858">
          <w:rPr>
            <w:rStyle w:val="Hyperlink"/>
            <w:noProof/>
          </w:rPr>
          <w:t>OF UNDERSTANDING</w:t>
        </w:r>
        <w:r w:rsidR="00AF540B">
          <w:rPr>
            <w:noProof/>
            <w:webHidden/>
          </w:rPr>
          <w:tab/>
        </w:r>
        <w:r w:rsidR="00AF540B">
          <w:rPr>
            <w:noProof/>
            <w:webHidden/>
          </w:rPr>
          <w:fldChar w:fldCharType="begin"/>
        </w:r>
        <w:r w:rsidR="00AF540B">
          <w:rPr>
            <w:noProof/>
            <w:webHidden/>
          </w:rPr>
          <w:instrText xml:space="preserve"> PAGEREF _Toc116548264 \h </w:instrText>
        </w:r>
        <w:r w:rsidR="00AF540B">
          <w:rPr>
            <w:noProof/>
            <w:webHidden/>
          </w:rPr>
        </w:r>
        <w:r w:rsidR="00AF540B">
          <w:rPr>
            <w:noProof/>
            <w:webHidden/>
          </w:rPr>
          <w:fldChar w:fldCharType="separate"/>
        </w:r>
        <w:r w:rsidR="00AF540B">
          <w:rPr>
            <w:noProof/>
            <w:webHidden/>
          </w:rPr>
          <w:t>9</w:t>
        </w:r>
        <w:r w:rsidR="00AF540B">
          <w:rPr>
            <w:noProof/>
            <w:webHidden/>
          </w:rPr>
          <w:fldChar w:fldCharType="end"/>
        </w:r>
      </w:hyperlink>
    </w:p>
    <w:p w14:paraId="09A91B3A" w14:textId="6BCA0E45" w:rsidR="00AF540B" w:rsidRDefault="00000000" w:rsidP="00AF540B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16548265" w:history="1">
        <w:r w:rsidR="00AF540B" w:rsidRPr="00237858">
          <w:rPr>
            <w:rStyle w:val="Hyperlink"/>
            <w:noProof/>
          </w:rPr>
          <w:t>7.</w:t>
        </w:r>
        <w:r w:rsidR="00AF540B">
          <w:rPr>
            <w:rFonts w:asciiTheme="minorHAnsi" w:eastAsiaTheme="minorEastAsia" w:hAnsiTheme="minorHAnsi" w:cstheme="minorBidi"/>
            <w:noProof/>
            <w:sz w:val="24"/>
            <w:szCs w:val="24"/>
            <w:lang w:eastAsia="en-GB"/>
          </w:rPr>
          <w:tab/>
        </w:r>
        <w:r w:rsidR="00AF540B" w:rsidRPr="00237858">
          <w:rPr>
            <w:rStyle w:val="Hyperlink"/>
            <w:noProof/>
          </w:rPr>
          <w:t>TARGETED APPLICATION PROCESS</w:t>
        </w:r>
        <w:r w:rsidR="00AF540B">
          <w:rPr>
            <w:noProof/>
            <w:webHidden/>
          </w:rPr>
          <w:tab/>
        </w:r>
        <w:r w:rsidR="00AF540B">
          <w:rPr>
            <w:noProof/>
            <w:webHidden/>
          </w:rPr>
          <w:fldChar w:fldCharType="begin"/>
        </w:r>
        <w:r w:rsidR="00AF540B">
          <w:rPr>
            <w:noProof/>
            <w:webHidden/>
          </w:rPr>
          <w:instrText xml:space="preserve"> PAGEREF _Toc116548265 \h </w:instrText>
        </w:r>
        <w:r w:rsidR="00AF540B">
          <w:rPr>
            <w:noProof/>
            <w:webHidden/>
          </w:rPr>
        </w:r>
        <w:r w:rsidR="00AF540B">
          <w:rPr>
            <w:noProof/>
            <w:webHidden/>
          </w:rPr>
          <w:fldChar w:fldCharType="separate"/>
        </w:r>
        <w:r w:rsidR="00AF540B">
          <w:rPr>
            <w:noProof/>
            <w:webHidden/>
          </w:rPr>
          <w:t>10</w:t>
        </w:r>
        <w:r w:rsidR="00AF540B">
          <w:rPr>
            <w:noProof/>
            <w:webHidden/>
          </w:rPr>
          <w:fldChar w:fldCharType="end"/>
        </w:r>
      </w:hyperlink>
    </w:p>
    <w:p w14:paraId="3786478E" w14:textId="274BFADA" w:rsidR="00AF540B" w:rsidRDefault="00000000" w:rsidP="00AF540B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16548266" w:history="1">
        <w:r w:rsidR="00AF540B" w:rsidRPr="00237858">
          <w:rPr>
            <w:rStyle w:val="Hyperlink"/>
            <w:noProof/>
          </w:rPr>
          <w:t>8.</w:t>
        </w:r>
        <w:r w:rsidR="00AF540B">
          <w:rPr>
            <w:rFonts w:asciiTheme="minorHAnsi" w:eastAsiaTheme="minorEastAsia" w:hAnsiTheme="minorHAnsi" w:cstheme="minorBidi"/>
            <w:noProof/>
            <w:sz w:val="24"/>
            <w:szCs w:val="24"/>
            <w:lang w:eastAsia="en-GB"/>
          </w:rPr>
          <w:tab/>
        </w:r>
        <w:r w:rsidR="00AF540B" w:rsidRPr="00237858">
          <w:rPr>
            <w:rStyle w:val="Hyperlink"/>
            <w:noProof/>
          </w:rPr>
          <w:t>TERMS AND CONDITIONS</w:t>
        </w:r>
        <w:r w:rsidR="00AF540B">
          <w:rPr>
            <w:noProof/>
            <w:webHidden/>
          </w:rPr>
          <w:tab/>
        </w:r>
        <w:r w:rsidR="00AF540B">
          <w:rPr>
            <w:noProof/>
            <w:webHidden/>
          </w:rPr>
          <w:fldChar w:fldCharType="begin"/>
        </w:r>
        <w:r w:rsidR="00AF540B">
          <w:rPr>
            <w:noProof/>
            <w:webHidden/>
          </w:rPr>
          <w:instrText xml:space="preserve"> PAGEREF _Toc116548266 \h </w:instrText>
        </w:r>
        <w:r w:rsidR="00AF540B">
          <w:rPr>
            <w:noProof/>
            <w:webHidden/>
          </w:rPr>
        </w:r>
        <w:r w:rsidR="00AF540B">
          <w:rPr>
            <w:noProof/>
            <w:webHidden/>
          </w:rPr>
          <w:fldChar w:fldCharType="separate"/>
        </w:r>
        <w:r w:rsidR="00AF540B">
          <w:rPr>
            <w:noProof/>
            <w:webHidden/>
          </w:rPr>
          <w:t>10</w:t>
        </w:r>
        <w:r w:rsidR="00AF540B">
          <w:rPr>
            <w:noProof/>
            <w:webHidden/>
          </w:rPr>
          <w:fldChar w:fldCharType="end"/>
        </w:r>
      </w:hyperlink>
    </w:p>
    <w:p w14:paraId="3573D101" w14:textId="2F4AA299" w:rsidR="00AF540B" w:rsidRDefault="00000000" w:rsidP="00AF540B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16548267" w:history="1">
        <w:r w:rsidR="00AF540B" w:rsidRPr="00237858">
          <w:rPr>
            <w:rStyle w:val="Hyperlink"/>
            <w:noProof/>
          </w:rPr>
          <w:t>9.</w:t>
        </w:r>
        <w:r w:rsidR="00AF540B">
          <w:rPr>
            <w:rFonts w:asciiTheme="minorHAnsi" w:eastAsiaTheme="minorEastAsia" w:hAnsiTheme="minorHAnsi" w:cstheme="minorBidi"/>
            <w:noProof/>
            <w:sz w:val="24"/>
            <w:szCs w:val="24"/>
            <w:lang w:eastAsia="en-GB"/>
          </w:rPr>
          <w:tab/>
        </w:r>
        <w:r w:rsidR="00AF540B" w:rsidRPr="00237858">
          <w:rPr>
            <w:rStyle w:val="Hyperlink"/>
            <w:noProof/>
          </w:rPr>
          <w:t>RIGHT OF AMENDMENT</w:t>
        </w:r>
        <w:r w:rsidR="00AF540B">
          <w:rPr>
            <w:noProof/>
            <w:webHidden/>
          </w:rPr>
          <w:tab/>
        </w:r>
        <w:r w:rsidR="00AF540B">
          <w:rPr>
            <w:noProof/>
            <w:webHidden/>
          </w:rPr>
          <w:fldChar w:fldCharType="begin"/>
        </w:r>
        <w:r w:rsidR="00AF540B">
          <w:rPr>
            <w:noProof/>
            <w:webHidden/>
          </w:rPr>
          <w:instrText xml:space="preserve"> PAGEREF _Toc116548267 \h </w:instrText>
        </w:r>
        <w:r w:rsidR="00AF540B">
          <w:rPr>
            <w:noProof/>
            <w:webHidden/>
          </w:rPr>
        </w:r>
        <w:r w:rsidR="00AF540B">
          <w:rPr>
            <w:noProof/>
            <w:webHidden/>
          </w:rPr>
          <w:fldChar w:fldCharType="separate"/>
        </w:r>
        <w:r w:rsidR="00AF540B">
          <w:rPr>
            <w:noProof/>
            <w:webHidden/>
          </w:rPr>
          <w:t>11</w:t>
        </w:r>
        <w:r w:rsidR="00AF540B">
          <w:rPr>
            <w:noProof/>
            <w:webHidden/>
          </w:rPr>
          <w:fldChar w:fldCharType="end"/>
        </w:r>
      </w:hyperlink>
    </w:p>
    <w:p w14:paraId="3725D29B" w14:textId="5C3907AD" w:rsidR="00AF540B" w:rsidRDefault="00000000" w:rsidP="00AF540B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16548268" w:history="1">
        <w:r w:rsidR="00AF540B" w:rsidRPr="00237858">
          <w:rPr>
            <w:rStyle w:val="Hyperlink"/>
            <w:noProof/>
          </w:rPr>
          <w:t>10.FURTHER INFORMATION</w:t>
        </w:r>
        <w:r w:rsidR="00AF540B">
          <w:rPr>
            <w:noProof/>
            <w:webHidden/>
          </w:rPr>
          <w:tab/>
        </w:r>
        <w:r w:rsidR="00AF540B">
          <w:rPr>
            <w:noProof/>
            <w:webHidden/>
          </w:rPr>
          <w:fldChar w:fldCharType="begin"/>
        </w:r>
        <w:r w:rsidR="00AF540B">
          <w:rPr>
            <w:noProof/>
            <w:webHidden/>
          </w:rPr>
          <w:instrText xml:space="preserve"> PAGEREF _Toc116548268 \h </w:instrText>
        </w:r>
        <w:r w:rsidR="00AF540B">
          <w:rPr>
            <w:noProof/>
            <w:webHidden/>
          </w:rPr>
        </w:r>
        <w:r w:rsidR="00AF540B">
          <w:rPr>
            <w:noProof/>
            <w:webHidden/>
          </w:rPr>
          <w:fldChar w:fldCharType="separate"/>
        </w:r>
        <w:r w:rsidR="00AF540B">
          <w:rPr>
            <w:noProof/>
            <w:webHidden/>
          </w:rPr>
          <w:t>11</w:t>
        </w:r>
        <w:r w:rsidR="00AF540B">
          <w:rPr>
            <w:noProof/>
            <w:webHidden/>
          </w:rPr>
          <w:fldChar w:fldCharType="end"/>
        </w:r>
      </w:hyperlink>
    </w:p>
    <w:p w14:paraId="410D4379" w14:textId="79839136" w:rsidR="00AF540B" w:rsidRDefault="0000000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en-GB"/>
        </w:rPr>
      </w:pPr>
      <w:hyperlink w:anchor="_Toc116548269" w:history="1">
        <w:r w:rsidR="00AF540B" w:rsidRPr="00237858">
          <w:rPr>
            <w:rStyle w:val="Hyperlink"/>
            <w:noProof/>
          </w:rPr>
          <w:t>APPENDIX</w:t>
        </w:r>
        <w:r w:rsidR="00AF540B">
          <w:rPr>
            <w:noProof/>
            <w:webHidden/>
          </w:rPr>
          <w:tab/>
        </w:r>
        <w:r w:rsidR="00AF540B">
          <w:rPr>
            <w:noProof/>
            <w:webHidden/>
          </w:rPr>
          <w:fldChar w:fldCharType="begin"/>
        </w:r>
        <w:r w:rsidR="00AF540B">
          <w:rPr>
            <w:noProof/>
            <w:webHidden/>
          </w:rPr>
          <w:instrText xml:space="preserve"> PAGEREF _Toc116548269 \h </w:instrText>
        </w:r>
        <w:r w:rsidR="00AF540B">
          <w:rPr>
            <w:noProof/>
            <w:webHidden/>
          </w:rPr>
        </w:r>
        <w:r w:rsidR="00AF540B">
          <w:rPr>
            <w:noProof/>
            <w:webHidden/>
          </w:rPr>
          <w:fldChar w:fldCharType="separate"/>
        </w:r>
        <w:r w:rsidR="00AF540B">
          <w:rPr>
            <w:noProof/>
            <w:webHidden/>
          </w:rPr>
          <w:t>12</w:t>
        </w:r>
        <w:r w:rsidR="00AF540B">
          <w:rPr>
            <w:noProof/>
            <w:webHidden/>
          </w:rPr>
          <w:fldChar w:fldCharType="end"/>
        </w:r>
      </w:hyperlink>
    </w:p>
    <w:p w14:paraId="34E25784" w14:textId="4E3A4B35" w:rsidR="00AF540B" w:rsidRDefault="00000000" w:rsidP="00AF540B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16548270" w:history="1">
        <w:r w:rsidR="00AF540B" w:rsidRPr="00237858">
          <w:rPr>
            <w:rStyle w:val="Hyperlink"/>
            <w:noProof/>
          </w:rPr>
          <w:t xml:space="preserve">APPENDIX 1 – STATEMENT OF STRATEGIC INTENT FOR </w:t>
        </w:r>
        <w:r w:rsidR="00AF540B">
          <w:rPr>
            <w:rStyle w:val="Hyperlink"/>
            <w:noProof/>
          </w:rPr>
          <w:br/>
        </w:r>
        <w:r w:rsidR="00AF540B" w:rsidRPr="00237858">
          <w:rPr>
            <w:rStyle w:val="Hyperlink"/>
            <w:noProof/>
          </w:rPr>
          <w:t>THE CATTLE COMPENSATION FUND</w:t>
        </w:r>
        <w:r w:rsidR="00AF540B">
          <w:rPr>
            <w:noProof/>
            <w:webHidden/>
          </w:rPr>
          <w:tab/>
        </w:r>
        <w:r w:rsidR="00AF540B">
          <w:rPr>
            <w:noProof/>
            <w:webHidden/>
          </w:rPr>
          <w:fldChar w:fldCharType="begin"/>
        </w:r>
        <w:r w:rsidR="00AF540B">
          <w:rPr>
            <w:noProof/>
            <w:webHidden/>
          </w:rPr>
          <w:instrText xml:space="preserve"> PAGEREF _Toc116548270 \h </w:instrText>
        </w:r>
        <w:r w:rsidR="00AF540B">
          <w:rPr>
            <w:noProof/>
            <w:webHidden/>
          </w:rPr>
        </w:r>
        <w:r w:rsidR="00AF540B">
          <w:rPr>
            <w:noProof/>
            <w:webHidden/>
          </w:rPr>
          <w:fldChar w:fldCharType="separate"/>
        </w:r>
        <w:r w:rsidR="00AF540B">
          <w:rPr>
            <w:noProof/>
            <w:webHidden/>
          </w:rPr>
          <w:t>12</w:t>
        </w:r>
        <w:r w:rsidR="00AF540B">
          <w:rPr>
            <w:noProof/>
            <w:webHidden/>
          </w:rPr>
          <w:fldChar w:fldCharType="end"/>
        </w:r>
      </w:hyperlink>
    </w:p>
    <w:p w14:paraId="6A4445A2" w14:textId="7442911A" w:rsidR="00AF540B" w:rsidRDefault="00000000" w:rsidP="00AF540B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16548271" w:history="1">
        <w:r w:rsidR="00AF540B" w:rsidRPr="00237858">
          <w:rPr>
            <w:rStyle w:val="Hyperlink"/>
            <w:noProof/>
          </w:rPr>
          <w:t xml:space="preserve">APPENDIX 2 – STATEMENT OF STRATEGIC INTENT FOR </w:t>
        </w:r>
        <w:r w:rsidR="00AF540B">
          <w:rPr>
            <w:rStyle w:val="Hyperlink"/>
            <w:noProof/>
          </w:rPr>
          <w:br/>
        </w:r>
        <w:r w:rsidR="00AF540B" w:rsidRPr="00237858">
          <w:rPr>
            <w:rStyle w:val="Hyperlink"/>
            <w:noProof/>
          </w:rPr>
          <w:t>THE SHEEP AND GOAT COMPENSATION FUND</w:t>
        </w:r>
        <w:r w:rsidR="00AF540B">
          <w:rPr>
            <w:noProof/>
            <w:webHidden/>
          </w:rPr>
          <w:tab/>
        </w:r>
        <w:r w:rsidR="00AF540B">
          <w:rPr>
            <w:noProof/>
            <w:webHidden/>
          </w:rPr>
          <w:fldChar w:fldCharType="begin"/>
        </w:r>
        <w:r w:rsidR="00AF540B">
          <w:rPr>
            <w:noProof/>
            <w:webHidden/>
          </w:rPr>
          <w:instrText xml:space="preserve"> PAGEREF _Toc116548271 \h </w:instrText>
        </w:r>
        <w:r w:rsidR="00AF540B">
          <w:rPr>
            <w:noProof/>
            <w:webHidden/>
          </w:rPr>
        </w:r>
        <w:r w:rsidR="00AF540B">
          <w:rPr>
            <w:noProof/>
            <w:webHidden/>
          </w:rPr>
          <w:fldChar w:fldCharType="separate"/>
        </w:r>
        <w:r w:rsidR="00AF540B">
          <w:rPr>
            <w:noProof/>
            <w:webHidden/>
          </w:rPr>
          <w:t>13</w:t>
        </w:r>
        <w:r w:rsidR="00AF540B">
          <w:rPr>
            <w:noProof/>
            <w:webHidden/>
          </w:rPr>
          <w:fldChar w:fldCharType="end"/>
        </w:r>
      </w:hyperlink>
    </w:p>
    <w:p w14:paraId="58303A28" w14:textId="0AB248DB" w:rsidR="00AF540B" w:rsidRDefault="00000000" w:rsidP="00AF540B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16548272" w:history="1">
        <w:r w:rsidR="00AF540B" w:rsidRPr="00237858">
          <w:rPr>
            <w:rStyle w:val="Hyperlink"/>
            <w:noProof/>
          </w:rPr>
          <w:t xml:space="preserve">APPENDIX 3 – STATEMENT OF STRATEGIC INTENT FOR </w:t>
        </w:r>
        <w:r w:rsidR="00AF540B">
          <w:rPr>
            <w:rStyle w:val="Hyperlink"/>
            <w:noProof/>
          </w:rPr>
          <w:br/>
        </w:r>
        <w:r w:rsidR="00AF540B" w:rsidRPr="00237858">
          <w:rPr>
            <w:rStyle w:val="Hyperlink"/>
            <w:noProof/>
          </w:rPr>
          <w:t>THE SWINE COMPENSATION FUND</w:t>
        </w:r>
        <w:r w:rsidR="00AF540B">
          <w:rPr>
            <w:noProof/>
            <w:webHidden/>
          </w:rPr>
          <w:tab/>
        </w:r>
        <w:r w:rsidR="00AF540B">
          <w:rPr>
            <w:noProof/>
            <w:webHidden/>
          </w:rPr>
          <w:fldChar w:fldCharType="begin"/>
        </w:r>
        <w:r w:rsidR="00AF540B">
          <w:rPr>
            <w:noProof/>
            <w:webHidden/>
          </w:rPr>
          <w:instrText xml:space="preserve"> PAGEREF _Toc116548272 \h </w:instrText>
        </w:r>
        <w:r w:rsidR="00AF540B">
          <w:rPr>
            <w:noProof/>
            <w:webHidden/>
          </w:rPr>
        </w:r>
        <w:r w:rsidR="00AF540B">
          <w:rPr>
            <w:noProof/>
            <w:webHidden/>
          </w:rPr>
          <w:fldChar w:fldCharType="separate"/>
        </w:r>
        <w:r w:rsidR="00AF540B">
          <w:rPr>
            <w:noProof/>
            <w:webHidden/>
          </w:rPr>
          <w:t>14</w:t>
        </w:r>
        <w:r w:rsidR="00AF540B">
          <w:rPr>
            <w:noProof/>
            <w:webHidden/>
          </w:rPr>
          <w:fldChar w:fldCharType="end"/>
        </w:r>
      </w:hyperlink>
    </w:p>
    <w:p w14:paraId="4D33F65C" w14:textId="7AFC127B" w:rsidR="00AF540B" w:rsidRDefault="00000000" w:rsidP="00AF540B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16548273" w:history="1">
        <w:r w:rsidR="00AF540B" w:rsidRPr="00237858">
          <w:rPr>
            <w:rStyle w:val="Hyperlink"/>
            <w:noProof/>
          </w:rPr>
          <w:t>APPENDIX 4 – STATEMENT OF STRATEGIC INTENT FOR THE HONEY BEE COMPENSATION AND INDUSTRY DEVELOPMENT FUND</w:t>
        </w:r>
        <w:r w:rsidR="00AF540B">
          <w:rPr>
            <w:noProof/>
            <w:webHidden/>
          </w:rPr>
          <w:tab/>
        </w:r>
        <w:r w:rsidR="00AF540B">
          <w:rPr>
            <w:noProof/>
            <w:webHidden/>
          </w:rPr>
          <w:fldChar w:fldCharType="begin"/>
        </w:r>
        <w:r w:rsidR="00AF540B">
          <w:rPr>
            <w:noProof/>
            <w:webHidden/>
          </w:rPr>
          <w:instrText xml:space="preserve"> PAGEREF _Toc116548273 \h </w:instrText>
        </w:r>
        <w:r w:rsidR="00AF540B">
          <w:rPr>
            <w:noProof/>
            <w:webHidden/>
          </w:rPr>
        </w:r>
        <w:r w:rsidR="00AF540B">
          <w:rPr>
            <w:noProof/>
            <w:webHidden/>
          </w:rPr>
          <w:fldChar w:fldCharType="separate"/>
        </w:r>
        <w:r w:rsidR="00AF540B">
          <w:rPr>
            <w:noProof/>
            <w:webHidden/>
          </w:rPr>
          <w:t>15</w:t>
        </w:r>
        <w:r w:rsidR="00AF540B">
          <w:rPr>
            <w:noProof/>
            <w:webHidden/>
          </w:rPr>
          <w:fldChar w:fldCharType="end"/>
        </w:r>
      </w:hyperlink>
    </w:p>
    <w:p w14:paraId="5DD741C6" w14:textId="5D7EFB7D" w:rsidR="00AF540B" w:rsidRPr="00AF540B" w:rsidRDefault="00AF540B" w:rsidP="00AF540B">
      <w:r>
        <w:rPr>
          <w:szCs w:val="22"/>
        </w:rPr>
        <w:fldChar w:fldCharType="end"/>
      </w:r>
    </w:p>
    <w:p w14:paraId="2C59750B" w14:textId="37C799D3" w:rsidR="009F127E" w:rsidRDefault="00000000" w:rsidP="00AF540B">
      <w:pPr>
        <w:pStyle w:val="Heading1"/>
        <w:pageBreakBefore/>
      </w:pPr>
      <w:bookmarkStart w:id="0" w:name="_Toc116548258"/>
      <w:r>
        <w:lastRenderedPageBreak/>
        <w:t>Livestock</w:t>
      </w:r>
      <w:r w:rsidR="00CD37C6">
        <w:t xml:space="preserve"> </w:t>
      </w:r>
      <w:r>
        <w:t>Biosecurity</w:t>
      </w:r>
      <w:r w:rsidR="00CD37C6">
        <w:t xml:space="preserve"> </w:t>
      </w:r>
      <w:r>
        <w:t>Funds</w:t>
      </w:r>
      <w:r w:rsidR="00CD37C6">
        <w:t xml:space="preserve"> </w:t>
      </w:r>
      <w:r>
        <w:t>Grant</w:t>
      </w:r>
      <w:r w:rsidR="00CD37C6">
        <w:t xml:space="preserve"> </w:t>
      </w:r>
      <w:r>
        <w:t>Program</w:t>
      </w:r>
      <w:bookmarkEnd w:id="0"/>
    </w:p>
    <w:p w14:paraId="7EEBED93" w14:textId="399EE3A3" w:rsidR="009F127E" w:rsidRDefault="00000000" w:rsidP="008E4EA4">
      <w:pPr>
        <w:pStyle w:val="Heading2"/>
      </w:pPr>
      <w:bookmarkStart w:id="1" w:name="_Toc116548259"/>
      <w:r>
        <w:t>1.</w:t>
      </w:r>
      <w:r>
        <w:tab/>
      </w:r>
      <w:r w:rsidR="009B4482">
        <w:t xml:space="preserve"> </w:t>
      </w:r>
      <w:r>
        <w:t>PURPOSE</w:t>
      </w:r>
      <w:bookmarkEnd w:id="1"/>
    </w:p>
    <w:p w14:paraId="3C0624A7" w14:textId="79D2C982" w:rsidR="009F127E" w:rsidRDefault="00000000" w:rsidP="008E4EA4">
      <w:pPr>
        <w:pStyle w:val="Normalbeforebullet"/>
      </w:pPr>
      <w:r>
        <w:t>This</w:t>
      </w:r>
      <w:r w:rsidR="00CD37C6">
        <w:t xml:space="preserve"> </w:t>
      </w:r>
      <w:r>
        <w:t>document</w:t>
      </w:r>
      <w:r w:rsidR="00CD37C6">
        <w:t xml:space="preserve"> </w:t>
      </w:r>
      <w:r>
        <w:t>provides</w:t>
      </w:r>
      <w:r w:rsidR="00CD37C6">
        <w:t xml:space="preserve"> </w:t>
      </w:r>
      <w:r>
        <w:t>information</w:t>
      </w:r>
      <w:r w:rsidR="00CD37C6">
        <w:t xml:space="preserve"> </w:t>
      </w:r>
      <w:r>
        <w:t>for</w:t>
      </w:r>
      <w:r w:rsidR="00CD37C6">
        <w:t xml:space="preserve"> </w:t>
      </w:r>
      <w:r>
        <w:t>the</w:t>
      </w:r>
      <w:r w:rsidR="00CD37C6">
        <w:t xml:space="preserve"> </w:t>
      </w:r>
      <w:r>
        <w:t>Livestock</w:t>
      </w:r>
      <w:r w:rsidR="00CD37C6">
        <w:t xml:space="preserve"> </w:t>
      </w:r>
      <w:r>
        <w:t>Biosecurity</w:t>
      </w:r>
      <w:r w:rsidR="00CD37C6">
        <w:t xml:space="preserve"> </w:t>
      </w:r>
      <w:r>
        <w:t>Funds</w:t>
      </w:r>
      <w:r w:rsidR="00CD37C6">
        <w:t xml:space="preserve"> </w:t>
      </w:r>
      <w:r>
        <w:t>Grant</w:t>
      </w:r>
      <w:r w:rsidR="00CD37C6">
        <w:t xml:space="preserve"> </w:t>
      </w:r>
      <w:r>
        <w:t>Program</w:t>
      </w:r>
      <w:r w:rsidR="00CD37C6">
        <w:t xml:space="preserve"> </w:t>
      </w:r>
      <w:r>
        <w:t>(Incorporating</w:t>
      </w:r>
      <w:r w:rsidR="00CD37C6">
        <w:t xml:space="preserve"> </w:t>
      </w:r>
      <w:r>
        <w:t>Cattle,</w:t>
      </w:r>
      <w:r w:rsidR="00CD37C6">
        <w:t xml:space="preserve"> </w:t>
      </w:r>
      <w:r>
        <w:t>Sheep,</w:t>
      </w:r>
      <w:r w:rsidR="00CD37C6">
        <w:t xml:space="preserve"> </w:t>
      </w:r>
      <w:r>
        <w:t>Goat,</w:t>
      </w:r>
      <w:r w:rsidR="00CD37C6">
        <w:t xml:space="preserve"> </w:t>
      </w:r>
      <w:r>
        <w:t>Swine</w:t>
      </w:r>
      <w:r w:rsidR="00CD37C6">
        <w:t xml:space="preserve"> </w:t>
      </w:r>
      <w:r>
        <w:t>and</w:t>
      </w:r>
      <w:r w:rsidR="00CD37C6">
        <w:t xml:space="preserve"> </w:t>
      </w:r>
      <w:proofErr w:type="gramStart"/>
      <w:r>
        <w:t>Honey</w:t>
      </w:r>
      <w:r w:rsidR="00CD37C6">
        <w:t xml:space="preserve"> </w:t>
      </w:r>
      <w:r>
        <w:t>Bee</w:t>
      </w:r>
      <w:proofErr w:type="gramEnd"/>
      <w:r>
        <w:t>)</w:t>
      </w:r>
      <w:r w:rsidR="00CD37C6">
        <w:t xml:space="preserve"> </w:t>
      </w:r>
      <w:r>
        <w:t>(the</w:t>
      </w:r>
      <w:r w:rsidR="00CD37C6">
        <w:t xml:space="preserve"> </w:t>
      </w:r>
      <w:r>
        <w:t>Program).</w:t>
      </w:r>
      <w:r w:rsidR="00CD37C6">
        <w:t xml:space="preserve"> </w:t>
      </w:r>
      <w:r>
        <w:t>Interested</w:t>
      </w:r>
      <w:r w:rsidR="00CD37C6">
        <w:t xml:space="preserve"> </w:t>
      </w:r>
      <w:r>
        <w:t>applicants</w:t>
      </w:r>
      <w:r w:rsidR="00CD37C6">
        <w:t xml:space="preserve"> </w:t>
      </w:r>
      <w:r>
        <w:t>will</w:t>
      </w:r>
      <w:r w:rsidR="00CD37C6">
        <w:t xml:space="preserve"> </w:t>
      </w:r>
      <w:r>
        <w:t>find</w:t>
      </w:r>
      <w:r w:rsidR="00CD37C6">
        <w:t xml:space="preserve"> </w:t>
      </w:r>
      <w:r>
        <w:t>guidance</w:t>
      </w:r>
      <w:r w:rsidR="00CD37C6">
        <w:t xml:space="preserve"> </w:t>
      </w:r>
      <w:r>
        <w:t>on:</w:t>
      </w:r>
    </w:p>
    <w:p w14:paraId="52B8E512" w14:textId="27BC5655" w:rsidR="009F127E" w:rsidRDefault="00000000" w:rsidP="008E4EA4">
      <w:pPr>
        <w:pStyle w:val="Bullet"/>
      </w:pPr>
      <w:r>
        <w:t>the</w:t>
      </w:r>
      <w:r w:rsidR="00CD37C6">
        <w:t xml:space="preserve"> </w:t>
      </w:r>
      <w:r>
        <w:t>legislative</w:t>
      </w:r>
      <w:r w:rsidR="00CD37C6">
        <w:t xml:space="preserve"> </w:t>
      </w:r>
      <w:r>
        <w:t>background</w:t>
      </w:r>
      <w:r w:rsidR="00CD37C6">
        <w:t xml:space="preserve"> </w:t>
      </w:r>
      <w:r>
        <w:t>to</w:t>
      </w:r>
      <w:r w:rsidR="00CD37C6">
        <w:t xml:space="preserve"> </w:t>
      </w:r>
      <w:r>
        <w:t>the</w:t>
      </w:r>
      <w:r w:rsidR="00CD37C6">
        <w:t xml:space="preserve"> </w:t>
      </w:r>
      <w:r>
        <w:t>Program</w:t>
      </w:r>
    </w:p>
    <w:p w14:paraId="1A38CB8B" w14:textId="406BFCD1" w:rsidR="009F127E" w:rsidRDefault="00000000" w:rsidP="008E4EA4">
      <w:pPr>
        <w:pStyle w:val="Bullet"/>
      </w:pPr>
      <w:r>
        <w:t>grant</w:t>
      </w:r>
      <w:r w:rsidR="00CD37C6">
        <w:t xml:space="preserve"> </w:t>
      </w:r>
      <w:r>
        <w:t>funding</w:t>
      </w:r>
      <w:r w:rsidR="00CD37C6">
        <w:t xml:space="preserve"> </w:t>
      </w:r>
      <w:r>
        <w:t>opportunities</w:t>
      </w:r>
    </w:p>
    <w:p w14:paraId="0FE54B79" w14:textId="588F8158" w:rsidR="009F127E" w:rsidRDefault="00000000" w:rsidP="008E4EA4">
      <w:pPr>
        <w:pStyle w:val="Bullet"/>
      </w:pPr>
      <w:r>
        <w:t>application</w:t>
      </w:r>
      <w:r w:rsidR="00CD37C6">
        <w:t xml:space="preserve"> </w:t>
      </w:r>
      <w:r>
        <w:t>requirements</w:t>
      </w:r>
    </w:p>
    <w:p w14:paraId="6A8D085E" w14:textId="7998A2FC" w:rsidR="009F127E" w:rsidRDefault="00000000" w:rsidP="008E4EA4">
      <w:pPr>
        <w:pStyle w:val="Bullet"/>
      </w:pPr>
      <w:r>
        <w:t>due</w:t>
      </w:r>
      <w:r w:rsidR="00CD37C6">
        <w:t xml:space="preserve"> </w:t>
      </w:r>
      <w:r>
        <w:t>diligence</w:t>
      </w:r>
      <w:r w:rsidR="00CD37C6">
        <w:t xml:space="preserve"> </w:t>
      </w:r>
      <w:r>
        <w:t>requirements</w:t>
      </w:r>
    </w:p>
    <w:p w14:paraId="3F86ECD1" w14:textId="3F592239" w:rsidR="009F127E" w:rsidRDefault="00000000" w:rsidP="008E4EA4">
      <w:pPr>
        <w:pStyle w:val="Bullet"/>
      </w:pPr>
      <w:r>
        <w:t>application</w:t>
      </w:r>
      <w:r w:rsidR="00CD37C6">
        <w:t xml:space="preserve"> </w:t>
      </w:r>
      <w:r>
        <w:t>assessment</w:t>
      </w:r>
      <w:r w:rsidR="00CD37C6">
        <w:t xml:space="preserve"> </w:t>
      </w:r>
      <w:r>
        <w:t>process</w:t>
      </w:r>
    </w:p>
    <w:p w14:paraId="3637F2A1" w14:textId="2474242B" w:rsidR="009F127E" w:rsidRDefault="00000000" w:rsidP="008E4EA4">
      <w:pPr>
        <w:pStyle w:val="Bullet"/>
      </w:pPr>
      <w:r>
        <w:t>funding</w:t>
      </w:r>
      <w:r w:rsidR="00CD37C6">
        <w:t xml:space="preserve"> </w:t>
      </w:r>
      <w:r>
        <w:t>award</w:t>
      </w:r>
      <w:r w:rsidR="00CD37C6">
        <w:t xml:space="preserve"> </w:t>
      </w:r>
      <w:r>
        <w:t>and</w:t>
      </w:r>
      <w:r w:rsidR="00CD37C6">
        <w:t xml:space="preserve"> </w:t>
      </w:r>
      <w:r>
        <w:t>grant</w:t>
      </w:r>
      <w:r w:rsidR="00CD37C6">
        <w:t xml:space="preserve"> </w:t>
      </w:r>
      <w:r>
        <w:t>agreements</w:t>
      </w:r>
    </w:p>
    <w:p w14:paraId="1B63E920" w14:textId="0EFCE4DF" w:rsidR="009F127E" w:rsidRDefault="00000000" w:rsidP="008E4EA4">
      <w:pPr>
        <w:pStyle w:val="Bulletlast"/>
      </w:pPr>
      <w:r>
        <w:t>statement</w:t>
      </w:r>
      <w:r w:rsidR="00CD37C6">
        <w:t xml:space="preserve"> </w:t>
      </w:r>
      <w:r>
        <w:t>of</w:t>
      </w:r>
      <w:r w:rsidR="00CD37C6">
        <w:t xml:space="preserve"> </w:t>
      </w:r>
      <w:r>
        <w:t>strategic</w:t>
      </w:r>
      <w:r w:rsidR="00CD37C6">
        <w:t xml:space="preserve"> </w:t>
      </w:r>
      <w:r>
        <w:t>intent</w:t>
      </w:r>
      <w:r w:rsidR="00CD37C6">
        <w:t xml:space="preserve"> </w:t>
      </w:r>
      <w:r>
        <w:t>for</w:t>
      </w:r>
      <w:r w:rsidR="00CD37C6">
        <w:t xml:space="preserve"> </w:t>
      </w:r>
      <w:r>
        <w:t>the</w:t>
      </w:r>
      <w:r w:rsidR="00CD37C6">
        <w:t xml:space="preserve"> </w:t>
      </w:r>
      <w:r>
        <w:t>individual</w:t>
      </w:r>
      <w:r w:rsidR="00CD37C6">
        <w:t xml:space="preserve"> </w:t>
      </w:r>
      <w:r>
        <w:t>program</w:t>
      </w:r>
      <w:r w:rsidR="00CD37C6">
        <w:t xml:space="preserve"> </w:t>
      </w:r>
      <w:r>
        <w:t>funds.</w:t>
      </w:r>
    </w:p>
    <w:p w14:paraId="62F333E9" w14:textId="4FE0248F" w:rsidR="009F127E" w:rsidRDefault="00000000" w:rsidP="008E4EA4">
      <w:pPr>
        <w:pStyle w:val="Heading2"/>
      </w:pPr>
      <w:bookmarkStart w:id="2" w:name="_Toc116548260"/>
      <w:r>
        <w:t>2.</w:t>
      </w:r>
      <w:r>
        <w:tab/>
      </w:r>
      <w:r w:rsidR="009B4482">
        <w:t xml:space="preserve"> </w:t>
      </w:r>
      <w:r>
        <w:t>REGULATORY</w:t>
      </w:r>
      <w:r w:rsidR="00CD37C6">
        <w:t xml:space="preserve"> </w:t>
      </w:r>
      <w:r>
        <w:t>CONTEXT</w:t>
      </w:r>
      <w:bookmarkEnd w:id="2"/>
    </w:p>
    <w:p w14:paraId="271B4FD5" w14:textId="63FC8816" w:rsidR="009F127E" w:rsidRPr="008E4EA4" w:rsidRDefault="00000000" w:rsidP="008E4EA4">
      <w:pPr>
        <w:pStyle w:val="Normalbeforebullet"/>
        <w:rPr>
          <w:b/>
          <w:bCs/>
        </w:rPr>
      </w:pPr>
      <w:r w:rsidRPr="008E4EA4">
        <w:rPr>
          <w:rStyle w:val="Medium"/>
          <w:b/>
          <w:bCs/>
        </w:rPr>
        <w:t>The</w:t>
      </w:r>
      <w:r w:rsidR="00CD37C6">
        <w:rPr>
          <w:rStyle w:val="Medium"/>
          <w:b/>
          <w:bCs/>
        </w:rPr>
        <w:t xml:space="preserve"> </w:t>
      </w:r>
      <w:r w:rsidRPr="008E4EA4">
        <w:rPr>
          <w:rStyle w:val="MediumItalic"/>
          <w:b/>
          <w:bCs/>
        </w:rPr>
        <w:t>Livestock</w:t>
      </w:r>
      <w:r w:rsidR="00CD37C6">
        <w:rPr>
          <w:rStyle w:val="MediumItalic"/>
          <w:b/>
          <w:bCs/>
        </w:rPr>
        <w:t xml:space="preserve"> </w:t>
      </w:r>
      <w:r w:rsidRPr="008E4EA4">
        <w:rPr>
          <w:rStyle w:val="MediumItalic"/>
          <w:b/>
          <w:bCs/>
        </w:rPr>
        <w:t>Disease</w:t>
      </w:r>
      <w:r w:rsidR="00CD37C6">
        <w:rPr>
          <w:rStyle w:val="MediumItalic"/>
          <w:b/>
          <w:bCs/>
        </w:rPr>
        <w:t xml:space="preserve"> </w:t>
      </w:r>
      <w:r w:rsidRPr="008E4EA4">
        <w:rPr>
          <w:rStyle w:val="MediumItalic"/>
          <w:b/>
          <w:bCs/>
        </w:rPr>
        <w:t>Control</w:t>
      </w:r>
      <w:r w:rsidR="00CD37C6">
        <w:rPr>
          <w:rStyle w:val="MediumItalic"/>
          <w:b/>
          <w:bCs/>
        </w:rPr>
        <w:t xml:space="preserve"> </w:t>
      </w:r>
      <w:r w:rsidRPr="008E4EA4">
        <w:rPr>
          <w:rStyle w:val="MediumItalic"/>
          <w:b/>
          <w:bCs/>
        </w:rPr>
        <w:t>Act</w:t>
      </w:r>
      <w:r w:rsidR="00CD37C6">
        <w:rPr>
          <w:rStyle w:val="MediumItalic"/>
          <w:b/>
          <w:bCs/>
        </w:rPr>
        <w:t xml:space="preserve"> </w:t>
      </w:r>
      <w:r w:rsidRPr="008E4EA4">
        <w:rPr>
          <w:rStyle w:val="MediumItalic"/>
          <w:b/>
          <w:bCs/>
        </w:rPr>
        <w:t>1994</w:t>
      </w:r>
    </w:p>
    <w:p w14:paraId="5DD25E37" w14:textId="2A8DC092" w:rsidR="009F127E" w:rsidRDefault="00000000" w:rsidP="008E4EA4">
      <w:r>
        <w:t>The</w:t>
      </w:r>
      <w:r w:rsidR="00CD37C6">
        <w:t xml:space="preserve"> </w:t>
      </w:r>
      <w:r>
        <w:t>Program</w:t>
      </w:r>
      <w:r w:rsidR="00CD37C6">
        <w:t xml:space="preserve"> </w:t>
      </w:r>
      <w:r>
        <w:t>is</w:t>
      </w:r>
      <w:r w:rsidR="00CD37C6">
        <w:t xml:space="preserve"> </w:t>
      </w:r>
      <w:r>
        <w:t>administered</w:t>
      </w:r>
      <w:r w:rsidR="00CD37C6">
        <w:t xml:space="preserve"> </w:t>
      </w:r>
      <w:r>
        <w:t>by</w:t>
      </w:r>
      <w:r w:rsidR="00CD37C6">
        <w:t xml:space="preserve"> </w:t>
      </w:r>
      <w:r>
        <w:t>the</w:t>
      </w:r>
      <w:r w:rsidR="00CD37C6">
        <w:t xml:space="preserve"> </w:t>
      </w:r>
      <w:r>
        <w:t>Department</w:t>
      </w:r>
      <w:r w:rsidR="00CD37C6">
        <w:t xml:space="preserve"> </w:t>
      </w:r>
      <w:r>
        <w:t>of</w:t>
      </w:r>
      <w:r w:rsidR="00CD37C6">
        <w:t xml:space="preserve"> </w:t>
      </w:r>
      <w:r>
        <w:t>Jobs,</w:t>
      </w:r>
      <w:r w:rsidR="00CD37C6">
        <w:t xml:space="preserve"> </w:t>
      </w:r>
      <w:r>
        <w:t>Precincts</w:t>
      </w:r>
      <w:r w:rsidR="00CD37C6">
        <w:t xml:space="preserve"> </w:t>
      </w:r>
      <w:r>
        <w:t>and</w:t>
      </w:r>
      <w:r w:rsidR="00CD37C6">
        <w:t xml:space="preserve"> </w:t>
      </w:r>
      <w:r>
        <w:t>Regions</w:t>
      </w:r>
      <w:r w:rsidR="00CD37C6">
        <w:t xml:space="preserve"> </w:t>
      </w:r>
      <w:r>
        <w:t>(the</w:t>
      </w:r>
      <w:r w:rsidR="00CD37C6">
        <w:t xml:space="preserve"> </w:t>
      </w:r>
      <w:r>
        <w:t>department)</w:t>
      </w:r>
      <w:r w:rsidR="00CD37C6">
        <w:t xml:space="preserve"> </w:t>
      </w:r>
      <w:r>
        <w:t>and</w:t>
      </w:r>
      <w:r w:rsidR="00CD37C6">
        <w:t xml:space="preserve"> </w:t>
      </w:r>
      <w:r>
        <w:t>funds</w:t>
      </w:r>
      <w:r w:rsidR="00CD37C6">
        <w:t xml:space="preserve"> </w:t>
      </w:r>
      <w:r>
        <w:t>are</w:t>
      </w:r>
      <w:r w:rsidR="00CD37C6">
        <w:t xml:space="preserve"> </w:t>
      </w:r>
      <w:r>
        <w:t>established</w:t>
      </w:r>
      <w:r w:rsidR="00CD37C6">
        <w:t xml:space="preserve"> </w:t>
      </w:r>
      <w:r>
        <w:t>under</w:t>
      </w:r>
      <w:r w:rsidR="00CD37C6">
        <w:t xml:space="preserve"> </w:t>
      </w:r>
      <w:r>
        <w:t>the</w:t>
      </w:r>
      <w:r w:rsidR="00CD37C6">
        <w:t xml:space="preserve"> </w:t>
      </w:r>
      <w:r>
        <w:rPr>
          <w:rStyle w:val="LightItalic"/>
        </w:rPr>
        <w:t>Livestock</w:t>
      </w:r>
      <w:r w:rsidR="00CD37C6">
        <w:rPr>
          <w:rStyle w:val="LightItalic"/>
        </w:rPr>
        <w:t xml:space="preserve"> </w:t>
      </w:r>
      <w:r>
        <w:rPr>
          <w:rStyle w:val="LightItalic"/>
        </w:rPr>
        <w:t>Disease</w:t>
      </w:r>
      <w:r w:rsidR="00CD37C6">
        <w:rPr>
          <w:rStyle w:val="LightItalic"/>
        </w:rPr>
        <w:t xml:space="preserve"> </w:t>
      </w:r>
      <w:r>
        <w:rPr>
          <w:rStyle w:val="LightItalic"/>
        </w:rPr>
        <w:t>Control</w:t>
      </w:r>
      <w:r w:rsidR="00CD37C6">
        <w:rPr>
          <w:rStyle w:val="LightItalic"/>
        </w:rPr>
        <w:t xml:space="preserve"> </w:t>
      </w:r>
      <w:r>
        <w:rPr>
          <w:rStyle w:val="LightItalic"/>
        </w:rPr>
        <w:t>Act</w:t>
      </w:r>
      <w:r w:rsidR="00CD37C6">
        <w:rPr>
          <w:rStyle w:val="LightItalic"/>
        </w:rPr>
        <w:t xml:space="preserve"> </w:t>
      </w:r>
      <w:r>
        <w:rPr>
          <w:rStyle w:val="LightItalic"/>
        </w:rPr>
        <w:t>1994</w:t>
      </w:r>
      <w:r w:rsidR="00CD37C6">
        <w:rPr>
          <w:rStyle w:val="LightItalic"/>
        </w:rPr>
        <w:t xml:space="preserve"> </w:t>
      </w:r>
      <w:r>
        <w:t>(the</w:t>
      </w:r>
      <w:r w:rsidR="00CD37C6">
        <w:t xml:space="preserve"> </w:t>
      </w:r>
      <w:r>
        <w:t>Act).</w:t>
      </w:r>
    </w:p>
    <w:p w14:paraId="6A755AE4" w14:textId="66A102B6" w:rsidR="009F127E" w:rsidRDefault="00000000" w:rsidP="00EF3098">
      <w:pPr>
        <w:pStyle w:val="Normalbeforebullet"/>
      </w:pPr>
      <w:r>
        <w:t>The</w:t>
      </w:r>
      <w:r w:rsidR="00CD37C6">
        <w:t xml:space="preserve"> </w:t>
      </w:r>
      <w:r>
        <w:t>Act,</w:t>
      </w:r>
      <w:r w:rsidR="00CD37C6">
        <w:t xml:space="preserve"> </w:t>
      </w:r>
      <w:r>
        <w:t>in</w:t>
      </w:r>
      <w:r w:rsidR="00CD37C6">
        <w:t xml:space="preserve"> </w:t>
      </w:r>
      <w:r>
        <w:t>concert</w:t>
      </w:r>
      <w:r w:rsidR="00CD37C6">
        <w:t xml:space="preserve"> </w:t>
      </w:r>
      <w:r>
        <w:t>with</w:t>
      </w:r>
      <w:r w:rsidR="00CD37C6">
        <w:t xml:space="preserve"> </w:t>
      </w:r>
      <w:r>
        <w:t>the</w:t>
      </w:r>
      <w:r w:rsidR="00CD37C6">
        <w:t xml:space="preserve"> </w:t>
      </w:r>
      <w:r w:rsidRPr="00EF3098">
        <w:rPr>
          <w:rFonts w:asciiTheme="minorHAnsi" w:hAnsiTheme="minorHAnsi" w:cstheme="minorHAnsi"/>
          <w:i/>
          <w:iCs/>
        </w:rPr>
        <w:t>Duties</w:t>
      </w:r>
      <w:r w:rsidR="00CD37C6">
        <w:rPr>
          <w:rFonts w:asciiTheme="minorHAnsi" w:hAnsiTheme="minorHAnsi" w:cstheme="minorHAnsi"/>
          <w:i/>
          <w:iCs/>
        </w:rPr>
        <w:t xml:space="preserve"> </w:t>
      </w:r>
      <w:r w:rsidRPr="00EF3098">
        <w:rPr>
          <w:rFonts w:asciiTheme="minorHAnsi" w:hAnsiTheme="minorHAnsi" w:cstheme="minorHAnsi"/>
          <w:i/>
          <w:iCs/>
        </w:rPr>
        <w:t>Act</w:t>
      </w:r>
      <w:r w:rsidR="00CD37C6">
        <w:rPr>
          <w:rFonts w:asciiTheme="minorHAnsi" w:hAnsiTheme="minorHAnsi" w:cstheme="minorHAnsi"/>
          <w:i/>
          <w:iCs/>
        </w:rPr>
        <w:t xml:space="preserve"> </w:t>
      </w:r>
      <w:r w:rsidRPr="00EF3098">
        <w:rPr>
          <w:rFonts w:asciiTheme="minorHAnsi" w:hAnsiTheme="minorHAnsi" w:cstheme="minorHAnsi"/>
          <w:i/>
          <w:iCs/>
        </w:rPr>
        <w:t>2000</w:t>
      </w:r>
      <w:r>
        <w:t>,</w:t>
      </w:r>
      <w:r w:rsidR="00CD37C6">
        <w:t xml:space="preserve"> </w:t>
      </w:r>
      <w:r>
        <w:t>provides</w:t>
      </w:r>
      <w:r w:rsidR="00CD37C6">
        <w:t xml:space="preserve"> </w:t>
      </w:r>
      <w:r>
        <w:t>a</w:t>
      </w:r>
      <w:r w:rsidR="00CD37C6">
        <w:t xml:space="preserve"> </w:t>
      </w:r>
      <w:r>
        <w:t>statutory</w:t>
      </w:r>
      <w:r w:rsidR="00CD37C6">
        <w:t xml:space="preserve"> </w:t>
      </w:r>
      <w:r>
        <w:t>arrangement</w:t>
      </w:r>
      <w:r w:rsidR="00CD37C6">
        <w:t xml:space="preserve"> </w:t>
      </w:r>
      <w:r>
        <w:t>for</w:t>
      </w:r>
      <w:r w:rsidR="00CD37C6">
        <w:t xml:space="preserve"> </w:t>
      </w:r>
      <w:r>
        <w:t>the</w:t>
      </w:r>
      <w:r w:rsidR="00CD37C6">
        <w:t xml:space="preserve"> </w:t>
      </w:r>
      <w:r>
        <w:t>collection</w:t>
      </w:r>
      <w:r w:rsidR="00CD37C6">
        <w:t xml:space="preserve"> </w:t>
      </w:r>
      <w:r>
        <w:t>of</w:t>
      </w:r>
      <w:r w:rsidR="00CD37C6">
        <w:t xml:space="preserve"> </w:t>
      </w:r>
      <w:r>
        <w:t>duties</w:t>
      </w:r>
      <w:r w:rsidR="00CD37C6">
        <w:t xml:space="preserve"> </w:t>
      </w:r>
      <w:r>
        <w:t>generated</w:t>
      </w:r>
      <w:r w:rsidR="00CD37C6">
        <w:t xml:space="preserve"> </w:t>
      </w:r>
      <w:r>
        <w:t>by</w:t>
      </w:r>
      <w:r w:rsidR="00CD37C6">
        <w:t xml:space="preserve"> </w:t>
      </w:r>
      <w:r>
        <w:t>the</w:t>
      </w:r>
      <w:r w:rsidR="00CD37C6">
        <w:t xml:space="preserve"> </w:t>
      </w:r>
      <w:r>
        <w:t>sale</w:t>
      </w:r>
      <w:r w:rsidR="00CD37C6">
        <w:t xml:space="preserve"> </w:t>
      </w:r>
      <w:r>
        <w:t>of</w:t>
      </w:r>
      <w:r w:rsidR="00CD37C6">
        <w:t xml:space="preserve"> </w:t>
      </w:r>
      <w:r>
        <w:t>cattle,</w:t>
      </w:r>
      <w:r w:rsidR="00CD37C6">
        <w:t xml:space="preserve"> </w:t>
      </w:r>
      <w:r>
        <w:t>sheep,</w:t>
      </w:r>
      <w:r w:rsidR="00CD37C6">
        <w:t xml:space="preserve"> </w:t>
      </w:r>
      <w:r>
        <w:t>goats</w:t>
      </w:r>
      <w:r w:rsidR="00CD37C6">
        <w:t xml:space="preserve"> </w:t>
      </w:r>
      <w:r>
        <w:t>and</w:t>
      </w:r>
      <w:r w:rsidR="00CD37C6">
        <w:t xml:space="preserve"> </w:t>
      </w:r>
      <w:r>
        <w:t>pigs</w:t>
      </w:r>
      <w:r w:rsidR="00CD37C6">
        <w:t xml:space="preserve"> </w:t>
      </w:r>
      <w:r>
        <w:t>and</w:t>
      </w:r>
      <w:r w:rsidR="00CD37C6">
        <w:t xml:space="preserve"> </w:t>
      </w:r>
      <w:r>
        <w:t>their</w:t>
      </w:r>
      <w:r w:rsidR="00CD37C6">
        <w:t xml:space="preserve"> </w:t>
      </w:r>
      <w:r>
        <w:t>carcasses</w:t>
      </w:r>
      <w:r w:rsidR="00CD37C6">
        <w:t xml:space="preserve"> </w:t>
      </w:r>
      <w:r>
        <w:t>in</w:t>
      </w:r>
      <w:r w:rsidR="00CD37C6">
        <w:t xml:space="preserve"> </w:t>
      </w:r>
      <w:r>
        <w:t>Victoria.</w:t>
      </w:r>
      <w:r w:rsidR="00CD37C6">
        <w:t xml:space="preserve"> </w:t>
      </w:r>
      <w:r>
        <w:t>These</w:t>
      </w:r>
      <w:r w:rsidR="00CD37C6">
        <w:t xml:space="preserve"> </w:t>
      </w:r>
      <w:r>
        <w:t>duties</w:t>
      </w:r>
      <w:r w:rsidR="00CD37C6">
        <w:t xml:space="preserve"> </w:t>
      </w:r>
      <w:r>
        <w:t>are</w:t>
      </w:r>
      <w:r w:rsidR="00CD37C6">
        <w:t xml:space="preserve"> </w:t>
      </w:r>
      <w:r>
        <w:t>collected</w:t>
      </w:r>
      <w:r w:rsidR="00CD37C6">
        <w:t xml:space="preserve"> </w:t>
      </w:r>
      <w:r>
        <w:t>to</w:t>
      </w:r>
      <w:r w:rsidR="00CD37C6">
        <w:t xml:space="preserve"> </w:t>
      </w:r>
      <w:r>
        <w:t>support</w:t>
      </w:r>
      <w:r w:rsidR="00CD37C6">
        <w:t xml:space="preserve"> </w:t>
      </w:r>
      <w:r>
        <w:t>the</w:t>
      </w:r>
      <w:r w:rsidR="00CD37C6">
        <w:t xml:space="preserve"> </w:t>
      </w:r>
      <w:r>
        <w:t>following</w:t>
      </w:r>
      <w:r w:rsidR="00CD37C6">
        <w:t xml:space="preserve"> </w:t>
      </w:r>
      <w:r>
        <w:t>funds:</w:t>
      </w:r>
    </w:p>
    <w:p w14:paraId="332CC0C9" w14:textId="16EADCA2" w:rsidR="009F127E" w:rsidRDefault="00000000" w:rsidP="008E4EA4">
      <w:pPr>
        <w:pStyle w:val="Bullet"/>
      </w:pPr>
      <w:r>
        <w:t>Cattle</w:t>
      </w:r>
      <w:r w:rsidR="00CD37C6">
        <w:t xml:space="preserve"> </w:t>
      </w:r>
      <w:r>
        <w:t>Compensation</w:t>
      </w:r>
      <w:r w:rsidR="00CD37C6">
        <w:t xml:space="preserve"> </w:t>
      </w:r>
      <w:r>
        <w:t>Fund</w:t>
      </w:r>
      <w:r w:rsidR="00CD37C6">
        <w:t xml:space="preserve"> </w:t>
      </w:r>
    </w:p>
    <w:p w14:paraId="56EC9E55" w14:textId="2A60F293" w:rsidR="009F127E" w:rsidRDefault="00000000" w:rsidP="008E4EA4">
      <w:pPr>
        <w:pStyle w:val="Bullet"/>
      </w:pPr>
      <w:r>
        <w:t>Sheep</w:t>
      </w:r>
      <w:r w:rsidR="00CD37C6">
        <w:t xml:space="preserve"> </w:t>
      </w:r>
      <w:r>
        <w:t>and</w:t>
      </w:r>
      <w:r w:rsidR="00CD37C6">
        <w:t xml:space="preserve"> </w:t>
      </w:r>
      <w:r>
        <w:t>Goat</w:t>
      </w:r>
      <w:r w:rsidR="00CD37C6">
        <w:t xml:space="preserve"> </w:t>
      </w:r>
      <w:r>
        <w:t>Compensation</w:t>
      </w:r>
      <w:r w:rsidR="00CD37C6">
        <w:t xml:space="preserve"> </w:t>
      </w:r>
      <w:r>
        <w:t>Fund</w:t>
      </w:r>
    </w:p>
    <w:p w14:paraId="4E830F60" w14:textId="7CB7EBDD" w:rsidR="009F127E" w:rsidRDefault="00000000" w:rsidP="008E4EA4">
      <w:pPr>
        <w:pStyle w:val="Bulletlast"/>
      </w:pPr>
      <w:r>
        <w:t>Swine</w:t>
      </w:r>
      <w:r w:rsidR="00CD37C6">
        <w:t xml:space="preserve"> </w:t>
      </w:r>
      <w:r>
        <w:t>Compensation</w:t>
      </w:r>
      <w:r w:rsidR="00CD37C6">
        <w:t xml:space="preserve"> </w:t>
      </w:r>
      <w:r>
        <w:t>Fund.</w:t>
      </w:r>
    </w:p>
    <w:p w14:paraId="14F1B051" w14:textId="7F4E6E66" w:rsidR="009F127E" w:rsidRDefault="00000000" w:rsidP="008E4EA4">
      <w:r>
        <w:t>The</w:t>
      </w:r>
      <w:r w:rsidR="00CD37C6">
        <w:t xml:space="preserve"> </w:t>
      </w:r>
      <w:r>
        <w:t>Act</w:t>
      </w:r>
      <w:r w:rsidR="00CD37C6">
        <w:t xml:space="preserve"> </w:t>
      </w:r>
      <w:r>
        <w:t>also</w:t>
      </w:r>
      <w:r w:rsidR="00CD37C6">
        <w:t xml:space="preserve"> </w:t>
      </w:r>
      <w:r>
        <w:t>provides</w:t>
      </w:r>
      <w:r w:rsidR="00CD37C6">
        <w:t xml:space="preserve"> </w:t>
      </w:r>
      <w:r>
        <w:t>for</w:t>
      </w:r>
      <w:r w:rsidR="00CD37C6">
        <w:t xml:space="preserve"> </w:t>
      </w:r>
      <w:r>
        <w:t>the</w:t>
      </w:r>
      <w:r w:rsidR="00CD37C6">
        <w:t xml:space="preserve"> </w:t>
      </w:r>
      <w:r>
        <w:t>collection</w:t>
      </w:r>
      <w:r w:rsidR="00CD37C6">
        <w:t xml:space="preserve"> </w:t>
      </w:r>
      <w:r>
        <w:t>of</w:t>
      </w:r>
      <w:r w:rsidR="00CD37C6">
        <w:t xml:space="preserve"> </w:t>
      </w:r>
      <w:r>
        <w:t>registration</w:t>
      </w:r>
      <w:r w:rsidR="00CD37C6">
        <w:t xml:space="preserve"> </w:t>
      </w:r>
      <w:r>
        <w:t>and</w:t>
      </w:r>
      <w:r w:rsidR="00CD37C6">
        <w:t xml:space="preserve"> </w:t>
      </w:r>
      <w:r>
        <w:t>annual</w:t>
      </w:r>
      <w:r w:rsidR="00CD37C6">
        <w:t xml:space="preserve"> </w:t>
      </w:r>
      <w:r>
        <w:t>fees</w:t>
      </w:r>
      <w:r w:rsidR="00CD37C6">
        <w:t xml:space="preserve"> </w:t>
      </w:r>
      <w:r>
        <w:t>for</w:t>
      </w:r>
      <w:r w:rsidR="00CD37C6">
        <w:t xml:space="preserve"> </w:t>
      </w:r>
      <w:proofErr w:type="gramStart"/>
      <w:r>
        <w:t>honey</w:t>
      </w:r>
      <w:r w:rsidR="00CD37C6">
        <w:t xml:space="preserve"> </w:t>
      </w:r>
      <w:r>
        <w:t>bees</w:t>
      </w:r>
      <w:proofErr w:type="gramEnd"/>
      <w:r w:rsidR="00CD37C6">
        <w:t xml:space="preserve"> </w:t>
      </w:r>
      <w:r>
        <w:t>which</w:t>
      </w:r>
      <w:r w:rsidR="00CD37C6">
        <w:t xml:space="preserve"> </w:t>
      </w:r>
      <w:r>
        <w:t>support</w:t>
      </w:r>
      <w:r w:rsidR="00CD37C6">
        <w:t xml:space="preserve"> </w:t>
      </w:r>
      <w:r>
        <w:t>the</w:t>
      </w:r>
      <w:r w:rsidR="00CD37C6">
        <w:t xml:space="preserve"> </w:t>
      </w:r>
      <w:r>
        <w:t>Honey</w:t>
      </w:r>
      <w:r w:rsidR="00CD37C6">
        <w:t xml:space="preserve"> </w:t>
      </w:r>
      <w:r>
        <w:t>Bee</w:t>
      </w:r>
      <w:r w:rsidR="00CD37C6">
        <w:t xml:space="preserve"> </w:t>
      </w:r>
      <w:r>
        <w:t>Compensation</w:t>
      </w:r>
      <w:r w:rsidR="00CD37C6">
        <w:t xml:space="preserve"> </w:t>
      </w:r>
      <w:r>
        <w:t>and</w:t>
      </w:r>
      <w:r w:rsidR="00CD37C6">
        <w:t xml:space="preserve"> </w:t>
      </w:r>
      <w:r>
        <w:t>Industry</w:t>
      </w:r>
      <w:r w:rsidR="00CD37C6">
        <w:t xml:space="preserve"> </w:t>
      </w:r>
      <w:r>
        <w:t>Development</w:t>
      </w:r>
      <w:r w:rsidR="00CD37C6">
        <w:t xml:space="preserve"> </w:t>
      </w:r>
      <w:r>
        <w:t>Fund.</w:t>
      </w:r>
    </w:p>
    <w:p w14:paraId="1705D01F" w14:textId="10ABB3B1" w:rsidR="009F127E" w:rsidRDefault="00000000" w:rsidP="008E4EA4">
      <w:r>
        <w:t>The</w:t>
      </w:r>
      <w:r w:rsidR="00CD37C6">
        <w:t xml:space="preserve"> </w:t>
      </w:r>
      <w:r>
        <w:t>funds</w:t>
      </w:r>
      <w:r w:rsidR="00CD37C6">
        <w:t xml:space="preserve"> </w:t>
      </w:r>
      <w:r>
        <w:t>deliver</w:t>
      </w:r>
      <w:r w:rsidR="00CD37C6">
        <w:t xml:space="preserve"> </w:t>
      </w:r>
      <w:r>
        <w:t>outcomes</w:t>
      </w:r>
      <w:r w:rsidR="00CD37C6">
        <w:t xml:space="preserve"> </w:t>
      </w:r>
      <w:r>
        <w:t>for</w:t>
      </w:r>
      <w:r w:rsidR="00CD37C6">
        <w:t xml:space="preserve"> </w:t>
      </w:r>
      <w:r>
        <w:t>the</w:t>
      </w:r>
      <w:r w:rsidR="00CD37C6">
        <w:t xml:space="preserve"> </w:t>
      </w:r>
      <w:r>
        <w:t>four</w:t>
      </w:r>
      <w:r w:rsidR="00CD37C6">
        <w:t xml:space="preserve"> </w:t>
      </w:r>
      <w:r>
        <w:t>industry</w:t>
      </w:r>
      <w:r w:rsidR="00CD37C6">
        <w:t xml:space="preserve"> </w:t>
      </w:r>
      <w:r>
        <w:t>areas</w:t>
      </w:r>
      <w:r w:rsidR="00CD37C6">
        <w:t xml:space="preserve"> </w:t>
      </w:r>
      <w:r>
        <w:t>and</w:t>
      </w:r>
      <w:r w:rsidR="00CD37C6">
        <w:t xml:space="preserve"> </w:t>
      </w:r>
      <w:r>
        <w:t>are</w:t>
      </w:r>
      <w:r w:rsidR="00CD37C6">
        <w:t xml:space="preserve"> </w:t>
      </w:r>
      <w:r>
        <w:t>aligned</w:t>
      </w:r>
      <w:r w:rsidR="00CD37C6">
        <w:t xml:space="preserve"> </w:t>
      </w:r>
      <w:r>
        <w:t>to</w:t>
      </w:r>
      <w:r w:rsidR="00CD37C6">
        <w:t xml:space="preserve"> </w:t>
      </w:r>
      <w:r>
        <w:t>the</w:t>
      </w:r>
      <w:r w:rsidR="00CD37C6">
        <w:t xml:space="preserve"> </w:t>
      </w:r>
      <w:r>
        <w:t>purposes</w:t>
      </w:r>
      <w:r w:rsidR="00CD37C6">
        <w:t xml:space="preserve"> </w:t>
      </w:r>
      <w:r>
        <w:t>and</w:t>
      </w:r>
      <w:r w:rsidR="00CD37C6">
        <w:t xml:space="preserve"> </w:t>
      </w:r>
      <w:r>
        <w:t>objectives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Act,</w:t>
      </w:r>
      <w:r w:rsidR="00CD37C6">
        <w:t xml:space="preserve"> </w:t>
      </w:r>
      <w:r>
        <w:t>as</w:t>
      </w:r>
      <w:r w:rsidR="00CD37C6">
        <w:t xml:space="preserve"> </w:t>
      </w:r>
      <w:r>
        <w:t>well</w:t>
      </w:r>
      <w:r w:rsidR="00CD37C6">
        <w:t xml:space="preserve"> </w:t>
      </w:r>
      <w:r>
        <w:t>as</w:t>
      </w:r>
      <w:r w:rsidR="00CD37C6">
        <w:t xml:space="preserve"> </w:t>
      </w:r>
      <w:r>
        <w:t>the</w:t>
      </w:r>
      <w:r w:rsidR="00CD37C6">
        <w:t xml:space="preserve"> </w:t>
      </w:r>
      <w:r>
        <w:t>rules</w:t>
      </w:r>
      <w:r w:rsidR="00CD37C6">
        <w:t xml:space="preserve"> </w:t>
      </w:r>
      <w:r>
        <w:t>legislated</w:t>
      </w:r>
      <w:r w:rsidR="00CD37C6">
        <w:t xml:space="preserve"> </w:t>
      </w:r>
      <w:r>
        <w:t>for</w:t>
      </w:r>
      <w:r w:rsidR="00CD37C6">
        <w:t xml:space="preserve"> </w:t>
      </w:r>
      <w:r>
        <w:t>the</w:t>
      </w:r>
      <w:r w:rsidR="00CD37C6">
        <w:t xml:space="preserve"> </w:t>
      </w:r>
      <w:r>
        <w:t>expenditure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levied</w:t>
      </w:r>
      <w:r w:rsidR="00CD37C6">
        <w:t xml:space="preserve"> </w:t>
      </w:r>
      <w:r>
        <w:t>funds.</w:t>
      </w:r>
    </w:p>
    <w:p w14:paraId="550DEDAF" w14:textId="5A52F8B0" w:rsidR="009F127E" w:rsidRDefault="00000000" w:rsidP="00EF3098">
      <w:pPr>
        <w:pStyle w:val="Normalbeforebullet"/>
      </w:pPr>
      <w:r>
        <w:t>The</w:t>
      </w:r>
      <w:r w:rsidR="00CD37C6">
        <w:t xml:space="preserve"> </w:t>
      </w:r>
      <w:r>
        <w:t>main</w:t>
      </w:r>
      <w:r w:rsidR="00CD37C6">
        <w:t xml:space="preserve"> </w:t>
      </w:r>
      <w:r>
        <w:t>purposes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Act</w:t>
      </w:r>
      <w:r w:rsidR="00CD37C6">
        <w:t xml:space="preserve"> </w:t>
      </w:r>
      <w:r>
        <w:t>are</w:t>
      </w:r>
      <w:r w:rsidR="00CD37C6">
        <w:t xml:space="preserve"> </w:t>
      </w:r>
      <w:r>
        <w:t>to</w:t>
      </w:r>
      <w:r w:rsidR="00CD37C6">
        <w:t xml:space="preserve"> </w:t>
      </w:r>
      <w:r>
        <w:t>provide:</w:t>
      </w:r>
    </w:p>
    <w:p w14:paraId="126423CD" w14:textId="6A8DF8D6" w:rsidR="009F127E" w:rsidRDefault="00000000" w:rsidP="008E4EA4">
      <w:pPr>
        <w:pStyle w:val="Bullet"/>
      </w:pPr>
      <w:r>
        <w:t>for</w:t>
      </w:r>
      <w:r w:rsidR="00CD37C6">
        <w:t xml:space="preserve"> </w:t>
      </w:r>
      <w:r>
        <w:t>the</w:t>
      </w:r>
      <w:r w:rsidR="00CD37C6">
        <w:t xml:space="preserve"> </w:t>
      </w:r>
      <w:r>
        <w:t>prevention,</w:t>
      </w:r>
      <w:r w:rsidR="00CD37C6">
        <w:t xml:space="preserve"> </w:t>
      </w:r>
      <w:r>
        <w:t>monitoring</w:t>
      </w:r>
      <w:r w:rsidR="00CD37C6">
        <w:t xml:space="preserve"> </w:t>
      </w:r>
      <w:r>
        <w:t>and</w:t>
      </w:r>
      <w:r w:rsidR="00CD37C6">
        <w:t xml:space="preserve"> </w:t>
      </w:r>
      <w:r>
        <w:t>control</w:t>
      </w:r>
      <w:r w:rsidR="00CD37C6">
        <w:t xml:space="preserve"> </w:t>
      </w:r>
      <w:r>
        <w:t>of</w:t>
      </w:r>
      <w:r w:rsidR="00CD37C6">
        <w:t xml:space="preserve"> </w:t>
      </w:r>
      <w:r>
        <w:t>livestock</w:t>
      </w:r>
      <w:r w:rsidR="00CD37C6">
        <w:t xml:space="preserve"> </w:t>
      </w:r>
      <w:r>
        <w:t>diseases,</w:t>
      </w:r>
      <w:r w:rsidR="00CD37C6">
        <w:t xml:space="preserve"> </w:t>
      </w:r>
      <w:r>
        <w:t>and</w:t>
      </w:r>
    </w:p>
    <w:p w14:paraId="26BE1F0E" w14:textId="262DB284" w:rsidR="009F127E" w:rsidRDefault="00000000" w:rsidP="00EF3098">
      <w:pPr>
        <w:pStyle w:val="Bulletlast"/>
      </w:pPr>
      <w:r>
        <w:t>compensation</w:t>
      </w:r>
      <w:r w:rsidR="00CD37C6">
        <w:t xml:space="preserve"> </w:t>
      </w:r>
      <w:r>
        <w:t>for</w:t>
      </w:r>
      <w:r w:rsidR="00CD37C6">
        <w:t xml:space="preserve"> </w:t>
      </w:r>
      <w:r>
        <w:t>losses</w:t>
      </w:r>
      <w:r w:rsidR="00CD37C6">
        <w:t xml:space="preserve"> </w:t>
      </w:r>
      <w:r>
        <w:t>caused</w:t>
      </w:r>
      <w:r w:rsidR="00CD37C6">
        <w:t xml:space="preserve"> </w:t>
      </w:r>
      <w:r>
        <w:t>by</w:t>
      </w:r>
      <w:r w:rsidR="00CD37C6">
        <w:t xml:space="preserve"> </w:t>
      </w:r>
      <w:r>
        <w:t>certain</w:t>
      </w:r>
      <w:r w:rsidR="00CD37C6">
        <w:t xml:space="preserve"> </w:t>
      </w:r>
      <w:r>
        <w:t>livestock</w:t>
      </w:r>
      <w:r w:rsidR="00CD37C6">
        <w:t xml:space="preserve"> </w:t>
      </w:r>
      <w:r>
        <w:t>diseases.</w:t>
      </w:r>
    </w:p>
    <w:p w14:paraId="66BA1CAC" w14:textId="3A0BA431" w:rsidR="009F127E" w:rsidRDefault="00000000" w:rsidP="00EF3098">
      <w:pPr>
        <w:pStyle w:val="Normalbeforebullet"/>
      </w:pPr>
      <w:r>
        <w:t>The</w:t>
      </w:r>
      <w:r w:rsidR="00CD37C6">
        <w:t xml:space="preserve"> </w:t>
      </w:r>
      <w:r>
        <w:t>objectives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Act</w:t>
      </w:r>
      <w:r w:rsidR="00CD37C6">
        <w:t xml:space="preserve"> </w:t>
      </w:r>
      <w:r>
        <w:t>are</w:t>
      </w:r>
      <w:r w:rsidR="00CD37C6">
        <w:t xml:space="preserve"> </w:t>
      </w:r>
      <w:r>
        <w:t>to:</w:t>
      </w:r>
    </w:p>
    <w:p w14:paraId="0CEAE25B" w14:textId="2A66AA81" w:rsidR="009F127E" w:rsidRDefault="00000000" w:rsidP="008E4EA4">
      <w:pPr>
        <w:pStyle w:val="Bulletlast"/>
      </w:pPr>
      <w:r>
        <w:t>protect</w:t>
      </w:r>
      <w:r w:rsidR="00CD37C6">
        <w:t xml:space="preserve"> </w:t>
      </w:r>
      <w:r>
        <w:t>public</w:t>
      </w:r>
      <w:r w:rsidR="00CD37C6">
        <w:t xml:space="preserve"> </w:t>
      </w:r>
      <w:r>
        <w:t>health</w:t>
      </w:r>
      <w:r w:rsidR="00CD37C6">
        <w:t xml:space="preserve"> </w:t>
      </w:r>
      <w:r>
        <w:t>by</w:t>
      </w:r>
      <w:r w:rsidR="00CD37C6">
        <w:t xml:space="preserve"> </w:t>
      </w:r>
      <w:r>
        <w:t>preventing,</w:t>
      </w:r>
      <w:r w:rsidR="00CD37C6">
        <w:t xml:space="preserve"> </w:t>
      </w:r>
      <w:proofErr w:type="gramStart"/>
      <w:r>
        <w:t>monitoring</w:t>
      </w:r>
      <w:proofErr w:type="gramEnd"/>
      <w:r w:rsidR="00CD37C6">
        <w:t xml:space="preserve"> </w:t>
      </w:r>
      <w:r>
        <w:t>and</w:t>
      </w:r>
      <w:r w:rsidR="00CD37C6">
        <w:t xml:space="preserve"> </w:t>
      </w:r>
      <w:r>
        <w:t>controlling</w:t>
      </w:r>
      <w:r w:rsidR="00CD37C6">
        <w:t xml:space="preserve"> </w:t>
      </w:r>
      <w:r>
        <w:t>diseases</w:t>
      </w:r>
      <w:r w:rsidR="00CD37C6">
        <w:t xml:space="preserve"> </w:t>
      </w:r>
      <w:r>
        <w:t>transmissible</w:t>
      </w:r>
      <w:r w:rsidR="00CD37C6">
        <w:t xml:space="preserve"> </w:t>
      </w:r>
      <w:r>
        <w:t>from</w:t>
      </w:r>
      <w:r w:rsidR="00CD37C6">
        <w:t xml:space="preserve"> </w:t>
      </w:r>
      <w:r>
        <w:t>livestock</w:t>
      </w:r>
      <w:r w:rsidR="00CD37C6">
        <w:t xml:space="preserve"> </w:t>
      </w:r>
      <w:r>
        <w:t>to</w:t>
      </w:r>
      <w:r w:rsidR="00CD37C6">
        <w:t xml:space="preserve"> </w:t>
      </w:r>
      <w:r>
        <w:t>humans</w:t>
      </w:r>
    </w:p>
    <w:p w14:paraId="29FA77CE" w14:textId="2599F693" w:rsidR="009F127E" w:rsidRDefault="00000000" w:rsidP="008E4EA4">
      <w:pPr>
        <w:pStyle w:val="Bulletlast"/>
      </w:pPr>
      <w:r>
        <w:t>protect</w:t>
      </w:r>
      <w:r w:rsidR="00CD37C6">
        <w:t xml:space="preserve"> </w:t>
      </w:r>
      <w:r>
        <w:t>domestic</w:t>
      </w:r>
      <w:r w:rsidR="00CD37C6">
        <w:t xml:space="preserve"> </w:t>
      </w:r>
      <w:r>
        <w:t>and</w:t>
      </w:r>
      <w:r w:rsidR="00CD37C6">
        <w:t xml:space="preserve"> </w:t>
      </w:r>
      <w:r>
        <w:t>export</w:t>
      </w:r>
      <w:r w:rsidR="00CD37C6">
        <w:t xml:space="preserve"> </w:t>
      </w:r>
      <w:r>
        <w:t>markets</w:t>
      </w:r>
      <w:r w:rsidR="00CD37C6">
        <w:t xml:space="preserve"> </w:t>
      </w:r>
      <w:r>
        <w:t>for</w:t>
      </w:r>
      <w:r w:rsidR="00CD37C6">
        <w:t xml:space="preserve"> </w:t>
      </w:r>
      <w:r>
        <w:t>livestock</w:t>
      </w:r>
      <w:r w:rsidR="00CD37C6">
        <w:t xml:space="preserve"> </w:t>
      </w:r>
      <w:r>
        <w:t>and</w:t>
      </w:r>
      <w:r w:rsidR="00CD37C6">
        <w:t xml:space="preserve"> </w:t>
      </w:r>
      <w:r>
        <w:t>livestock</w:t>
      </w:r>
      <w:r w:rsidR="00CD37C6">
        <w:t xml:space="preserve"> </w:t>
      </w:r>
      <w:r>
        <w:t>products</w:t>
      </w:r>
      <w:r w:rsidR="00CD37C6">
        <w:t xml:space="preserve"> </w:t>
      </w:r>
      <w:r>
        <w:t>by</w:t>
      </w:r>
      <w:r w:rsidR="00CD37C6">
        <w:t xml:space="preserve"> </w:t>
      </w:r>
      <w:r>
        <w:t>preventing,</w:t>
      </w:r>
      <w:r w:rsidR="00CD37C6">
        <w:t xml:space="preserve"> </w:t>
      </w:r>
      <w:proofErr w:type="gramStart"/>
      <w:r>
        <w:t>monitoring</w:t>
      </w:r>
      <w:proofErr w:type="gramEnd"/>
      <w:r w:rsidR="00CD37C6">
        <w:t xml:space="preserve"> </w:t>
      </w:r>
      <w:r>
        <w:t>and</w:t>
      </w:r>
      <w:r w:rsidR="00CD37C6">
        <w:t xml:space="preserve"> </w:t>
      </w:r>
      <w:r>
        <w:t>controlling</w:t>
      </w:r>
      <w:r w:rsidR="00CD37C6">
        <w:t xml:space="preserve"> </w:t>
      </w:r>
      <w:r>
        <w:t>livestock</w:t>
      </w:r>
      <w:r w:rsidR="00CD37C6">
        <w:t xml:space="preserve"> </w:t>
      </w:r>
      <w:r>
        <w:t>diseases</w:t>
      </w:r>
    </w:p>
    <w:p w14:paraId="08D2DCE7" w14:textId="17D6BBDD" w:rsidR="009F127E" w:rsidRDefault="00000000" w:rsidP="008E4EA4">
      <w:pPr>
        <w:pStyle w:val="Bulletlast"/>
      </w:pPr>
      <w:r>
        <w:t>provide</w:t>
      </w:r>
      <w:r w:rsidR="00CD37C6">
        <w:t xml:space="preserve"> </w:t>
      </w:r>
      <w:r>
        <w:t>for</w:t>
      </w:r>
      <w:r w:rsidR="00CD37C6">
        <w:t xml:space="preserve"> </w:t>
      </w:r>
      <w:r>
        <w:t>the</w:t>
      </w:r>
      <w:r w:rsidR="00CD37C6">
        <w:t xml:space="preserve"> </w:t>
      </w:r>
      <w:r>
        <w:t>preventing,</w:t>
      </w:r>
      <w:r w:rsidR="00CD37C6">
        <w:t xml:space="preserve"> </w:t>
      </w:r>
      <w:r>
        <w:t>monitoring</w:t>
      </w:r>
      <w:r w:rsidR="00CD37C6">
        <w:t xml:space="preserve"> </w:t>
      </w:r>
      <w:r>
        <w:t>and</w:t>
      </w:r>
      <w:r w:rsidR="00CD37C6">
        <w:t xml:space="preserve"> </w:t>
      </w:r>
      <w:r>
        <w:t>eradication</w:t>
      </w:r>
      <w:r w:rsidR="00CD37C6">
        <w:t xml:space="preserve"> </w:t>
      </w:r>
      <w:r>
        <w:t>of</w:t>
      </w:r>
      <w:r w:rsidR="00CD37C6">
        <w:t xml:space="preserve"> </w:t>
      </w:r>
      <w:r>
        <w:t>exotic</w:t>
      </w:r>
      <w:r w:rsidR="00CD37C6">
        <w:t xml:space="preserve"> </w:t>
      </w:r>
      <w:r>
        <w:t>livestock</w:t>
      </w:r>
      <w:r w:rsidR="00CD37C6">
        <w:t xml:space="preserve"> </w:t>
      </w:r>
      <w:r>
        <w:t>diseases</w:t>
      </w:r>
    </w:p>
    <w:p w14:paraId="1C712CD6" w14:textId="515CFA4E" w:rsidR="009F127E" w:rsidRDefault="00000000" w:rsidP="008E4EA4">
      <w:pPr>
        <w:pStyle w:val="Bulletlast"/>
      </w:pPr>
      <w:r>
        <w:t>provide</w:t>
      </w:r>
      <w:r w:rsidR="00CD37C6">
        <w:t xml:space="preserve"> </w:t>
      </w:r>
      <w:r>
        <w:t>compensation</w:t>
      </w:r>
      <w:r w:rsidR="00CD37C6">
        <w:t xml:space="preserve"> </w:t>
      </w:r>
      <w:r>
        <w:t>for</w:t>
      </w:r>
      <w:r w:rsidR="00CD37C6">
        <w:t xml:space="preserve"> </w:t>
      </w:r>
      <w:r>
        <w:t>certain</w:t>
      </w:r>
      <w:r w:rsidR="00CD37C6">
        <w:t xml:space="preserve"> </w:t>
      </w:r>
      <w:r>
        <w:t>losses</w:t>
      </w:r>
      <w:r w:rsidR="00CD37C6">
        <w:t xml:space="preserve"> </w:t>
      </w:r>
      <w:r>
        <w:t>caused</w:t>
      </w:r>
      <w:r w:rsidR="00CD37C6">
        <w:t xml:space="preserve"> </w:t>
      </w:r>
      <w:r>
        <w:t>by</w:t>
      </w:r>
      <w:r w:rsidR="00CD37C6">
        <w:t xml:space="preserve"> </w:t>
      </w:r>
      <w:r>
        <w:t>livestock</w:t>
      </w:r>
      <w:r w:rsidR="00CD37C6">
        <w:t xml:space="preserve"> </w:t>
      </w:r>
      <w:r>
        <w:t>diseases</w:t>
      </w:r>
    </w:p>
    <w:p w14:paraId="3CD1D9F2" w14:textId="7136B533" w:rsidR="009F127E" w:rsidRDefault="00000000" w:rsidP="008E4EA4">
      <w:pPr>
        <w:pStyle w:val="Bulletlast"/>
      </w:pPr>
      <w:r>
        <w:lastRenderedPageBreak/>
        <w:t>facilitate</w:t>
      </w:r>
      <w:r w:rsidR="00CD37C6">
        <w:t xml:space="preserve"> </w:t>
      </w:r>
      <w:r>
        <w:t>the</w:t>
      </w:r>
      <w:r w:rsidR="00CD37C6">
        <w:t xml:space="preserve"> </w:t>
      </w:r>
      <w:r>
        <w:t>operation</w:t>
      </w:r>
      <w:r w:rsidR="00CD37C6">
        <w:t xml:space="preserve"> </w:t>
      </w:r>
      <w:r>
        <w:t>of</w:t>
      </w:r>
      <w:r w:rsidR="00CD37C6">
        <w:t xml:space="preserve"> </w:t>
      </w:r>
      <w:r>
        <w:t>livestock</w:t>
      </w:r>
      <w:r w:rsidR="00CD37C6">
        <w:t xml:space="preserve"> </w:t>
      </w:r>
      <w:r>
        <w:t>identification</w:t>
      </w:r>
      <w:r w:rsidR="00CD37C6">
        <w:t xml:space="preserve"> </w:t>
      </w:r>
      <w:r>
        <w:t>and</w:t>
      </w:r>
      <w:r w:rsidR="00CD37C6">
        <w:t xml:space="preserve"> </w:t>
      </w:r>
      <w:r>
        <w:t>tracking</w:t>
      </w:r>
      <w:r w:rsidR="00CD37C6">
        <w:t xml:space="preserve"> </w:t>
      </w:r>
      <w:r>
        <w:t>programs</w:t>
      </w:r>
      <w:r w:rsidR="00CD37C6">
        <w:t xml:space="preserve"> </w:t>
      </w:r>
      <w:r>
        <w:t>for</w:t>
      </w:r>
      <w:r w:rsidR="00CD37C6">
        <w:t xml:space="preserve"> </w:t>
      </w:r>
      <w:r>
        <w:t>disease</w:t>
      </w:r>
      <w:r w:rsidR="00CD37C6">
        <w:t xml:space="preserve"> </w:t>
      </w:r>
      <w:r>
        <w:t>and</w:t>
      </w:r>
      <w:r w:rsidR="00CD37C6">
        <w:t xml:space="preserve"> </w:t>
      </w:r>
      <w:r>
        <w:t>residue</w:t>
      </w:r>
      <w:r w:rsidR="00CD37C6">
        <w:t xml:space="preserve"> </w:t>
      </w:r>
      <w:r>
        <w:t>control</w:t>
      </w:r>
      <w:r w:rsidR="00CD37C6">
        <w:t xml:space="preserve"> </w:t>
      </w:r>
      <w:r>
        <w:t>and</w:t>
      </w:r>
      <w:r w:rsidR="00CD37C6">
        <w:t xml:space="preserve"> </w:t>
      </w:r>
      <w:r>
        <w:t>market</w:t>
      </w:r>
      <w:r w:rsidR="00CD37C6">
        <w:t xml:space="preserve"> </w:t>
      </w:r>
      <w:r>
        <w:t>access.</w:t>
      </w:r>
    </w:p>
    <w:p w14:paraId="59A2E856" w14:textId="738BFAE8" w:rsidR="009F127E" w:rsidRPr="00EF3098" w:rsidRDefault="00000000" w:rsidP="00EF3098">
      <w:pPr>
        <w:pStyle w:val="Normalbeforebullet"/>
        <w:rPr>
          <w:rStyle w:val="Medium"/>
          <w:b/>
          <w:bCs/>
        </w:rPr>
      </w:pPr>
      <w:r w:rsidRPr="00EF3098">
        <w:rPr>
          <w:rStyle w:val="Medium"/>
          <w:b/>
          <w:bCs/>
        </w:rPr>
        <w:t>Expenditure</w:t>
      </w:r>
      <w:r w:rsidR="00CD37C6">
        <w:rPr>
          <w:rStyle w:val="Medium"/>
          <w:b/>
          <w:bCs/>
        </w:rPr>
        <w:t xml:space="preserve"> </w:t>
      </w:r>
      <w:r w:rsidRPr="00EF3098">
        <w:rPr>
          <w:rStyle w:val="Medium"/>
          <w:b/>
          <w:bCs/>
        </w:rPr>
        <w:t>from</w:t>
      </w:r>
      <w:r w:rsidR="00CD37C6">
        <w:rPr>
          <w:rStyle w:val="Medium"/>
          <w:b/>
          <w:bCs/>
        </w:rPr>
        <w:t xml:space="preserve"> </w:t>
      </w:r>
      <w:r w:rsidRPr="00EF3098">
        <w:rPr>
          <w:rStyle w:val="Medium"/>
          <w:b/>
          <w:bCs/>
        </w:rPr>
        <w:t>the</w:t>
      </w:r>
      <w:r w:rsidR="00CD37C6">
        <w:rPr>
          <w:rStyle w:val="Medium"/>
          <w:b/>
          <w:bCs/>
        </w:rPr>
        <w:t xml:space="preserve"> </w:t>
      </w:r>
      <w:r w:rsidRPr="00EF3098">
        <w:rPr>
          <w:rStyle w:val="Medium"/>
          <w:b/>
          <w:bCs/>
        </w:rPr>
        <w:t>Funds</w:t>
      </w:r>
    </w:p>
    <w:p w14:paraId="59B819C3" w14:textId="3962BAEF" w:rsidR="009F127E" w:rsidRDefault="00000000" w:rsidP="008E4EA4">
      <w:r>
        <w:t>The</w:t>
      </w:r>
      <w:r w:rsidR="00CD37C6">
        <w:t xml:space="preserve"> </w:t>
      </w:r>
      <w:r>
        <w:t>Act</w:t>
      </w:r>
      <w:r w:rsidR="00CD37C6">
        <w:t xml:space="preserve"> </w:t>
      </w:r>
      <w:r>
        <w:t>sets</w:t>
      </w:r>
      <w:r w:rsidR="00CD37C6">
        <w:t xml:space="preserve"> </w:t>
      </w:r>
      <w:r>
        <w:t>out</w:t>
      </w:r>
      <w:r w:rsidR="00CD37C6">
        <w:t xml:space="preserve"> </w:t>
      </w:r>
      <w:r>
        <w:t>the</w:t>
      </w:r>
      <w:r w:rsidR="00CD37C6">
        <w:t xml:space="preserve"> </w:t>
      </w:r>
      <w:r>
        <w:t>broad</w:t>
      </w:r>
      <w:r w:rsidR="00CD37C6">
        <w:t xml:space="preserve"> </w:t>
      </w:r>
      <w:r>
        <w:t>purposes</w:t>
      </w:r>
      <w:r w:rsidR="00CD37C6">
        <w:t xml:space="preserve"> </w:t>
      </w:r>
      <w:r>
        <w:t>for</w:t>
      </w:r>
      <w:r w:rsidR="00CD37C6">
        <w:t xml:space="preserve"> </w:t>
      </w:r>
      <w:r>
        <w:t>which</w:t>
      </w:r>
      <w:r w:rsidR="00CD37C6">
        <w:t xml:space="preserve"> </w:t>
      </w:r>
      <w:r>
        <w:t>each</w:t>
      </w:r>
      <w:r w:rsidR="00CD37C6">
        <w:t xml:space="preserve"> </w:t>
      </w:r>
      <w:r>
        <w:t>fund</w:t>
      </w:r>
      <w:r w:rsidR="00CD37C6">
        <w:t xml:space="preserve"> </w:t>
      </w:r>
      <w:r>
        <w:t>may</w:t>
      </w:r>
      <w:r w:rsidR="00CD37C6">
        <w:t xml:space="preserve"> </w:t>
      </w:r>
      <w:r>
        <w:t>be</w:t>
      </w:r>
      <w:r w:rsidR="00CD37C6">
        <w:t xml:space="preserve"> </w:t>
      </w:r>
      <w:r>
        <w:t>used,</w:t>
      </w:r>
      <w:r w:rsidR="00CD37C6">
        <w:t xml:space="preserve"> </w:t>
      </w:r>
      <w:r>
        <w:t>generally</w:t>
      </w:r>
      <w:r w:rsidR="00CD37C6">
        <w:t xml:space="preserve"> </w:t>
      </w:r>
      <w:r>
        <w:t>for</w:t>
      </w:r>
      <w:r w:rsidR="00CD37C6">
        <w:t xml:space="preserve"> </w:t>
      </w:r>
      <w:r>
        <w:t>compensatory</w:t>
      </w:r>
      <w:r w:rsidR="00CD37C6">
        <w:t xml:space="preserve"> </w:t>
      </w:r>
      <w:r>
        <w:t>purposes,</w:t>
      </w:r>
      <w:r w:rsidR="00CD37C6">
        <w:t xml:space="preserve"> </w:t>
      </w:r>
      <w:r>
        <w:t>as</w:t>
      </w:r>
      <w:r w:rsidR="00CD37C6">
        <w:t xml:space="preserve"> </w:t>
      </w:r>
      <w:r>
        <w:t>well</w:t>
      </w:r>
      <w:r w:rsidR="00CD37C6">
        <w:t xml:space="preserve"> </w:t>
      </w:r>
      <w:r>
        <w:t>as</w:t>
      </w:r>
      <w:r w:rsidR="00CD37C6">
        <w:t xml:space="preserve"> </w:t>
      </w:r>
      <w:r>
        <w:t>projects</w:t>
      </w:r>
      <w:r w:rsidR="00CD37C6">
        <w:t xml:space="preserve"> </w:t>
      </w:r>
      <w:r>
        <w:t>and</w:t>
      </w:r>
      <w:r w:rsidR="00CD37C6">
        <w:t xml:space="preserve"> </w:t>
      </w:r>
      <w:r>
        <w:t>programs</w:t>
      </w:r>
      <w:r w:rsidR="00CD37C6">
        <w:t xml:space="preserve"> </w:t>
      </w:r>
      <w:r>
        <w:t>that</w:t>
      </w:r>
      <w:r w:rsidR="00CD37C6">
        <w:t xml:space="preserve"> </w:t>
      </w:r>
      <w:r>
        <w:t>may</w:t>
      </w:r>
      <w:r w:rsidR="00CD37C6">
        <w:t xml:space="preserve"> </w:t>
      </w:r>
      <w:r>
        <w:t>benefit</w:t>
      </w:r>
      <w:r w:rsidR="00CD37C6">
        <w:t xml:space="preserve"> </w:t>
      </w:r>
      <w:r>
        <w:t>the</w:t>
      </w:r>
      <w:r w:rsidR="00CD37C6">
        <w:t xml:space="preserve"> </w:t>
      </w:r>
      <w:r>
        <w:t>respective</w:t>
      </w:r>
      <w:r w:rsidR="00CD37C6">
        <w:t xml:space="preserve"> </w:t>
      </w:r>
      <w:r>
        <w:t>livestock</w:t>
      </w:r>
      <w:r w:rsidR="00CD37C6">
        <w:t xml:space="preserve"> </w:t>
      </w:r>
      <w:r>
        <w:t>industries</w:t>
      </w:r>
      <w:r w:rsidR="00CD37C6">
        <w:t xml:space="preserve"> </w:t>
      </w:r>
      <w:r>
        <w:t>in</w:t>
      </w:r>
      <w:r w:rsidR="00CD37C6">
        <w:t xml:space="preserve"> </w:t>
      </w:r>
      <w:r>
        <w:t>Victoria.</w:t>
      </w:r>
    </w:p>
    <w:p w14:paraId="06C1249C" w14:textId="4406C188" w:rsidR="009F127E" w:rsidRDefault="00000000" w:rsidP="00EF3098">
      <w:pPr>
        <w:pStyle w:val="Normalbeforebullet"/>
      </w:pPr>
      <w:r>
        <w:t>All</w:t>
      </w:r>
      <w:r w:rsidR="00CD37C6">
        <w:t xml:space="preserve"> </w:t>
      </w:r>
      <w:r>
        <w:t>expenditure</w:t>
      </w:r>
      <w:r w:rsidR="00CD37C6">
        <w:t xml:space="preserve"> </w:t>
      </w:r>
      <w:r>
        <w:t>from</w:t>
      </w:r>
      <w:r w:rsidR="00CD37C6">
        <w:t xml:space="preserve"> </w:t>
      </w:r>
      <w:r>
        <w:t>the</w:t>
      </w:r>
      <w:r w:rsidR="00CD37C6">
        <w:t xml:space="preserve"> </w:t>
      </w:r>
      <w:r>
        <w:t>funds</w:t>
      </w:r>
      <w:r w:rsidR="00CD37C6">
        <w:t xml:space="preserve"> </w:t>
      </w:r>
      <w:r>
        <w:t>require</w:t>
      </w:r>
      <w:r w:rsidR="00CD37C6">
        <w:t xml:space="preserve"> </w:t>
      </w:r>
      <w:r>
        <w:t>approval</w:t>
      </w:r>
      <w:r w:rsidR="00CD37C6">
        <w:t xml:space="preserve"> </w:t>
      </w:r>
      <w:r>
        <w:t>from</w:t>
      </w:r>
      <w:r w:rsidR="00CD37C6">
        <w:t xml:space="preserve"> </w:t>
      </w:r>
      <w:r>
        <w:t>the</w:t>
      </w:r>
      <w:r w:rsidR="00CD37C6">
        <w:t xml:space="preserve"> </w:t>
      </w:r>
      <w:r>
        <w:t>Minister</w:t>
      </w:r>
      <w:r w:rsidR="00CD37C6">
        <w:t xml:space="preserve"> </w:t>
      </w:r>
      <w:r>
        <w:t>for</w:t>
      </w:r>
      <w:r w:rsidR="00CD37C6">
        <w:t xml:space="preserve"> </w:t>
      </w:r>
      <w:r>
        <w:t>Agriculture,</w:t>
      </w:r>
      <w:r w:rsidR="00CD37C6">
        <w:t xml:space="preserve"> </w:t>
      </w:r>
      <w:r>
        <w:t>after</w:t>
      </w:r>
      <w:r w:rsidR="00CD37C6">
        <w:t xml:space="preserve"> </w:t>
      </w:r>
      <w:r>
        <w:t>considering</w:t>
      </w:r>
      <w:r w:rsidR="00CD37C6">
        <w:t xml:space="preserve"> </w:t>
      </w:r>
      <w:r>
        <w:t>the</w:t>
      </w:r>
      <w:r w:rsidR="00CD37C6">
        <w:t xml:space="preserve"> </w:t>
      </w:r>
      <w:r>
        <w:t>advice</w:t>
      </w:r>
      <w:r w:rsidR="00CD37C6">
        <w:t xml:space="preserve"> </w:t>
      </w:r>
      <w:r>
        <w:t>from</w:t>
      </w:r>
      <w:r w:rsidR="00CD37C6">
        <w:t xml:space="preserve"> </w:t>
      </w:r>
      <w:r>
        <w:t>the</w:t>
      </w:r>
      <w:r w:rsidR="00CD37C6">
        <w:t xml:space="preserve"> </w:t>
      </w:r>
      <w:r>
        <w:t>respective</w:t>
      </w:r>
      <w:r w:rsidR="00CD37C6">
        <w:t xml:space="preserve"> </w:t>
      </w:r>
      <w:r>
        <w:t>advisory</w:t>
      </w:r>
      <w:r w:rsidR="00CD37C6">
        <w:t xml:space="preserve"> </w:t>
      </w:r>
      <w:r>
        <w:t>committee.</w:t>
      </w:r>
      <w:r w:rsidR="00CD37C6">
        <w:t xml:space="preserve"> </w:t>
      </w:r>
      <w:r>
        <w:t>The</w:t>
      </w:r>
      <w:r w:rsidR="00CD37C6">
        <w:t xml:space="preserve"> </w:t>
      </w:r>
      <w:r>
        <w:t>four</w:t>
      </w:r>
      <w:r w:rsidR="00CD37C6">
        <w:t xml:space="preserve"> </w:t>
      </w:r>
      <w:r>
        <w:t>advisory</w:t>
      </w:r>
      <w:r w:rsidR="00CD37C6">
        <w:t xml:space="preserve"> </w:t>
      </w:r>
      <w:r>
        <w:t>committees</w:t>
      </w:r>
      <w:r w:rsidR="00CD37C6">
        <w:t xml:space="preserve"> </w:t>
      </w:r>
      <w:r>
        <w:t>are:</w:t>
      </w:r>
    </w:p>
    <w:p w14:paraId="3AA63530" w14:textId="61215257" w:rsidR="009F127E" w:rsidRDefault="00000000" w:rsidP="008E4EA4">
      <w:pPr>
        <w:pStyle w:val="Bullet"/>
      </w:pPr>
      <w:r>
        <w:t>Cattle</w:t>
      </w:r>
      <w:r w:rsidR="00CD37C6">
        <w:t xml:space="preserve"> </w:t>
      </w:r>
      <w:r>
        <w:t>Compensation</w:t>
      </w:r>
      <w:r w:rsidR="00CD37C6">
        <w:t xml:space="preserve"> </w:t>
      </w:r>
      <w:r>
        <w:t>Advisory</w:t>
      </w:r>
      <w:r w:rsidR="00CD37C6">
        <w:t xml:space="preserve"> </w:t>
      </w:r>
      <w:r>
        <w:t>Committee</w:t>
      </w:r>
      <w:r w:rsidR="00CD37C6">
        <w:t xml:space="preserve"> </w:t>
      </w:r>
    </w:p>
    <w:p w14:paraId="155334FA" w14:textId="6FAE43DE" w:rsidR="009F127E" w:rsidRDefault="00000000" w:rsidP="008E4EA4">
      <w:pPr>
        <w:pStyle w:val="Bullet"/>
      </w:pPr>
      <w:r>
        <w:t>Sheep</w:t>
      </w:r>
      <w:r w:rsidR="00CD37C6">
        <w:t xml:space="preserve"> </w:t>
      </w:r>
      <w:r>
        <w:t>and</w:t>
      </w:r>
      <w:r w:rsidR="00CD37C6">
        <w:t xml:space="preserve"> </w:t>
      </w:r>
      <w:r>
        <w:t>Goat</w:t>
      </w:r>
      <w:r w:rsidR="00CD37C6">
        <w:t xml:space="preserve"> </w:t>
      </w:r>
      <w:r>
        <w:t>Compensation</w:t>
      </w:r>
      <w:r w:rsidR="00CD37C6">
        <w:t xml:space="preserve"> </w:t>
      </w:r>
      <w:r>
        <w:t>Advisory</w:t>
      </w:r>
      <w:r w:rsidR="00CD37C6">
        <w:t xml:space="preserve"> </w:t>
      </w:r>
      <w:r>
        <w:t>Committee</w:t>
      </w:r>
      <w:r w:rsidR="00CD37C6">
        <w:t xml:space="preserve"> </w:t>
      </w:r>
    </w:p>
    <w:p w14:paraId="342419B0" w14:textId="64BCD9AB" w:rsidR="009F127E" w:rsidRDefault="00000000" w:rsidP="008E4EA4">
      <w:pPr>
        <w:pStyle w:val="Bullet"/>
      </w:pPr>
      <w:r>
        <w:t>Swine</w:t>
      </w:r>
      <w:r w:rsidR="00CD37C6">
        <w:t xml:space="preserve"> </w:t>
      </w:r>
      <w:r>
        <w:t>Industry</w:t>
      </w:r>
      <w:r w:rsidR="00CD37C6">
        <w:t xml:space="preserve"> </w:t>
      </w:r>
      <w:r>
        <w:t>Projects</w:t>
      </w:r>
      <w:r w:rsidR="00CD37C6">
        <w:t xml:space="preserve"> </w:t>
      </w:r>
      <w:r>
        <w:t>Advisory</w:t>
      </w:r>
      <w:r w:rsidR="00CD37C6">
        <w:t xml:space="preserve"> </w:t>
      </w:r>
      <w:r>
        <w:t>Committee</w:t>
      </w:r>
    </w:p>
    <w:p w14:paraId="67FA379F" w14:textId="59923929" w:rsidR="009F127E" w:rsidRDefault="00000000" w:rsidP="008E4EA4">
      <w:pPr>
        <w:pStyle w:val="Bulletlast"/>
      </w:pPr>
      <w:r>
        <w:t>Apicultural</w:t>
      </w:r>
      <w:r w:rsidR="00CD37C6">
        <w:t xml:space="preserve"> </w:t>
      </w:r>
      <w:r>
        <w:t>Industry</w:t>
      </w:r>
      <w:r w:rsidR="00CD37C6">
        <w:t xml:space="preserve"> </w:t>
      </w:r>
      <w:r>
        <w:t>Advisory</w:t>
      </w:r>
      <w:r w:rsidR="00CD37C6">
        <w:t xml:space="preserve"> </w:t>
      </w:r>
      <w:r>
        <w:t>Committee.</w:t>
      </w:r>
    </w:p>
    <w:p w14:paraId="0534C1EE" w14:textId="1A7F4DD9" w:rsidR="009F127E" w:rsidRDefault="00000000" w:rsidP="00EF3098">
      <w:pPr>
        <w:pStyle w:val="Normalbeforebullet"/>
      </w:pPr>
      <w:r>
        <w:t>The</w:t>
      </w:r>
      <w:r w:rsidR="00CD37C6">
        <w:t xml:space="preserve"> </w:t>
      </w:r>
      <w:r>
        <w:t>current</w:t>
      </w:r>
      <w:r w:rsidR="00CD37C6">
        <w:t xml:space="preserve"> </w:t>
      </w:r>
      <w:r>
        <w:t>membership</w:t>
      </w:r>
      <w:r w:rsidR="00CD37C6">
        <w:t xml:space="preserve"> </w:t>
      </w:r>
      <w:r>
        <w:t>was</w:t>
      </w:r>
      <w:r w:rsidR="00CD37C6">
        <w:t xml:space="preserve"> </w:t>
      </w:r>
      <w:r>
        <w:t>nominated</w:t>
      </w:r>
      <w:r w:rsidR="00CD37C6">
        <w:t xml:space="preserve"> </w:t>
      </w:r>
      <w:r>
        <w:t>by</w:t>
      </w:r>
      <w:r w:rsidR="00CD37C6">
        <w:t xml:space="preserve"> </w:t>
      </w:r>
      <w:r>
        <w:t>the</w:t>
      </w:r>
      <w:r w:rsidR="00CD37C6">
        <w:t xml:space="preserve"> </w:t>
      </w:r>
      <w:r>
        <w:t>following</w:t>
      </w:r>
      <w:r w:rsidR="00CD37C6">
        <w:t xml:space="preserve"> </w:t>
      </w:r>
      <w:r>
        <w:t>industry</w:t>
      </w:r>
      <w:r w:rsidR="00CD37C6">
        <w:t xml:space="preserve"> </w:t>
      </w:r>
      <w:r>
        <w:t>bodies,</w:t>
      </w:r>
      <w:r w:rsidR="00CD37C6">
        <w:t xml:space="preserve"> </w:t>
      </w:r>
      <w:r>
        <w:t>consistent</w:t>
      </w:r>
      <w:r w:rsidR="00CD37C6">
        <w:t xml:space="preserve"> </w:t>
      </w:r>
      <w:r>
        <w:t>with</w:t>
      </w:r>
      <w:r w:rsidR="00CD37C6">
        <w:t xml:space="preserve"> </w:t>
      </w:r>
      <w:r>
        <w:t>the</w:t>
      </w:r>
      <w:r w:rsidR="00CD37C6">
        <w:t xml:space="preserve"> </w:t>
      </w:r>
      <w:r>
        <w:t>Act:</w:t>
      </w:r>
    </w:p>
    <w:p w14:paraId="540081E7" w14:textId="707B73FC" w:rsidR="009F127E" w:rsidRDefault="00000000" w:rsidP="008E4EA4">
      <w:pPr>
        <w:pStyle w:val="Bullet"/>
      </w:pPr>
      <w:r>
        <w:t>Victorian</w:t>
      </w:r>
      <w:r w:rsidR="00CD37C6">
        <w:t xml:space="preserve"> </w:t>
      </w:r>
      <w:r>
        <w:t>Farmers</w:t>
      </w:r>
      <w:r w:rsidR="00CD37C6">
        <w:t xml:space="preserve"> </w:t>
      </w:r>
      <w:r>
        <w:t>Federation</w:t>
      </w:r>
    </w:p>
    <w:p w14:paraId="32846ED5" w14:textId="7FD4BCB9" w:rsidR="009F127E" w:rsidRDefault="00000000" w:rsidP="008E4EA4">
      <w:pPr>
        <w:pStyle w:val="Bullet"/>
      </w:pPr>
      <w:r>
        <w:t>Australian</w:t>
      </w:r>
      <w:r w:rsidR="00CD37C6">
        <w:t xml:space="preserve"> </w:t>
      </w:r>
      <w:r>
        <w:t>Livestock</w:t>
      </w:r>
      <w:r w:rsidR="00CD37C6">
        <w:t xml:space="preserve"> </w:t>
      </w:r>
      <w:r>
        <w:t>and</w:t>
      </w:r>
      <w:r w:rsidR="00CD37C6">
        <w:t xml:space="preserve"> </w:t>
      </w:r>
      <w:r>
        <w:t>Property</w:t>
      </w:r>
      <w:r w:rsidR="00CD37C6">
        <w:t xml:space="preserve"> </w:t>
      </w:r>
      <w:r>
        <w:t>Agents</w:t>
      </w:r>
      <w:r w:rsidR="00CD37C6">
        <w:t xml:space="preserve"> </w:t>
      </w:r>
      <w:r>
        <w:t>Association</w:t>
      </w:r>
    </w:p>
    <w:p w14:paraId="1D9CBB25" w14:textId="5F0A9C93" w:rsidR="009F127E" w:rsidRDefault="00000000" w:rsidP="008E4EA4">
      <w:pPr>
        <w:pStyle w:val="Bullet"/>
      </w:pPr>
      <w:r>
        <w:t>Australian</w:t>
      </w:r>
      <w:r w:rsidR="00CD37C6">
        <w:t xml:space="preserve"> </w:t>
      </w:r>
      <w:r>
        <w:t>Meat</w:t>
      </w:r>
      <w:r w:rsidR="00CD37C6">
        <w:t xml:space="preserve"> </w:t>
      </w:r>
      <w:r>
        <w:t>Industry</w:t>
      </w:r>
      <w:r w:rsidR="00CD37C6">
        <w:t xml:space="preserve"> </w:t>
      </w:r>
      <w:r>
        <w:t>Council</w:t>
      </w:r>
    </w:p>
    <w:p w14:paraId="20C44526" w14:textId="4639F12B" w:rsidR="009F127E" w:rsidRDefault="00000000" w:rsidP="008E4EA4">
      <w:pPr>
        <w:pStyle w:val="Bulletlast"/>
      </w:pPr>
      <w:r>
        <w:t>Victorian</w:t>
      </w:r>
      <w:r w:rsidR="00CD37C6">
        <w:t xml:space="preserve"> </w:t>
      </w:r>
      <w:r>
        <w:t>Apiarists’</w:t>
      </w:r>
      <w:r w:rsidR="00CD37C6">
        <w:t xml:space="preserve"> </w:t>
      </w:r>
      <w:r>
        <w:t>Association.</w:t>
      </w:r>
    </w:p>
    <w:p w14:paraId="249D79F4" w14:textId="7F2B521B" w:rsidR="009F127E" w:rsidRDefault="00000000" w:rsidP="008E4EA4">
      <w:r>
        <w:t>The</w:t>
      </w:r>
      <w:r w:rsidR="00CD37C6">
        <w:t xml:space="preserve"> </w:t>
      </w:r>
      <w:r>
        <w:t>department</w:t>
      </w:r>
      <w:r w:rsidR="00CD37C6">
        <w:t xml:space="preserve"> </w:t>
      </w:r>
      <w:r>
        <w:t>is</w:t>
      </w:r>
      <w:r w:rsidR="00CD37C6">
        <w:t xml:space="preserve"> </w:t>
      </w:r>
      <w:r>
        <w:t>also</w:t>
      </w:r>
      <w:r w:rsidR="00CD37C6">
        <w:t xml:space="preserve"> </w:t>
      </w:r>
      <w:r>
        <w:t>required</w:t>
      </w:r>
      <w:r w:rsidR="00CD37C6">
        <w:t xml:space="preserve"> </w:t>
      </w:r>
      <w:r>
        <w:t>to</w:t>
      </w:r>
      <w:r w:rsidR="00CD37C6">
        <w:t xml:space="preserve"> </w:t>
      </w:r>
      <w:r>
        <w:t>nominate</w:t>
      </w:r>
      <w:r w:rsidR="00CD37C6">
        <w:t xml:space="preserve"> </w:t>
      </w:r>
      <w:r>
        <w:t>individuals</w:t>
      </w:r>
      <w:r w:rsidR="00CD37C6">
        <w:t xml:space="preserve"> </w:t>
      </w:r>
      <w:r>
        <w:t>to</w:t>
      </w:r>
      <w:r w:rsidR="00CD37C6">
        <w:t xml:space="preserve"> </w:t>
      </w:r>
      <w:r>
        <w:t>the</w:t>
      </w:r>
      <w:r w:rsidR="00CD37C6">
        <w:t xml:space="preserve"> </w:t>
      </w:r>
      <w:r>
        <w:t>advisory</w:t>
      </w:r>
      <w:r w:rsidR="00CD37C6">
        <w:t xml:space="preserve"> </w:t>
      </w:r>
      <w:r>
        <w:t>committees.</w:t>
      </w:r>
    </w:p>
    <w:p w14:paraId="485C537E" w14:textId="35D49801" w:rsidR="009F127E" w:rsidRDefault="00000000" w:rsidP="008E4EA4">
      <w:r>
        <w:t>The</w:t>
      </w:r>
      <w:r w:rsidR="00CD37C6">
        <w:t xml:space="preserve"> </w:t>
      </w:r>
      <w:r>
        <w:t>Minister</w:t>
      </w:r>
      <w:r w:rsidR="00CD37C6">
        <w:t xml:space="preserve"> </w:t>
      </w:r>
      <w:r>
        <w:t>for</w:t>
      </w:r>
      <w:r w:rsidR="00CD37C6">
        <w:t xml:space="preserve"> </w:t>
      </w:r>
      <w:r>
        <w:t>Agriculture</w:t>
      </w:r>
      <w:r w:rsidR="00CD37C6">
        <w:t xml:space="preserve"> </w:t>
      </w:r>
      <w:r>
        <w:t>may</w:t>
      </w:r>
      <w:r w:rsidR="00CD37C6">
        <w:t xml:space="preserve"> </w:t>
      </w:r>
      <w:r>
        <w:t>also</w:t>
      </w:r>
      <w:r w:rsidR="00CD37C6">
        <w:t xml:space="preserve"> </w:t>
      </w:r>
      <w:r>
        <w:t>approve</w:t>
      </w:r>
      <w:r w:rsidR="00CD37C6">
        <w:t xml:space="preserve"> </w:t>
      </w:r>
      <w:r>
        <w:t>funding</w:t>
      </w:r>
      <w:r w:rsidR="00CD37C6">
        <w:t xml:space="preserve"> </w:t>
      </w:r>
      <w:r>
        <w:t>from</w:t>
      </w:r>
      <w:r w:rsidR="00CD37C6">
        <w:t xml:space="preserve"> </w:t>
      </w:r>
      <w:r>
        <w:t>the</w:t>
      </w:r>
      <w:r w:rsidR="00CD37C6">
        <w:t xml:space="preserve"> </w:t>
      </w:r>
      <w:r>
        <w:t>respective</w:t>
      </w:r>
      <w:r w:rsidR="00CD37C6">
        <w:t xml:space="preserve"> </w:t>
      </w:r>
      <w:r>
        <w:t>livestock</w:t>
      </w:r>
      <w:r w:rsidR="00CD37C6">
        <w:t xml:space="preserve"> </w:t>
      </w:r>
      <w:r>
        <w:t>funds</w:t>
      </w:r>
      <w:r w:rsidR="00CD37C6">
        <w:t xml:space="preserve"> </w:t>
      </w:r>
      <w:r>
        <w:t>for</w:t>
      </w:r>
      <w:r w:rsidR="00CD37C6">
        <w:t xml:space="preserve"> </w:t>
      </w:r>
      <w:r>
        <w:t>projects</w:t>
      </w:r>
      <w:r w:rsidR="00CD37C6">
        <w:t xml:space="preserve"> </w:t>
      </w:r>
      <w:r>
        <w:t>which</w:t>
      </w:r>
      <w:r w:rsidR="00CD37C6">
        <w:t xml:space="preserve"> </w:t>
      </w:r>
      <w:r>
        <w:t>are</w:t>
      </w:r>
      <w:r w:rsidR="00CD37C6">
        <w:t xml:space="preserve"> </w:t>
      </w:r>
      <w:r>
        <w:t>not</w:t>
      </w:r>
      <w:r w:rsidR="00CD37C6">
        <w:t xml:space="preserve"> </w:t>
      </w:r>
      <w:r>
        <w:t>part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competitive</w:t>
      </w:r>
      <w:r w:rsidR="00CD37C6">
        <w:t xml:space="preserve"> </w:t>
      </w:r>
      <w:r>
        <w:t>process</w:t>
      </w:r>
      <w:r w:rsidR="00CD37C6">
        <w:t xml:space="preserve"> </w:t>
      </w:r>
      <w:r>
        <w:t>outlined</w:t>
      </w:r>
      <w:r w:rsidR="00CD37C6">
        <w:t xml:space="preserve"> </w:t>
      </w:r>
      <w:r>
        <w:t>in</w:t>
      </w:r>
      <w:r w:rsidR="00CD37C6">
        <w:t xml:space="preserve"> </w:t>
      </w:r>
      <w:r>
        <w:t>these</w:t>
      </w:r>
      <w:r w:rsidR="00CD37C6">
        <w:t xml:space="preserve"> </w:t>
      </w:r>
      <w:r>
        <w:t>guidelines,</w:t>
      </w:r>
      <w:r w:rsidR="00CD37C6">
        <w:t xml:space="preserve"> </w:t>
      </w:r>
      <w:r>
        <w:t>and</w:t>
      </w:r>
      <w:r w:rsidR="00CD37C6">
        <w:t xml:space="preserve"> </w:t>
      </w:r>
      <w:r>
        <w:t>which</w:t>
      </w:r>
      <w:r w:rsidR="00CD37C6">
        <w:t xml:space="preserve"> </w:t>
      </w:r>
      <w:r>
        <w:t>are</w:t>
      </w:r>
      <w:r w:rsidR="00CD37C6">
        <w:t xml:space="preserve"> </w:t>
      </w:r>
      <w:r>
        <w:t>deemed</w:t>
      </w:r>
      <w:r w:rsidR="00CD37C6">
        <w:t xml:space="preserve"> </w:t>
      </w:r>
      <w:r>
        <w:t>the</w:t>
      </w:r>
      <w:r w:rsidR="00CD37C6">
        <w:t xml:space="preserve"> </w:t>
      </w:r>
      <w:r>
        <w:t>most</w:t>
      </w:r>
      <w:r w:rsidR="00CD37C6">
        <w:t xml:space="preserve"> </w:t>
      </w:r>
      <w:r>
        <w:t>effective</w:t>
      </w:r>
      <w:r w:rsidR="00CD37C6">
        <w:t xml:space="preserve"> </w:t>
      </w:r>
      <w:r>
        <w:t>and</w:t>
      </w:r>
      <w:r w:rsidR="00CD37C6">
        <w:t xml:space="preserve"> </w:t>
      </w:r>
      <w:r>
        <w:t>efficient</w:t>
      </w:r>
      <w:r w:rsidR="00CD37C6">
        <w:t xml:space="preserve"> </w:t>
      </w:r>
      <w:r>
        <w:t>solution</w:t>
      </w:r>
      <w:r w:rsidR="00CD37C6">
        <w:t xml:space="preserve"> </w:t>
      </w:r>
      <w:r>
        <w:t>to</w:t>
      </w:r>
      <w:r w:rsidR="00CD37C6">
        <w:t xml:space="preserve"> </w:t>
      </w:r>
      <w:r>
        <w:t>an</w:t>
      </w:r>
      <w:r w:rsidR="00CD37C6">
        <w:t xml:space="preserve"> </w:t>
      </w:r>
      <w:r>
        <w:t>issue</w:t>
      </w:r>
      <w:r w:rsidR="00CD37C6">
        <w:t xml:space="preserve"> </w:t>
      </w:r>
      <w:r>
        <w:t>covered</w:t>
      </w:r>
      <w:r w:rsidR="00CD37C6">
        <w:t xml:space="preserve"> </w:t>
      </w:r>
      <w:r>
        <w:t>by</w:t>
      </w:r>
      <w:r w:rsidR="00CD37C6">
        <w:t xml:space="preserve"> </w:t>
      </w:r>
      <w:r>
        <w:t>the</w:t>
      </w:r>
      <w:r w:rsidR="00CD37C6">
        <w:t xml:space="preserve"> </w:t>
      </w:r>
      <w:r>
        <w:t>funds.</w:t>
      </w:r>
    </w:p>
    <w:p w14:paraId="18FBD80D" w14:textId="73D6A67C" w:rsidR="009F127E" w:rsidRDefault="00000000" w:rsidP="008E4EA4">
      <w:r>
        <w:t>Such</w:t>
      </w:r>
      <w:r w:rsidR="00CD37C6">
        <w:t xml:space="preserve"> </w:t>
      </w:r>
      <w:r>
        <w:t>projects</w:t>
      </w:r>
      <w:r w:rsidR="00CD37C6">
        <w:t xml:space="preserve"> </w:t>
      </w:r>
      <w:r>
        <w:t>may</w:t>
      </w:r>
      <w:r w:rsidR="00CD37C6">
        <w:t xml:space="preserve"> </w:t>
      </w:r>
      <w:r>
        <w:t>be</w:t>
      </w:r>
      <w:r w:rsidR="00CD37C6">
        <w:t xml:space="preserve"> </w:t>
      </w:r>
      <w:r>
        <w:t>delivered</w:t>
      </w:r>
      <w:r w:rsidR="00CD37C6">
        <w:t xml:space="preserve"> </w:t>
      </w:r>
      <w:r>
        <w:t>by</w:t>
      </w:r>
      <w:r w:rsidR="00CD37C6">
        <w:t xml:space="preserve"> </w:t>
      </w:r>
      <w:r>
        <w:t>other</w:t>
      </w:r>
      <w:r w:rsidR="00CD37C6">
        <w:t xml:space="preserve"> </w:t>
      </w:r>
      <w:r>
        <w:t>means</w:t>
      </w:r>
      <w:r w:rsidR="00CD37C6">
        <w:t xml:space="preserve"> </w:t>
      </w:r>
      <w:r>
        <w:t>such</w:t>
      </w:r>
      <w:r w:rsidR="00CD37C6">
        <w:t xml:space="preserve"> </w:t>
      </w:r>
      <w:r>
        <w:t>as</w:t>
      </w:r>
      <w:r w:rsidR="00CD37C6">
        <w:t xml:space="preserve"> </w:t>
      </w:r>
      <w:r>
        <w:t>through</w:t>
      </w:r>
      <w:r w:rsidR="00CD37C6">
        <w:t xml:space="preserve"> </w:t>
      </w:r>
      <w:r>
        <w:t>a</w:t>
      </w:r>
      <w:r w:rsidR="00CD37C6">
        <w:t xml:space="preserve"> </w:t>
      </w:r>
      <w:r>
        <w:t>procurement</w:t>
      </w:r>
      <w:r w:rsidR="00CD37C6">
        <w:t xml:space="preserve"> </w:t>
      </w:r>
      <w:r>
        <w:t>process</w:t>
      </w:r>
      <w:r w:rsidR="00CD37C6">
        <w:t xml:space="preserve"> </w:t>
      </w:r>
      <w:r>
        <w:t>or</w:t>
      </w:r>
      <w:r w:rsidR="00CD37C6">
        <w:t xml:space="preserve"> </w:t>
      </w:r>
      <w:r>
        <w:t>by</w:t>
      </w:r>
      <w:r w:rsidR="00CD37C6">
        <w:t xml:space="preserve"> </w:t>
      </w:r>
      <w:r>
        <w:t>a</w:t>
      </w:r>
      <w:r w:rsidR="00CD37C6">
        <w:t xml:space="preserve"> </w:t>
      </w:r>
      <w:r>
        <w:t>Victorian</w:t>
      </w:r>
      <w:r w:rsidR="00CD37C6">
        <w:t xml:space="preserve"> </w:t>
      </w:r>
      <w:r>
        <w:t>state</w:t>
      </w:r>
      <w:r w:rsidR="00CD37C6">
        <w:t xml:space="preserve"> </w:t>
      </w:r>
      <w:r>
        <w:t>government</w:t>
      </w:r>
      <w:r w:rsidR="00CD37C6">
        <w:t xml:space="preserve"> </w:t>
      </w:r>
      <w:r>
        <w:t>entity</w:t>
      </w:r>
      <w:r w:rsidR="00CD37C6">
        <w:t xml:space="preserve"> </w:t>
      </w:r>
      <w:r>
        <w:t>and</w:t>
      </w:r>
      <w:r w:rsidR="00CD37C6">
        <w:t xml:space="preserve"> </w:t>
      </w:r>
      <w:r>
        <w:t>are</w:t>
      </w:r>
      <w:r w:rsidR="00CD37C6">
        <w:t xml:space="preserve"> </w:t>
      </w:r>
      <w:r>
        <w:t>reviewed</w:t>
      </w:r>
      <w:r w:rsidR="00CD37C6">
        <w:t xml:space="preserve"> </w:t>
      </w:r>
      <w:r>
        <w:t>and</w:t>
      </w:r>
      <w:r w:rsidR="00CD37C6">
        <w:t xml:space="preserve"> </w:t>
      </w:r>
      <w:r>
        <w:t>considered</w:t>
      </w:r>
      <w:r w:rsidR="00CD37C6">
        <w:t xml:space="preserve"> </w:t>
      </w:r>
      <w:r>
        <w:t>after</w:t>
      </w:r>
      <w:r w:rsidR="00CD37C6">
        <w:t xml:space="preserve"> </w:t>
      </w:r>
      <w:r>
        <w:t>the</w:t>
      </w:r>
      <w:r w:rsidR="00CD37C6">
        <w:t xml:space="preserve"> </w:t>
      </w:r>
      <w:r>
        <w:t>competitive</w:t>
      </w:r>
      <w:r w:rsidR="00CD37C6">
        <w:t xml:space="preserve"> </w:t>
      </w:r>
      <w:r>
        <w:t>round</w:t>
      </w:r>
      <w:r w:rsidR="00CD37C6">
        <w:t xml:space="preserve"> </w:t>
      </w:r>
      <w:r>
        <w:t>or</w:t>
      </w:r>
      <w:r w:rsidR="00CD37C6">
        <w:t xml:space="preserve"> </w:t>
      </w:r>
      <w:r>
        <w:t>as</w:t>
      </w:r>
      <w:r w:rsidR="00CD37C6">
        <w:t xml:space="preserve"> </w:t>
      </w:r>
      <w:r>
        <w:t>a</w:t>
      </w:r>
      <w:r w:rsidR="00CD37C6">
        <w:t xml:space="preserve"> </w:t>
      </w:r>
      <w:r>
        <w:t>part</w:t>
      </w:r>
      <w:r w:rsidR="00CD37C6">
        <w:t xml:space="preserve"> </w:t>
      </w:r>
      <w:r>
        <w:t>of</w:t>
      </w:r>
      <w:r w:rsidR="00CD37C6">
        <w:t xml:space="preserve"> </w:t>
      </w:r>
      <w:r>
        <w:t>a</w:t>
      </w:r>
      <w:r w:rsidR="00CD37C6">
        <w:t xml:space="preserve"> </w:t>
      </w:r>
      <w:r>
        <w:t>targeted</w:t>
      </w:r>
      <w:r w:rsidR="00CD37C6">
        <w:t xml:space="preserve"> </w:t>
      </w:r>
      <w:r>
        <w:t>process.</w:t>
      </w:r>
      <w:r w:rsidR="00CD37C6">
        <w:t xml:space="preserve"> </w:t>
      </w:r>
      <w:r>
        <w:t>Such</w:t>
      </w:r>
      <w:r w:rsidR="00CD37C6">
        <w:t xml:space="preserve"> </w:t>
      </w:r>
      <w:r>
        <w:t>approvals</w:t>
      </w:r>
      <w:r w:rsidR="00CD37C6">
        <w:t xml:space="preserve"> </w:t>
      </w:r>
      <w:r>
        <w:t>are</w:t>
      </w:r>
      <w:r w:rsidR="00CD37C6">
        <w:t xml:space="preserve"> </w:t>
      </w:r>
      <w:r>
        <w:t>subject</w:t>
      </w:r>
      <w:r w:rsidR="00CD37C6">
        <w:t xml:space="preserve"> </w:t>
      </w:r>
      <w:r>
        <w:t>to</w:t>
      </w:r>
      <w:r w:rsidR="00CD37C6">
        <w:t xml:space="preserve"> </w:t>
      </w:r>
      <w:r>
        <w:t>consideration</w:t>
      </w:r>
      <w:r w:rsidR="00CD37C6">
        <w:t xml:space="preserve"> </w:t>
      </w:r>
      <w:r>
        <w:t>and</w:t>
      </w:r>
      <w:r w:rsidR="00CD37C6">
        <w:t xml:space="preserve"> </w:t>
      </w:r>
      <w:r>
        <w:t>recommendations</w:t>
      </w:r>
      <w:r w:rsidR="00CD37C6">
        <w:t xml:space="preserve"> </w:t>
      </w:r>
      <w:r>
        <w:t>to</w:t>
      </w:r>
      <w:r w:rsidR="00CD37C6">
        <w:t xml:space="preserve"> </w:t>
      </w:r>
      <w:r>
        <w:t>the</w:t>
      </w:r>
      <w:r w:rsidR="00CD37C6">
        <w:t xml:space="preserve"> </w:t>
      </w:r>
      <w:r>
        <w:t>Minister</w:t>
      </w:r>
      <w:r w:rsidR="00CD37C6">
        <w:t xml:space="preserve"> </w:t>
      </w:r>
      <w:r>
        <w:t>for</w:t>
      </w:r>
      <w:r w:rsidR="00CD37C6">
        <w:t xml:space="preserve"> </w:t>
      </w:r>
      <w:r>
        <w:t>Agriculture</w:t>
      </w:r>
      <w:r w:rsidR="00CD37C6">
        <w:t xml:space="preserve"> </w:t>
      </w:r>
      <w:r>
        <w:t>from</w:t>
      </w:r>
      <w:r w:rsidR="00CD37C6">
        <w:t xml:space="preserve"> </w:t>
      </w:r>
      <w:r>
        <w:t>the</w:t>
      </w:r>
      <w:r w:rsidR="00CD37C6">
        <w:t xml:space="preserve"> </w:t>
      </w:r>
      <w:r>
        <w:t>relevant</w:t>
      </w:r>
      <w:r w:rsidR="00CD37C6">
        <w:t xml:space="preserve"> </w:t>
      </w:r>
      <w:r>
        <w:t>livestock</w:t>
      </w:r>
      <w:r w:rsidR="00CD37C6">
        <w:t xml:space="preserve"> </w:t>
      </w:r>
      <w:r>
        <w:t>compensation</w:t>
      </w:r>
      <w:r w:rsidR="00CD37C6">
        <w:t xml:space="preserve"> </w:t>
      </w:r>
      <w:r>
        <w:t>advisory</w:t>
      </w:r>
      <w:r w:rsidR="00CD37C6">
        <w:t xml:space="preserve"> </w:t>
      </w:r>
      <w:r>
        <w:t>committee.</w:t>
      </w:r>
    </w:p>
    <w:p w14:paraId="109C24F2" w14:textId="64E77137" w:rsidR="009F127E" w:rsidRDefault="00000000" w:rsidP="008E4EA4">
      <w:pPr>
        <w:pStyle w:val="Heading2"/>
      </w:pPr>
      <w:bookmarkStart w:id="3" w:name="_Toc116548261"/>
      <w:r>
        <w:t>3.</w:t>
      </w:r>
      <w:r>
        <w:tab/>
      </w:r>
      <w:r w:rsidR="009B4482">
        <w:t xml:space="preserve"> </w:t>
      </w:r>
      <w:r>
        <w:t>GRANT</w:t>
      </w:r>
      <w:r w:rsidR="00CD37C6">
        <w:t xml:space="preserve"> </w:t>
      </w:r>
      <w:r>
        <w:t>FUNDING</w:t>
      </w:r>
      <w:bookmarkEnd w:id="3"/>
    </w:p>
    <w:p w14:paraId="5142108F" w14:textId="77777777" w:rsidR="009F127E" w:rsidRPr="00EF3098" w:rsidRDefault="00000000" w:rsidP="00EF3098">
      <w:pPr>
        <w:pStyle w:val="Normalbeforebullet"/>
        <w:rPr>
          <w:rStyle w:val="Medium"/>
          <w:b/>
          <w:bCs/>
        </w:rPr>
      </w:pPr>
      <w:r w:rsidRPr="00EF3098">
        <w:rPr>
          <w:rStyle w:val="Medium"/>
          <w:b/>
          <w:bCs/>
        </w:rPr>
        <w:t>Vision</w:t>
      </w:r>
    </w:p>
    <w:p w14:paraId="6E822413" w14:textId="14B9DB9D" w:rsidR="009F127E" w:rsidRDefault="00000000" w:rsidP="008E4EA4">
      <w:r>
        <w:t>The</w:t>
      </w:r>
      <w:r w:rsidR="00CD37C6">
        <w:t xml:space="preserve"> </w:t>
      </w:r>
      <w:r>
        <w:t>Program</w:t>
      </w:r>
      <w:r w:rsidR="00CD37C6">
        <w:t xml:space="preserve"> </w:t>
      </w:r>
      <w:r>
        <w:t>aims</w:t>
      </w:r>
      <w:r w:rsidR="00CD37C6">
        <w:t xml:space="preserve"> </w:t>
      </w:r>
      <w:r>
        <w:t>to</w:t>
      </w:r>
      <w:r w:rsidR="00CD37C6">
        <w:t xml:space="preserve"> </w:t>
      </w:r>
      <w:r>
        <w:t>fund</w:t>
      </w:r>
      <w:r w:rsidR="00CD37C6">
        <w:t xml:space="preserve"> </w:t>
      </w:r>
      <w:r>
        <w:t>projects</w:t>
      </w:r>
      <w:r w:rsidR="00CD37C6">
        <w:t xml:space="preserve"> </w:t>
      </w:r>
      <w:r>
        <w:t>and</w:t>
      </w:r>
      <w:r w:rsidR="00CD37C6">
        <w:t xml:space="preserve"> </w:t>
      </w:r>
      <w:r>
        <w:t>programs</w:t>
      </w:r>
      <w:r w:rsidR="00CD37C6">
        <w:t xml:space="preserve"> </w:t>
      </w:r>
      <w:r>
        <w:t>that</w:t>
      </w:r>
      <w:r w:rsidR="00CD37C6">
        <w:t xml:space="preserve"> </w:t>
      </w:r>
      <w:r>
        <w:t>prevent,</w:t>
      </w:r>
      <w:r w:rsidR="00CD37C6">
        <w:t xml:space="preserve"> </w:t>
      </w:r>
      <w:r>
        <w:t>monitor,</w:t>
      </w:r>
      <w:r w:rsidR="00CD37C6">
        <w:t xml:space="preserve"> </w:t>
      </w:r>
      <w:r>
        <w:t>and</w:t>
      </w:r>
      <w:r w:rsidR="00CD37C6">
        <w:t xml:space="preserve"> </w:t>
      </w:r>
      <w:r>
        <w:t>control</w:t>
      </w:r>
      <w:r w:rsidR="00CD37C6">
        <w:t xml:space="preserve"> </w:t>
      </w:r>
      <w:r>
        <w:t>diseases,</w:t>
      </w:r>
      <w:r w:rsidR="00CD37C6">
        <w:t xml:space="preserve"> </w:t>
      </w:r>
      <w:r>
        <w:t>thereby</w:t>
      </w:r>
      <w:r w:rsidR="00CD37C6">
        <w:t xml:space="preserve"> </w:t>
      </w:r>
      <w:r>
        <w:t>enhancing</w:t>
      </w:r>
      <w:r w:rsidR="00CD37C6">
        <w:t xml:space="preserve"> </w:t>
      </w:r>
      <w:r>
        <w:t>animal</w:t>
      </w:r>
      <w:r w:rsidR="00CD37C6">
        <w:t xml:space="preserve"> </w:t>
      </w:r>
      <w:r>
        <w:t>health,</w:t>
      </w:r>
      <w:r w:rsidR="00CD37C6">
        <w:t xml:space="preserve"> </w:t>
      </w:r>
      <w:r>
        <w:t>biosecurity</w:t>
      </w:r>
      <w:r w:rsidR="00CD37C6">
        <w:t xml:space="preserve"> </w:t>
      </w:r>
      <w:r>
        <w:t>and</w:t>
      </w:r>
      <w:r w:rsidR="00CD37C6">
        <w:t xml:space="preserve"> </w:t>
      </w:r>
      <w:r>
        <w:t>market</w:t>
      </w:r>
      <w:r w:rsidR="00CD37C6">
        <w:t xml:space="preserve"> </w:t>
      </w:r>
      <w:r>
        <w:t>access</w:t>
      </w:r>
      <w:r w:rsidR="00CD37C6">
        <w:t xml:space="preserve"> </w:t>
      </w:r>
      <w:r>
        <w:t>for</w:t>
      </w:r>
      <w:r w:rsidR="00CD37C6">
        <w:t xml:space="preserve"> </w:t>
      </w:r>
      <w:r>
        <w:t>the</w:t>
      </w:r>
      <w:r w:rsidR="00CD37C6">
        <w:t xml:space="preserve"> </w:t>
      </w:r>
      <w:r>
        <w:t>benefit</w:t>
      </w:r>
      <w:r w:rsidR="00CD37C6">
        <w:t xml:space="preserve"> </w:t>
      </w:r>
      <w:r>
        <w:t>of</w:t>
      </w:r>
      <w:r w:rsidR="00CD37C6">
        <w:t xml:space="preserve"> </w:t>
      </w:r>
      <w:r>
        <w:t>Victorian</w:t>
      </w:r>
      <w:r w:rsidR="00CD37C6">
        <w:t xml:space="preserve"> </w:t>
      </w:r>
      <w:r>
        <w:t>cattle,</w:t>
      </w:r>
      <w:r w:rsidR="00CD37C6">
        <w:t xml:space="preserve"> </w:t>
      </w:r>
      <w:r>
        <w:t>sheep,</w:t>
      </w:r>
      <w:r w:rsidR="00CD37C6">
        <w:t xml:space="preserve"> </w:t>
      </w:r>
      <w:r>
        <w:t>goat,</w:t>
      </w:r>
      <w:r w:rsidR="00CD37C6">
        <w:t xml:space="preserve"> </w:t>
      </w:r>
      <w:r>
        <w:t>swine</w:t>
      </w:r>
      <w:r w:rsidR="00CD37C6">
        <w:t xml:space="preserve"> </w:t>
      </w:r>
      <w:r>
        <w:t>and</w:t>
      </w:r>
      <w:r w:rsidR="00CD37C6">
        <w:t xml:space="preserve"> </w:t>
      </w:r>
      <w:proofErr w:type="gramStart"/>
      <w:r>
        <w:t>honey</w:t>
      </w:r>
      <w:r w:rsidR="00CD37C6">
        <w:t xml:space="preserve"> </w:t>
      </w:r>
      <w:r>
        <w:t>bee</w:t>
      </w:r>
      <w:proofErr w:type="gramEnd"/>
      <w:r w:rsidR="00CD37C6">
        <w:t xml:space="preserve"> </w:t>
      </w:r>
      <w:r>
        <w:t>industries.</w:t>
      </w:r>
    </w:p>
    <w:p w14:paraId="11AEDCD9" w14:textId="77777777" w:rsidR="009F127E" w:rsidRPr="00EF3098" w:rsidRDefault="00000000" w:rsidP="00EF3098">
      <w:pPr>
        <w:pStyle w:val="Normalbeforebullet"/>
        <w:rPr>
          <w:rStyle w:val="Medium"/>
          <w:b/>
          <w:bCs/>
        </w:rPr>
      </w:pPr>
      <w:r w:rsidRPr="00EF3098">
        <w:rPr>
          <w:rStyle w:val="Medium"/>
          <w:b/>
          <w:bCs/>
        </w:rPr>
        <w:t>Principles</w:t>
      </w:r>
    </w:p>
    <w:p w14:paraId="7C5B32B1" w14:textId="2AC3E41E" w:rsidR="009F127E" w:rsidRDefault="00000000" w:rsidP="00EF3098">
      <w:pPr>
        <w:pStyle w:val="Normalbeforebullet"/>
      </w:pPr>
      <w:r>
        <w:t>Program</w:t>
      </w:r>
      <w:r w:rsidR="00CD37C6">
        <w:t xml:space="preserve"> </w:t>
      </w:r>
      <w:r>
        <w:t>funds</w:t>
      </w:r>
      <w:r w:rsidR="00CD37C6">
        <w:t xml:space="preserve"> </w:t>
      </w:r>
      <w:r>
        <w:t>are</w:t>
      </w:r>
      <w:r w:rsidR="00CD37C6">
        <w:t xml:space="preserve"> </w:t>
      </w:r>
      <w:r>
        <w:t>used</w:t>
      </w:r>
      <w:r w:rsidR="00CD37C6">
        <w:t xml:space="preserve"> </w:t>
      </w:r>
      <w:r>
        <w:t>for</w:t>
      </w:r>
      <w:r w:rsidR="00CD37C6">
        <w:t xml:space="preserve"> </w:t>
      </w:r>
      <w:r>
        <w:t>projects</w:t>
      </w:r>
      <w:r w:rsidR="00CD37C6">
        <w:t xml:space="preserve"> </w:t>
      </w:r>
      <w:r>
        <w:t>producing</w:t>
      </w:r>
      <w:r w:rsidR="00CD37C6">
        <w:t xml:space="preserve"> </w:t>
      </w:r>
      <w:r>
        <w:t>outcomes</w:t>
      </w:r>
      <w:r w:rsidR="00CD37C6">
        <w:t xml:space="preserve"> </w:t>
      </w:r>
      <w:r>
        <w:t>consistent</w:t>
      </w:r>
      <w:r w:rsidR="00CD37C6">
        <w:t xml:space="preserve"> </w:t>
      </w:r>
      <w:r>
        <w:t>with</w:t>
      </w:r>
      <w:r w:rsidR="00CD37C6">
        <w:t xml:space="preserve"> </w:t>
      </w:r>
      <w:r>
        <w:t>the</w:t>
      </w:r>
      <w:r w:rsidR="00CD37C6">
        <w:t xml:space="preserve"> </w:t>
      </w:r>
      <w:r>
        <w:t>Act</w:t>
      </w:r>
      <w:r w:rsidR="00CD37C6">
        <w:t xml:space="preserve"> </w:t>
      </w:r>
      <w:r>
        <w:t>which</w:t>
      </w:r>
      <w:r w:rsidR="00CD37C6">
        <w:t xml:space="preserve"> </w:t>
      </w:r>
      <w:r>
        <w:t>demonstrates</w:t>
      </w:r>
      <w:r w:rsidR="00CD37C6">
        <w:t xml:space="preserve"> </w:t>
      </w:r>
      <w:r>
        <w:t>the</w:t>
      </w:r>
      <w:r w:rsidR="00CD37C6">
        <w:t xml:space="preserve"> </w:t>
      </w:r>
      <w:r>
        <w:t>following</w:t>
      </w:r>
      <w:r w:rsidR="00CD37C6">
        <w:t xml:space="preserve"> </w:t>
      </w:r>
      <w:r>
        <w:t>principles:</w:t>
      </w:r>
    </w:p>
    <w:p w14:paraId="51B4A38A" w14:textId="72529562" w:rsidR="009F127E" w:rsidRDefault="00000000" w:rsidP="008E4EA4">
      <w:pPr>
        <w:pStyle w:val="Bullet"/>
      </w:pPr>
      <w:r>
        <w:t>Innovative</w:t>
      </w:r>
      <w:r w:rsidR="00CD37C6">
        <w:t xml:space="preserve"> </w:t>
      </w:r>
      <w:r>
        <w:t>solutions</w:t>
      </w:r>
      <w:r w:rsidR="00CD37C6">
        <w:t xml:space="preserve"> </w:t>
      </w:r>
      <w:r>
        <w:t>and</w:t>
      </w:r>
      <w:r w:rsidR="00CD37C6">
        <w:t xml:space="preserve"> </w:t>
      </w:r>
      <w:r>
        <w:t>emerging</w:t>
      </w:r>
      <w:r w:rsidR="00CD37C6">
        <w:t xml:space="preserve"> </w:t>
      </w:r>
      <w:r>
        <w:t>technologies</w:t>
      </w:r>
      <w:r w:rsidR="00CD37C6">
        <w:t xml:space="preserve"> </w:t>
      </w:r>
      <w:r>
        <w:t>for</w:t>
      </w:r>
      <w:r w:rsidR="00CD37C6">
        <w:t xml:space="preserve"> </w:t>
      </w:r>
      <w:r>
        <w:t>unsolved</w:t>
      </w:r>
      <w:r w:rsidR="00CD37C6">
        <w:t xml:space="preserve"> </w:t>
      </w:r>
      <w:r>
        <w:t>livestock</w:t>
      </w:r>
      <w:r w:rsidR="00CD37C6">
        <w:t xml:space="preserve"> </w:t>
      </w:r>
      <w:r>
        <w:t>biosecurity</w:t>
      </w:r>
      <w:r w:rsidR="00CD37C6">
        <w:t xml:space="preserve"> </w:t>
      </w:r>
      <w:r>
        <w:t>issues,</w:t>
      </w:r>
      <w:r w:rsidR="00CD37C6">
        <w:t xml:space="preserve"> </w:t>
      </w:r>
      <w:r>
        <w:t>needs</w:t>
      </w:r>
      <w:r w:rsidR="00CD37C6">
        <w:t xml:space="preserve"> </w:t>
      </w:r>
      <w:r>
        <w:t>or</w:t>
      </w:r>
      <w:r w:rsidR="00CD37C6">
        <w:t xml:space="preserve"> </w:t>
      </w:r>
      <w:r>
        <w:t>gaps.</w:t>
      </w:r>
    </w:p>
    <w:p w14:paraId="19F2CD10" w14:textId="501655C0" w:rsidR="009F127E" w:rsidRDefault="00000000" w:rsidP="008E4EA4">
      <w:pPr>
        <w:pStyle w:val="Bullet"/>
      </w:pPr>
      <w:r>
        <w:t>Collaboration</w:t>
      </w:r>
      <w:r w:rsidR="00CD37C6">
        <w:t xml:space="preserve"> </w:t>
      </w:r>
      <w:r>
        <w:t>where</w:t>
      </w:r>
      <w:r w:rsidR="00CD37C6">
        <w:t xml:space="preserve"> </w:t>
      </w:r>
      <w:r>
        <w:t>possible</w:t>
      </w:r>
      <w:r w:rsidR="00CD37C6">
        <w:t xml:space="preserve"> </w:t>
      </w:r>
      <w:r>
        <w:t>across</w:t>
      </w:r>
      <w:r w:rsidR="00CD37C6">
        <w:t xml:space="preserve"> </w:t>
      </w:r>
      <w:r>
        <w:t>value</w:t>
      </w:r>
      <w:r w:rsidR="00CD37C6">
        <w:t xml:space="preserve"> </w:t>
      </w:r>
      <w:r>
        <w:t>chains.</w:t>
      </w:r>
    </w:p>
    <w:p w14:paraId="12B18FD2" w14:textId="764AFE57" w:rsidR="009F127E" w:rsidRDefault="00000000" w:rsidP="008E4EA4">
      <w:pPr>
        <w:pStyle w:val="Bulletlast"/>
      </w:pPr>
      <w:r>
        <w:t>Quantifiable</w:t>
      </w:r>
      <w:r w:rsidR="00CD37C6">
        <w:t xml:space="preserve"> </w:t>
      </w:r>
      <w:r>
        <w:t>benefits</w:t>
      </w:r>
      <w:r w:rsidR="00CD37C6">
        <w:t xml:space="preserve"> </w:t>
      </w:r>
      <w:r>
        <w:t>to</w:t>
      </w:r>
      <w:r w:rsidR="00CD37C6">
        <w:t xml:space="preserve"> </w:t>
      </w:r>
      <w:r>
        <w:t>the</w:t>
      </w:r>
      <w:r w:rsidR="00CD37C6">
        <w:t xml:space="preserve"> </w:t>
      </w:r>
      <w:r>
        <w:t>whole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livestock</w:t>
      </w:r>
      <w:r w:rsidR="00CD37C6">
        <w:t xml:space="preserve"> </w:t>
      </w:r>
      <w:r>
        <w:t>industries,</w:t>
      </w:r>
      <w:r w:rsidR="00CD37C6">
        <w:t xml:space="preserve"> </w:t>
      </w:r>
      <w:r>
        <w:t>which</w:t>
      </w:r>
      <w:r w:rsidR="00CD37C6">
        <w:t xml:space="preserve"> </w:t>
      </w:r>
      <w:r>
        <w:t>are</w:t>
      </w:r>
      <w:r w:rsidR="00CD37C6">
        <w:t xml:space="preserve"> </w:t>
      </w:r>
      <w:r>
        <w:t>measured</w:t>
      </w:r>
      <w:r w:rsidR="00CD37C6">
        <w:t xml:space="preserve"> </w:t>
      </w:r>
      <w:r>
        <w:t>and</w:t>
      </w:r>
      <w:r w:rsidR="00CD37C6">
        <w:t xml:space="preserve"> </w:t>
      </w:r>
      <w:r>
        <w:t>evaluated</w:t>
      </w:r>
      <w:r w:rsidR="00CD37C6">
        <w:t xml:space="preserve"> </w:t>
      </w:r>
      <w:r>
        <w:t>with</w:t>
      </w:r>
      <w:r w:rsidR="00CD37C6">
        <w:t xml:space="preserve"> </w:t>
      </w:r>
      <w:r>
        <w:t>evidence</w:t>
      </w:r>
      <w:r w:rsidR="00CD37C6">
        <w:t xml:space="preserve"> </w:t>
      </w:r>
      <w:r>
        <w:t>and</w:t>
      </w:r>
      <w:r w:rsidR="00CD37C6">
        <w:t xml:space="preserve"> </w:t>
      </w:r>
      <w:r>
        <w:t>data.</w:t>
      </w:r>
    </w:p>
    <w:p w14:paraId="40E716D3" w14:textId="0F7B9FAD" w:rsidR="009F127E" w:rsidRPr="00EF3098" w:rsidRDefault="00000000" w:rsidP="00EF3098">
      <w:pPr>
        <w:pStyle w:val="Normalbeforebullet"/>
        <w:rPr>
          <w:rStyle w:val="Medium"/>
          <w:b/>
          <w:bCs/>
        </w:rPr>
      </w:pPr>
      <w:r w:rsidRPr="00EF3098">
        <w:rPr>
          <w:rStyle w:val="Medium"/>
          <w:b/>
          <w:bCs/>
        </w:rPr>
        <w:lastRenderedPageBreak/>
        <w:t>Funding</w:t>
      </w:r>
      <w:r w:rsidR="00CD37C6">
        <w:rPr>
          <w:rStyle w:val="Medium"/>
          <w:b/>
          <w:bCs/>
        </w:rPr>
        <w:t xml:space="preserve"> </w:t>
      </w:r>
      <w:r w:rsidRPr="00EF3098">
        <w:rPr>
          <w:rStyle w:val="Medium"/>
          <w:b/>
          <w:bCs/>
        </w:rPr>
        <w:t>Streams</w:t>
      </w:r>
    </w:p>
    <w:p w14:paraId="7C636495" w14:textId="5651F6EF" w:rsidR="009F127E" w:rsidRDefault="00000000" w:rsidP="008E4EA4">
      <w:r>
        <w:t>The</w:t>
      </w:r>
      <w:r w:rsidR="00CD37C6">
        <w:t xml:space="preserve"> </w:t>
      </w:r>
      <w:r>
        <w:t>Program</w:t>
      </w:r>
      <w:r w:rsidR="00CD37C6">
        <w:t xml:space="preserve"> </w:t>
      </w:r>
      <w:r>
        <w:t>comprises</w:t>
      </w:r>
      <w:r w:rsidR="00CD37C6">
        <w:t xml:space="preserve"> </w:t>
      </w:r>
      <w:r>
        <w:t>four</w:t>
      </w:r>
      <w:r w:rsidR="00CD37C6">
        <w:t xml:space="preserve"> </w:t>
      </w:r>
      <w:r>
        <w:t>streams</w:t>
      </w:r>
      <w:r w:rsidR="00CD37C6">
        <w:t xml:space="preserve"> </w:t>
      </w:r>
      <w:r>
        <w:t>covering</w:t>
      </w:r>
      <w:r w:rsidR="00CD37C6">
        <w:t xml:space="preserve"> </w:t>
      </w:r>
      <w:r>
        <w:t>the</w:t>
      </w:r>
      <w:r w:rsidR="00CD37C6">
        <w:t xml:space="preserve"> </w:t>
      </w:r>
      <w:r>
        <w:t>cattle,</w:t>
      </w:r>
      <w:r w:rsidR="00CD37C6">
        <w:t xml:space="preserve"> </w:t>
      </w:r>
      <w:r>
        <w:t>sheep,</w:t>
      </w:r>
      <w:r w:rsidR="00CD37C6">
        <w:t xml:space="preserve"> </w:t>
      </w:r>
      <w:r>
        <w:t>goat,</w:t>
      </w:r>
      <w:r w:rsidR="00CD37C6">
        <w:t xml:space="preserve"> </w:t>
      </w:r>
      <w:r>
        <w:t>swine</w:t>
      </w:r>
      <w:r w:rsidR="00CD37C6">
        <w:t xml:space="preserve"> </w:t>
      </w:r>
      <w:r>
        <w:t>and</w:t>
      </w:r>
      <w:r w:rsidR="00CD37C6">
        <w:t xml:space="preserve"> </w:t>
      </w:r>
      <w:proofErr w:type="gramStart"/>
      <w:r>
        <w:t>honey</w:t>
      </w:r>
      <w:r w:rsidR="00CD37C6">
        <w:t xml:space="preserve"> </w:t>
      </w:r>
      <w:r>
        <w:t>bee</w:t>
      </w:r>
      <w:proofErr w:type="gramEnd"/>
      <w:r w:rsidR="00CD37C6">
        <w:t xml:space="preserve"> </w:t>
      </w:r>
      <w:r>
        <w:t>industries.</w:t>
      </w:r>
    </w:p>
    <w:p w14:paraId="0C16905C" w14:textId="3664C6B9" w:rsidR="009F127E" w:rsidRDefault="00000000" w:rsidP="008E4EA4">
      <w:r>
        <w:t>Each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funds</w:t>
      </w:r>
      <w:r w:rsidR="00CD37C6">
        <w:t xml:space="preserve"> </w:t>
      </w:r>
      <w:r>
        <w:t>has</w:t>
      </w:r>
      <w:r w:rsidR="00CD37C6">
        <w:t xml:space="preserve"> </w:t>
      </w:r>
      <w:r>
        <w:t>a</w:t>
      </w:r>
      <w:r w:rsidR="00CD37C6">
        <w:t xml:space="preserve"> </w:t>
      </w:r>
      <w:r>
        <w:t>statement</w:t>
      </w:r>
      <w:r w:rsidR="00CD37C6">
        <w:t xml:space="preserve"> </w:t>
      </w:r>
      <w:r>
        <w:t>of</w:t>
      </w:r>
      <w:r w:rsidR="00CD37C6">
        <w:t xml:space="preserve"> </w:t>
      </w:r>
      <w:r>
        <w:t>strategic</w:t>
      </w:r>
      <w:r w:rsidR="00CD37C6">
        <w:t xml:space="preserve"> </w:t>
      </w:r>
      <w:r>
        <w:t>intent,</w:t>
      </w:r>
      <w:r w:rsidR="00CD37C6">
        <w:t xml:space="preserve"> </w:t>
      </w:r>
      <w:r>
        <w:t>outlining</w:t>
      </w:r>
      <w:r w:rsidR="00CD37C6">
        <w:t xml:space="preserve"> </w:t>
      </w:r>
      <w:r>
        <w:t>areas</w:t>
      </w:r>
      <w:r w:rsidR="00CD37C6">
        <w:t xml:space="preserve"> </w:t>
      </w:r>
      <w:r>
        <w:t>for</w:t>
      </w:r>
      <w:r w:rsidR="00CD37C6">
        <w:t xml:space="preserve"> </w:t>
      </w:r>
      <w:r>
        <w:t>investment</w:t>
      </w:r>
      <w:r w:rsidR="00CD37C6">
        <w:t xml:space="preserve"> </w:t>
      </w:r>
      <w:r>
        <w:t>and</w:t>
      </w:r>
      <w:r w:rsidR="00CD37C6">
        <w:t xml:space="preserve"> </w:t>
      </w:r>
      <w:r>
        <w:t>outcomes</w:t>
      </w:r>
      <w:r w:rsidR="00CD37C6">
        <w:t xml:space="preserve"> </w:t>
      </w:r>
      <w:r>
        <w:t>within</w:t>
      </w:r>
      <w:r w:rsidR="00CD37C6">
        <w:t xml:space="preserve"> </w:t>
      </w:r>
      <w:r>
        <w:t>the</w:t>
      </w:r>
      <w:r w:rsidR="00CD37C6">
        <w:t xml:space="preserve"> </w:t>
      </w:r>
      <w:r>
        <w:t>purpose</w:t>
      </w:r>
      <w:r w:rsidR="00CD37C6">
        <w:t xml:space="preserve"> </w:t>
      </w:r>
      <w:r>
        <w:t>and</w:t>
      </w:r>
      <w:r w:rsidR="00CD37C6">
        <w:t xml:space="preserve"> </w:t>
      </w:r>
      <w:r>
        <w:t>objectives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Act.</w:t>
      </w:r>
      <w:r w:rsidR="00CD37C6">
        <w:t xml:space="preserve"> </w:t>
      </w:r>
      <w:r>
        <w:t>Please</w:t>
      </w:r>
      <w:r w:rsidR="00CD37C6">
        <w:t xml:space="preserve"> </w:t>
      </w:r>
      <w:r>
        <w:t>refer</w:t>
      </w:r>
      <w:r w:rsidR="00CD37C6">
        <w:t xml:space="preserve"> </w:t>
      </w:r>
      <w:r>
        <w:t>to</w:t>
      </w:r>
      <w:r w:rsidR="00CD37C6">
        <w:t xml:space="preserve"> </w:t>
      </w:r>
      <w:r>
        <w:t>Appendices</w:t>
      </w:r>
      <w:r w:rsidR="00CD37C6">
        <w:t xml:space="preserve"> </w:t>
      </w:r>
      <w:r>
        <w:t>1</w:t>
      </w:r>
      <w:r w:rsidR="00CD37C6">
        <w:t xml:space="preserve"> </w:t>
      </w:r>
      <w:r>
        <w:t>to</w:t>
      </w:r>
      <w:r w:rsidR="00CD37C6">
        <w:t xml:space="preserve"> </w:t>
      </w:r>
      <w:r>
        <w:t>4</w:t>
      </w:r>
      <w:r w:rsidR="00CD37C6">
        <w:t xml:space="preserve"> </w:t>
      </w:r>
      <w:r>
        <w:t>for</w:t>
      </w:r>
      <w:r w:rsidR="00CD37C6">
        <w:t xml:space="preserve"> </w:t>
      </w:r>
      <w:r>
        <w:t>details.</w:t>
      </w:r>
    </w:p>
    <w:p w14:paraId="58ACC002" w14:textId="1DEF4112" w:rsidR="009F127E" w:rsidRDefault="00000000" w:rsidP="008E4EA4">
      <w:pPr>
        <w:pStyle w:val="Heading2"/>
      </w:pPr>
      <w:bookmarkStart w:id="4" w:name="_Toc116548262"/>
      <w:r>
        <w:t>4.</w:t>
      </w:r>
      <w:r>
        <w:tab/>
      </w:r>
      <w:r w:rsidR="009B4482">
        <w:t xml:space="preserve"> </w:t>
      </w:r>
      <w:r>
        <w:t>APPLICATION</w:t>
      </w:r>
      <w:r w:rsidR="00CD37C6">
        <w:t xml:space="preserve"> </w:t>
      </w:r>
      <w:r>
        <w:t>REQUIREMENTS</w:t>
      </w:r>
      <w:bookmarkEnd w:id="4"/>
    </w:p>
    <w:p w14:paraId="764EFB78" w14:textId="77777777" w:rsidR="009F127E" w:rsidRPr="00EF3098" w:rsidRDefault="00000000" w:rsidP="00EF3098">
      <w:pPr>
        <w:pStyle w:val="Normalbeforebullet"/>
        <w:rPr>
          <w:rStyle w:val="Medium"/>
          <w:b/>
          <w:bCs/>
        </w:rPr>
      </w:pPr>
      <w:r w:rsidRPr="00EF3098">
        <w:rPr>
          <w:rStyle w:val="Medium"/>
          <w:b/>
          <w:bCs/>
        </w:rPr>
        <w:t>Overview</w:t>
      </w:r>
    </w:p>
    <w:p w14:paraId="4F121644" w14:textId="51A3808B" w:rsidR="009F127E" w:rsidRDefault="00000000" w:rsidP="008E4EA4">
      <w:r>
        <w:t>The</w:t>
      </w:r>
      <w:r w:rsidR="00CD37C6">
        <w:t xml:space="preserve"> </w:t>
      </w:r>
      <w:r>
        <w:t>program</w:t>
      </w:r>
      <w:r w:rsidR="00CD37C6">
        <w:t xml:space="preserve"> </w:t>
      </w:r>
      <w:r>
        <w:t>is</w:t>
      </w:r>
      <w:r w:rsidR="00CD37C6">
        <w:t xml:space="preserve"> </w:t>
      </w:r>
      <w:r>
        <w:t>managed</w:t>
      </w:r>
      <w:r w:rsidR="00CD37C6">
        <w:t xml:space="preserve"> </w:t>
      </w:r>
      <w:r>
        <w:t>on</w:t>
      </w:r>
      <w:r w:rsidR="00CD37C6">
        <w:t xml:space="preserve"> </w:t>
      </w:r>
      <w:r>
        <w:t>a</w:t>
      </w:r>
      <w:r w:rsidR="00CD37C6">
        <w:t xml:space="preserve"> </w:t>
      </w:r>
      <w:r>
        <w:t>competitive</w:t>
      </w:r>
      <w:r w:rsidR="00CD37C6">
        <w:t xml:space="preserve"> </w:t>
      </w:r>
      <w:r>
        <w:t>basis</w:t>
      </w:r>
      <w:r w:rsidR="00CD37C6">
        <w:t xml:space="preserve"> </w:t>
      </w:r>
      <w:r>
        <w:t>and</w:t>
      </w:r>
      <w:r w:rsidR="00CD37C6">
        <w:t xml:space="preserve"> </w:t>
      </w:r>
      <w:r>
        <w:t>all</w:t>
      </w:r>
      <w:r w:rsidR="00CD37C6">
        <w:t xml:space="preserve"> </w:t>
      </w:r>
      <w:r>
        <w:t>applicants</w:t>
      </w:r>
      <w:r w:rsidR="00CD37C6">
        <w:t xml:space="preserve"> </w:t>
      </w:r>
      <w:r>
        <w:t>must</w:t>
      </w:r>
      <w:r w:rsidR="00CD37C6">
        <w:t xml:space="preserve"> </w:t>
      </w:r>
      <w:r>
        <w:t>apply</w:t>
      </w:r>
      <w:r w:rsidR="00CD37C6">
        <w:t xml:space="preserve"> </w:t>
      </w:r>
      <w:r>
        <w:t>for</w:t>
      </w:r>
      <w:r w:rsidR="00CD37C6">
        <w:t xml:space="preserve"> </w:t>
      </w:r>
      <w:r>
        <w:t>funding</w:t>
      </w:r>
      <w:r w:rsidR="00CD37C6">
        <w:t xml:space="preserve"> </w:t>
      </w:r>
      <w:r>
        <w:t>by</w:t>
      </w:r>
      <w:r w:rsidR="00CD37C6">
        <w:t xml:space="preserve"> </w:t>
      </w:r>
      <w:r>
        <w:t>submitting</w:t>
      </w:r>
      <w:r w:rsidR="00CD37C6">
        <w:t xml:space="preserve"> </w:t>
      </w:r>
      <w:r>
        <w:t>an</w:t>
      </w:r>
      <w:r w:rsidR="00CD37C6">
        <w:t xml:space="preserve"> </w:t>
      </w:r>
      <w:r>
        <w:t>online</w:t>
      </w:r>
      <w:r w:rsidR="00CD37C6">
        <w:t xml:space="preserve"> </w:t>
      </w:r>
      <w:r>
        <w:t>application</w:t>
      </w:r>
      <w:r w:rsidR="00CD37C6">
        <w:t xml:space="preserve"> </w:t>
      </w:r>
      <w:r>
        <w:t>at</w:t>
      </w:r>
      <w:r w:rsidR="00CD37C6">
        <w:t xml:space="preserve"> </w:t>
      </w:r>
      <w:hyperlink r:id="rId9" w:history="1">
        <w:r>
          <w:rPr>
            <w:rStyle w:val="Hyperlink3"/>
          </w:rPr>
          <w:t>agriculture.vic.gov.au/support-and-resources/funds-grants-programs/livestock-biosecurity-funds</w:t>
        </w:r>
      </w:hyperlink>
      <w:r w:rsidR="00CD37C6">
        <w:t xml:space="preserve"> </w:t>
      </w:r>
      <w:r>
        <w:t>during</w:t>
      </w:r>
      <w:r w:rsidR="00CD37C6">
        <w:t xml:space="preserve"> </w:t>
      </w:r>
      <w:r>
        <w:t>the</w:t>
      </w:r>
      <w:r w:rsidR="00CD37C6">
        <w:t xml:space="preserve"> </w:t>
      </w:r>
      <w:r>
        <w:t>designated</w:t>
      </w:r>
      <w:r w:rsidR="00CD37C6">
        <w:t xml:space="preserve"> </w:t>
      </w:r>
      <w:r>
        <w:t>funding</w:t>
      </w:r>
      <w:r w:rsidR="00CD37C6">
        <w:t xml:space="preserve"> </w:t>
      </w:r>
      <w:r>
        <w:t>round</w:t>
      </w:r>
      <w:r w:rsidR="00CD37C6">
        <w:t xml:space="preserve"> </w:t>
      </w:r>
      <w:r>
        <w:t>(refer</w:t>
      </w:r>
      <w:r w:rsidR="00CD37C6">
        <w:t xml:space="preserve"> </w:t>
      </w:r>
      <w:r>
        <w:t>Table</w:t>
      </w:r>
      <w:r w:rsidR="00CD37C6">
        <w:t xml:space="preserve"> </w:t>
      </w:r>
      <w:r>
        <w:t>1).</w:t>
      </w:r>
      <w:r w:rsidR="00CD37C6">
        <w:t xml:space="preserve"> </w:t>
      </w:r>
    </w:p>
    <w:p w14:paraId="03ED094C" w14:textId="3B333C96" w:rsidR="009F127E" w:rsidRDefault="00000000" w:rsidP="008E4EA4">
      <w:r>
        <w:t>The</w:t>
      </w:r>
      <w:r w:rsidR="00CD37C6">
        <w:t xml:space="preserve"> </w:t>
      </w:r>
      <w:r>
        <w:t>department</w:t>
      </w:r>
      <w:r w:rsidR="00CD37C6">
        <w:t xml:space="preserve"> </w:t>
      </w:r>
      <w:r>
        <w:t>will</w:t>
      </w:r>
      <w:r w:rsidR="00CD37C6">
        <w:t xml:space="preserve"> </w:t>
      </w:r>
      <w:r>
        <w:t>not</w:t>
      </w:r>
      <w:r w:rsidR="00CD37C6">
        <w:t xml:space="preserve"> </w:t>
      </w:r>
      <w:r>
        <w:t>accept</w:t>
      </w:r>
      <w:r w:rsidR="00CD37C6">
        <w:t xml:space="preserve"> </w:t>
      </w:r>
      <w:r>
        <w:t>physical</w:t>
      </w:r>
      <w:r w:rsidR="00CD37C6">
        <w:t xml:space="preserve"> </w:t>
      </w:r>
      <w:r>
        <w:t>(hardcopy)</w:t>
      </w:r>
      <w:r w:rsidR="00CD37C6">
        <w:t xml:space="preserve"> </w:t>
      </w:r>
      <w:r>
        <w:t>applications,</w:t>
      </w:r>
      <w:r w:rsidR="00CD37C6">
        <w:t xml:space="preserve"> </w:t>
      </w:r>
      <w:r>
        <w:t>nor</w:t>
      </w:r>
      <w:r w:rsidR="00CD37C6">
        <w:t xml:space="preserve"> </w:t>
      </w:r>
      <w:r>
        <w:t>accept</w:t>
      </w:r>
      <w:r w:rsidR="00CD37C6">
        <w:t xml:space="preserve"> </w:t>
      </w:r>
      <w:r>
        <w:t>late</w:t>
      </w:r>
      <w:r w:rsidR="00CD37C6">
        <w:t xml:space="preserve"> </w:t>
      </w:r>
      <w:r>
        <w:t>applications.</w:t>
      </w:r>
    </w:p>
    <w:p w14:paraId="378A4CE0" w14:textId="78D9BC45" w:rsidR="009F127E" w:rsidRPr="00EF3098" w:rsidRDefault="00000000" w:rsidP="00EF3098">
      <w:pPr>
        <w:pStyle w:val="Normalbeforebullet"/>
      </w:pPr>
      <w:r>
        <w:t>All</w:t>
      </w:r>
      <w:r w:rsidR="00CD37C6">
        <w:t xml:space="preserve"> </w:t>
      </w:r>
      <w:r>
        <w:t>sections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online</w:t>
      </w:r>
      <w:r w:rsidR="00CD37C6">
        <w:t xml:space="preserve"> </w:t>
      </w:r>
      <w:r>
        <w:t>application</w:t>
      </w:r>
      <w:r w:rsidR="00CD37C6">
        <w:t xml:space="preserve"> </w:t>
      </w:r>
      <w:r>
        <w:t>form</w:t>
      </w:r>
      <w:r w:rsidR="00CD37C6">
        <w:t xml:space="preserve"> </w:t>
      </w:r>
      <w:r>
        <w:t>must</w:t>
      </w:r>
      <w:r w:rsidR="00CD37C6">
        <w:t xml:space="preserve"> </w:t>
      </w:r>
      <w:r>
        <w:t>be</w:t>
      </w:r>
      <w:r w:rsidR="00CD37C6">
        <w:t xml:space="preserve"> </w:t>
      </w:r>
      <w:r>
        <w:t>completed</w:t>
      </w:r>
      <w:r w:rsidR="00CD37C6">
        <w:t xml:space="preserve"> </w:t>
      </w:r>
      <w:r>
        <w:t>in</w:t>
      </w:r>
      <w:r w:rsidR="00CD37C6">
        <w:t xml:space="preserve"> </w:t>
      </w:r>
      <w:r>
        <w:t>full</w:t>
      </w:r>
      <w:r w:rsidR="00CD37C6">
        <w:t xml:space="preserve"> </w:t>
      </w:r>
      <w:r>
        <w:t>including</w:t>
      </w:r>
      <w:r w:rsidR="00CD37C6">
        <w:t xml:space="preserve"> </w:t>
      </w:r>
      <w:r>
        <w:t>the</w:t>
      </w:r>
      <w:r w:rsidR="00CD37C6">
        <w:t xml:space="preserve"> </w:t>
      </w:r>
      <w:r>
        <w:t>project</w:t>
      </w:r>
      <w:r w:rsidR="00CD37C6">
        <w:t xml:space="preserve"> </w:t>
      </w:r>
      <w:r>
        <w:t>implementation</w:t>
      </w:r>
      <w:r w:rsidR="00CD37C6">
        <w:t xml:space="preserve"> </w:t>
      </w:r>
      <w:r>
        <w:t>plan</w:t>
      </w:r>
      <w:r w:rsidR="00CD37C6">
        <w:t xml:space="preserve"> </w:t>
      </w:r>
      <w:r>
        <w:t>which</w:t>
      </w:r>
      <w:r w:rsidR="00CD37C6">
        <w:t xml:space="preserve"> </w:t>
      </w:r>
      <w:r>
        <w:t>requires:</w:t>
      </w:r>
    </w:p>
    <w:p w14:paraId="4FB403EB" w14:textId="6A6AECD7" w:rsidR="009F127E" w:rsidRDefault="00000000" w:rsidP="008E4EA4">
      <w:pPr>
        <w:pStyle w:val="Bullet"/>
      </w:pPr>
      <w:r>
        <w:t>the</w:t>
      </w:r>
      <w:r w:rsidR="00CD37C6">
        <w:t xml:space="preserve"> </w:t>
      </w:r>
      <w:r>
        <w:t>project</w:t>
      </w:r>
      <w:r w:rsidR="00CD37C6">
        <w:t xml:space="preserve"> </w:t>
      </w:r>
      <w:r>
        <w:t>timelines</w:t>
      </w:r>
    </w:p>
    <w:p w14:paraId="48072058" w14:textId="77777777" w:rsidR="009F127E" w:rsidRDefault="00000000" w:rsidP="008E4EA4">
      <w:pPr>
        <w:pStyle w:val="Bullet"/>
      </w:pPr>
      <w:r>
        <w:t>budget</w:t>
      </w:r>
    </w:p>
    <w:p w14:paraId="54709EDE" w14:textId="37749988" w:rsidR="009F127E" w:rsidRDefault="00000000" w:rsidP="008E4EA4">
      <w:pPr>
        <w:pStyle w:val="Bullet"/>
      </w:pPr>
      <w:r>
        <w:t>key</w:t>
      </w:r>
      <w:r w:rsidR="00CD37C6">
        <w:t xml:space="preserve"> </w:t>
      </w:r>
      <w:r>
        <w:t>project</w:t>
      </w:r>
      <w:r w:rsidR="00CD37C6">
        <w:t xml:space="preserve"> </w:t>
      </w:r>
      <w:r>
        <w:t>members</w:t>
      </w:r>
    </w:p>
    <w:p w14:paraId="7F8B8EC0" w14:textId="74818F2B" w:rsidR="009F127E" w:rsidRDefault="00000000" w:rsidP="008E4EA4">
      <w:pPr>
        <w:pStyle w:val="Bulletlast"/>
      </w:pPr>
      <w:r>
        <w:t>the</w:t>
      </w:r>
      <w:r w:rsidR="00CD37C6">
        <w:t xml:space="preserve"> </w:t>
      </w:r>
      <w:r>
        <w:t>applicant’s</w:t>
      </w:r>
      <w:r w:rsidR="00CD37C6">
        <w:t xml:space="preserve"> </w:t>
      </w:r>
      <w:r>
        <w:t>methodology</w:t>
      </w:r>
      <w:r w:rsidR="00CD37C6">
        <w:t xml:space="preserve"> </w:t>
      </w:r>
      <w:r>
        <w:t>to</w:t>
      </w:r>
      <w:r w:rsidR="00CD37C6">
        <w:t xml:space="preserve"> </w:t>
      </w:r>
      <w:r>
        <w:t>deliver</w:t>
      </w:r>
      <w:r w:rsidR="00CD37C6">
        <w:t xml:space="preserve"> </w:t>
      </w:r>
      <w:r>
        <w:t>on</w:t>
      </w:r>
      <w:r w:rsidR="00CD37C6">
        <w:t xml:space="preserve"> </w:t>
      </w:r>
      <w:r>
        <w:t>and</w:t>
      </w:r>
      <w:r w:rsidR="00CD37C6">
        <w:t xml:space="preserve"> </w:t>
      </w:r>
      <w:r>
        <w:t>measure</w:t>
      </w:r>
      <w:r w:rsidR="00CD37C6">
        <w:t xml:space="preserve"> </w:t>
      </w:r>
      <w:r>
        <w:t>the</w:t>
      </w:r>
      <w:r w:rsidR="00CD37C6">
        <w:t xml:space="preserve"> </w:t>
      </w:r>
      <w:r>
        <w:t>required</w:t>
      </w:r>
      <w:r w:rsidR="00CD37C6">
        <w:t xml:space="preserve"> </w:t>
      </w:r>
      <w:r>
        <w:t>outcomes</w:t>
      </w:r>
      <w:r w:rsidR="00CD37C6">
        <w:t xml:space="preserve"> </w:t>
      </w:r>
      <w:r>
        <w:t>as</w:t>
      </w:r>
      <w:r w:rsidR="00CD37C6">
        <w:t xml:space="preserve"> </w:t>
      </w:r>
      <w:r>
        <w:t>stipulated</w:t>
      </w:r>
      <w:r w:rsidR="00CD37C6">
        <w:t xml:space="preserve"> </w:t>
      </w:r>
      <w:r>
        <w:t>by</w:t>
      </w:r>
      <w:r w:rsidR="00CD37C6">
        <w:t xml:space="preserve"> </w:t>
      </w:r>
      <w:r>
        <w:t>the</w:t>
      </w:r>
      <w:r w:rsidR="00CD37C6">
        <w:t xml:space="preserve"> </w:t>
      </w:r>
      <w:r>
        <w:t>relevant</w:t>
      </w:r>
      <w:r w:rsidR="00CD37C6">
        <w:t xml:space="preserve"> </w:t>
      </w:r>
      <w:r>
        <w:t>statement</w:t>
      </w:r>
      <w:r w:rsidR="00CD37C6">
        <w:t xml:space="preserve"> </w:t>
      </w:r>
      <w:r>
        <w:t>of</w:t>
      </w:r>
      <w:r w:rsidR="00CD37C6">
        <w:t xml:space="preserve"> </w:t>
      </w:r>
      <w:r>
        <w:t>strategic</w:t>
      </w:r>
      <w:r w:rsidR="00CD37C6">
        <w:t xml:space="preserve"> </w:t>
      </w:r>
      <w:r>
        <w:t>intent.</w:t>
      </w:r>
    </w:p>
    <w:p w14:paraId="27F04F5E" w14:textId="4C698FD9" w:rsidR="009F127E" w:rsidRDefault="00000000" w:rsidP="008E4EA4">
      <w:r>
        <w:t>Please</w:t>
      </w:r>
      <w:r w:rsidR="00CD37C6">
        <w:t xml:space="preserve"> </w:t>
      </w:r>
      <w:r>
        <w:t>ensure</w:t>
      </w:r>
      <w:r w:rsidR="00CD37C6">
        <w:t xml:space="preserve"> </w:t>
      </w:r>
      <w:r>
        <w:t>that</w:t>
      </w:r>
      <w:r w:rsidR="00CD37C6">
        <w:t xml:space="preserve"> </w:t>
      </w:r>
      <w:r>
        <w:t>you</w:t>
      </w:r>
      <w:r w:rsidR="00CD37C6">
        <w:t xml:space="preserve"> </w:t>
      </w:r>
      <w:r>
        <w:t>provide</w:t>
      </w:r>
      <w:r w:rsidR="00CD37C6">
        <w:t xml:space="preserve"> </w:t>
      </w:r>
      <w:r>
        <w:t>detailed</w:t>
      </w:r>
      <w:r w:rsidR="00CD37C6">
        <w:t xml:space="preserve"> </w:t>
      </w:r>
      <w:r>
        <w:t>responses</w:t>
      </w:r>
      <w:r w:rsidR="00CD37C6">
        <w:t xml:space="preserve"> </w:t>
      </w:r>
      <w:r>
        <w:t>to</w:t>
      </w:r>
      <w:r w:rsidR="00CD37C6">
        <w:t xml:space="preserve"> </w:t>
      </w:r>
      <w:r>
        <w:t>each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sections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application</w:t>
      </w:r>
      <w:r w:rsidR="00CD37C6">
        <w:t xml:space="preserve"> </w:t>
      </w:r>
      <w:r>
        <w:t>form</w:t>
      </w:r>
      <w:r w:rsidR="00CD37C6">
        <w:t xml:space="preserve"> </w:t>
      </w:r>
      <w:r>
        <w:t>to</w:t>
      </w:r>
      <w:r w:rsidR="00CD37C6">
        <w:t xml:space="preserve"> </w:t>
      </w:r>
      <w:r>
        <w:t>provide</w:t>
      </w:r>
      <w:r w:rsidR="00CD37C6">
        <w:t xml:space="preserve"> </w:t>
      </w:r>
      <w:r>
        <w:t>sufficient</w:t>
      </w:r>
      <w:r w:rsidR="00CD37C6">
        <w:t xml:space="preserve"> </w:t>
      </w:r>
      <w:r>
        <w:t>information</w:t>
      </w:r>
      <w:r w:rsidR="00CD37C6">
        <w:t xml:space="preserve"> </w:t>
      </w:r>
      <w:r>
        <w:t>to</w:t>
      </w:r>
      <w:r w:rsidR="00CD37C6">
        <w:t xml:space="preserve"> </w:t>
      </w:r>
      <w:r>
        <w:t>enable</w:t>
      </w:r>
      <w:r w:rsidR="00CD37C6">
        <w:t xml:space="preserve"> </w:t>
      </w:r>
      <w:r>
        <w:t>the</w:t>
      </w:r>
      <w:r w:rsidR="00CD37C6">
        <w:t xml:space="preserve"> </w:t>
      </w:r>
      <w:r>
        <w:t>advisory</w:t>
      </w:r>
      <w:r w:rsidR="00CD37C6">
        <w:t xml:space="preserve"> </w:t>
      </w:r>
      <w:r>
        <w:t>committees</w:t>
      </w:r>
      <w:r w:rsidR="00CD37C6">
        <w:t xml:space="preserve"> </w:t>
      </w:r>
      <w:r>
        <w:t>to</w:t>
      </w:r>
      <w:r w:rsidR="00CD37C6">
        <w:t xml:space="preserve"> </w:t>
      </w:r>
      <w:r>
        <w:t>make</w:t>
      </w:r>
      <w:r w:rsidR="00CD37C6">
        <w:t xml:space="preserve"> </w:t>
      </w:r>
      <w:r>
        <w:t>their</w:t>
      </w:r>
      <w:r w:rsidR="00CD37C6">
        <w:t xml:space="preserve"> </w:t>
      </w:r>
      <w:r>
        <w:t>recommendations</w:t>
      </w:r>
      <w:r w:rsidR="00CD37C6">
        <w:t xml:space="preserve"> </w:t>
      </w:r>
      <w:r>
        <w:t>to</w:t>
      </w:r>
      <w:r w:rsidR="00CD37C6">
        <w:t xml:space="preserve"> </w:t>
      </w:r>
      <w:r>
        <w:t>the</w:t>
      </w:r>
      <w:r w:rsidR="00CD37C6">
        <w:t xml:space="preserve"> </w:t>
      </w:r>
      <w:r>
        <w:t>Minister</w:t>
      </w:r>
      <w:r w:rsidR="00CD37C6">
        <w:t xml:space="preserve"> </w:t>
      </w:r>
      <w:r>
        <w:t>for</w:t>
      </w:r>
      <w:r w:rsidR="00CD37C6">
        <w:t xml:space="preserve"> </w:t>
      </w:r>
      <w:r>
        <w:t>Agriculture.</w:t>
      </w:r>
    </w:p>
    <w:p w14:paraId="4921871D" w14:textId="583A964D" w:rsidR="009F127E" w:rsidRDefault="00000000" w:rsidP="008E4EA4">
      <w:r>
        <w:t>All</w:t>
      </w:r>
      <w:r w:rsidR="00CD37C6">
        <w:t xml:space="preserve"> </w:t>
      </w:r>
      <w:r>
        <w:t>applications</w:t>
      </w:r>
      <w:r w:rsidR="00CD37C6">
        <w:t xml:space="preserve"> </w:t>
      </w:r>
      <w:r>
        <w:t>must</w:t>
      </w:r>
      <w:r w:rsidR="00CD37C6">
        <w:t xml:space="preserve"> </w:t>
      </w:r>
      <w:r>
        <w:t>be</w:t>
      </w:r>
      <w:r w:rsidR="00CD37C6">
        <w:t xml:space="preserve"> </w:t>
      </w:r>
      <w:r>
        <w:t>signed</w:t>
      </w:r>
      <w:r w:rsidR="00CD37C6">
        <w:t xml:space="preserve"> </w:t>
      </w:r>
      <w:r>
        <w:t>by</w:t>
      </w:r>
      <w:r w:rsidR="00CD37C6">
        <w:t xml:space="preserve"> </w:t>
      </w:r>
      <w:r>
        <w:t>the</w:t>
      </w:r>
      <w:r w:rsidR="00CD37C6">
        <w:t xml:space="preserve"> </w:t>
      </w:r>
      <w:r>
        <w:t>organisation’s</w:t>
      </w:r>
      <w:r w:rsidR="00CD37C6">
        <w:t xml:space="preserve"> </w:t>
      </w:r>
      <w:r>
        <w:t>authorised</w:t>
      </w:r>
      <w:r w:rsidR="00CD37C6">
        <w:t xml:space="preserve"> </w:t>
      </w:r>
      <w:r>
        <w:t>officer.</w:t>
      </w:r>
      <w:r w:rsidR="00CD37C6">
        <w:t xml:space="preserve"> </w:t>
      </w:r>
    </w:p>
    <w:p w14:paraId="264945B1" w14:textId="02F074CF" w:rsidR="009F127E" w:rsidRPr="00EF3098" w:rsidRDefault="00000000" w:rsidP="00EF3098">
      <w:pPr>
        <w:pStyle w:val="Normalbeforebullet"/>
        <w:rPr>
          <w:rStyle w:val="Medium"/>
          <w:b/>
          <w:bCs/>
        </w:rPr>
      </w:pPr>
      <w:r w:rsidRPr="00EF3098">
        <w:rPr>
          <w:rStyle w:val="Medium"/>
          <w:b/>
          <w:bCs/>
        </w:rPr>
        <w:t>Eligible</w:t>
      </w:r>
      <w:r w:rsidR="00CD37C6">
        <w:rPr>
          <w:rStyle w:val="Medium"/>
          <w:b/>
          <w:bCs/>
        </w:rPr>
        <w:t xml:space="preserve"> </w:t>
      </w:r>
      <w:r w:rsidRPr="00EF3098">
        <w:rPr>
          <w:rStyle w:val="Medium"/>
          <w:b/>
          <w:bCs/>
        </w:rPr>
        <w:t>applicants</w:t>
      </w:r>
    </w:p>
    <w:p w14:paraId="64036F31" w14:textId="4253A951" w:rsidR="009F127E" w:rsidRDefault="00000000" w:rsidP="00EF3098">
      <w:pPr>
        <w:pStyle w:val="Normalbeforebullet"/>
      </w:pPr>
      <w:r>
        <w:t>Applicants</w:t>
      </w:r>
      <w:r w:rsidR="00CD37C6">
        <w:t xml:space="preserve"> </w:t>
      </w:r>
      <w:r>
        <w:t>must</w:t>
      </w:r>
      <w:r w:rsidR="00CD37C6">
        <w:t xml:space="preserve"> </w:t>
      </w:r>
      <w:r>
        <w:t>meet</w:t>
      </w:r>
      <w:r w:rsidR="00CD37C6">
        <w:t xml:space="preserve"> </w:t>
      </w:r>
      <w:r>
        <w:t>the</w:t>
      </w:r>
      <w:r w:rsidR="00CD37C6">
        <w:t xml:space="preserve"> </w:t>
      </w:r>
      <w:r>
        <w:t>following</w:t>
      </w:r>
      <w:r w:rsidR="00CD37C6">
        <w:t xml:space="preserve"> </w:t>
      </w:r>
      <w:r>
        <w:t>criteria</w:t>
      </w:r>
      <w:r w:rsidR="00CD37C6">
        <w:t xml:space="preserve"> </w:t>
      </w:r>
      <w:r>
        <w:t>to</w:t>
      </w:r>
      <w:r w:rsidR="00CD37C6">
        <w:t xml:space="preserve"> </w:t>
      </w:r>
      <w:r>
        <w:t>be</w:t>
      </w:r>
      <w:r w:rsidR="00CD37C6">
        <w:t xml:space="preserve"> </w:t>
      </w:r>
      <w:r>
        <w:t>eligible:</w:t>
      </w:r>
    </w:p>
    <w:p w14:paraId="72CD871C" w14:textId="6F57B312" w:rsidR="009F127E" w:rsidRPr="00EF3098" w:rsidRDefault="00000000" w:rsidP="00EF3098">
      <w:pPr>
        <w:pStyle w:val="Numberedlist"/>
      </w:pPr>
      <w:r w:rsidRPr="00EF3098">
        <w:t>Are</w:t>
      </w:r>
      <w:r w:rsidR="00CD37C6">
        <w:t xml:space="preserve"> </w:t>
      </w:r>
      <w:r w:rsidRPr="00EF3098">
        <w:t>one</w:t>
      </w:r>
      <w:r w:rsidR="00CD37C6">
        <w:t xml:space="preserve"> </w:t>
      </w:r>
      <w:r w:rsidRPr="00EF3098">
        <w:t>of</w:t>
      </w:r>
      <w:r w:rsidR="00CD37C6">
        <w:t xml:space="preserve"> </w:t>
      </w:r>
      <w:r w:rsidRPr="00EF3098">
        <w:t>the</w:t>
      </w:r>
      <w:r w:rsidR="00CD37C6">
        <w:t xml:space="preserve"> </w:t>
      </w:r>
      <w:r w:rsidRPr="00EF3098">
        <w:t>following</w:t>
      </w:r>
      <w:r w:rsidR="00CD37C6">
        <w:t xml:space="preserve"> </w:t>
      </w:r>
      <w:r w:rsidRPr="00EF3098">
        <w:t>types</w:t>
      </w:r>
      <w:r w:rsidR="00CD37C6">
        <w:t xml:space="preserve"> </w:t>
      </w:r>
      <w:r w:rsidRPr="00EF3098">
        <w:t>of</w:t>
      </w:r>
      <w:r w:rsidR="00CD37C6">
        <w:t xml:space="preserve"> </w:t>
      </w:r>
      <w:r w:rsidRPr="00EF3098">
        <w:t>entities</w:t>
      </w:r>
      <w:r w:rsidR="00CD37C6">
        <w:t xml:space="preserve"> </w:t>
      </w:r>
      <w:r w:rsidRPr="00EF3098">
        <w:t>and</w:t>
      </w:r>
      <w:r w:rsidR="00CD37C6">
        <w:t xml:space="preserve"> </w:t>
      </w:r>
      <w:r w:rsidRPr="00EF3098">
        <w:t>has</w:t>
      </w:r>
      <w:r w:rsidR="00CD37C6">
        <w:t xml:space="preserve"> </w:t>
      </w:r>
      <w:r w:rsidRPr="00EF3098">
        <w:t>a</w:t>
      </w:r>
      <w:r w:rsidR="00CD37C6">
        <w:t xml:space="preserve"> </w:t>
      </w:r>
      <w:r w:rsidRPr="00EF3098">
        <w:t>valid</w:t>
      </w:r>
      <w:r w:rsidR="00CD37C6">
        <w:t xml:space="preserve"> </w:t>
      </w:r>
      <w:r w:rsidRPr="00EF3098">
        <w:t>Australian</w:t>
      </w:r>
      <w:r w:rsidR="00CD37C6">
        <w:t xml:space="preserve"> </w:t>
      </w:r>
      <w:r w:rsidRPr="00EF3098">
        <w:t>Business</w:t>
      </w:r>
      <w:r w:rsidR="00CD37C6">
        <w:t xml:space="preserve"> </w:t>
      </w:r>
      <w:r w:rsidRPr="00EF3098">
        <w:t>Number</w:t>
      </w:r>
      <w:r w:rsidR="00CD37C6">
        <w:t xml:space="preserve"> </w:t>
      </w:r>
      <w:r w:rsidRPr="00EF3098">
        <w:t>(ABN):</w:t>
      </w:r>
    </w:p>
    <w:p w14:paraId="51C534FB" w14:textId="1B266934" w:rsidR="009F127E" w:rsidRDefault="00000000">
      <w:pPr>
        <w:pStyle w:val="Bullet2"/>
      </w:pPr>
      <w:r>
        <w:t>private</w:t>
      </w:r>
      <w:r w:rsidR="00CD37C6">
        <w:t xml:space="preserve"> </w:t>
      </w:r>
      <w:r>
        <w:t>sector</w:t>
      </w:r>
      <w:r w:rsidR="00CD37C6">
        <w:t xml:space="preserve"> </w:t>
      </w:r>
      <w:r>
        <w:t>businesses</w:t>
      </w:r>
      <w:r w:rsidR="00CD37C6">
        <w:t xml:space="preserve"> </w:t>
      </w:r>
    </w:p>
    <w:p w14:paraId="158E6C1C" w14:textId="799DC6ED" w:rsidR="009F127E" w:rsidRDefault="00000000">
      <w:pPr>
        <w:pStyle w:val="Bullet2"/>
      </w:pPr>
      <w:r>
        <w:t>universities</w:t>
      </w:r>
      <w:r w:rsidR="00CD37C6">
        <w:t xml:space="preserve"> </w:t>
      </w:r>
      <w:r>
        <w:t>and</w:t>
      </w:r>
      <w:r w:rsidR="00CD37C6">
        <w:t xml:space="preserve"> </w:t>
      </w:r>
      <w:r>
        <w:t>research</w:t>
      </w:r>
      <w:r w:rsidR="00CD37C6">
        <w:t xml:space="preserve"> </w:t>
      </w:r>
      <w:r>
        <w:t>institutions</w:t>
      </w:r>
    </w:p>
    <w:p w14:paraId="13D6295E" w14:textId="3F8A0864" w:rsidR="009F127E" w:rsidRDefault="00000000">
      <w:pPr>
        <w:pStyle w:val="Bullet2"/>
      </w:pPr>
      <w:r>
        <w:t>cooperatives</w:t>
      </w:r>
      <w:r w:rsidR="00CD37C6">
        <w:t xml:space="preserve"> </w:t>
      </w:r>
      <w:r>
        <w:t>where</w:t>
      </w:r>
      <w:r w:rsidR="00CD37C6">
        <w:t xml:space="preserve"> </w:t>
      </w:r>
      <w:r>
        <w:t>the</w:t>
      </w:r>
      <w:r w:rsidR="00CD37C6">
        <w:t xml:space="preserve"> </w:t>
      </w:r>
      <w:r>
        <w:t>objectives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cooperative</w:t>
      </w:r>
      <w:r w:rsidR="00CD37C6">
        <w:t xml:space="preserve"> </w:t>
      </w:r>
      <w:r>
        <w:t>align</w:t>
      </w:r>
      <w:r w:rsidR="00CD37C6">
        <w:t xml:space="preserve"> </w:t>
      </w:r>
      <w:r>
        <w:t>with</w:t>
      </w:r>
      <w:r w:rsidR="00CD37C6">
        <w:t xml:space="preserve"> </w:t>
      </w:r>
      <w:r>
        <w:t>the</w:t>
      </w:r>
      <w:r w:rsidR="00CD37C6">
        <w:t xml:space="preserve"> </w:t>
      </w:r>
      <w:r>
        <w:t>Program</w:t>
      </w:r>
    </w:p>
    <w:p w14:paraId="19FDC1A9" w14:textId="11EF1685" w:rsidR="009F127E" w:rsidRDefault="00000000">
      <w:pPr>
        <w:pStyle w:val="Bullet2"/>
      </w:pPr>
      <w:r>
        <w:t>State</w:t>
      </w:r>
      <w:r w:rsidR="00CD37C6">
        <w:t xml:space="preserve"> </w:t>
      </w:r>
      <w:r>
        <w:t>Government</w:t>
      </w:r>
      <w:r w:rsidR="00CD37C6">
        <w:t xml:space="preserve"> </w:t>
      </w:r>
      <w:r>
        <w:t>department</w:t>
      </w:r>
      <w:r w:rsidR="00CD37C6">
        <w:t xml:space="preserve"> </w:t>
      </w:r>
      <w:r>
        <w:t>or</w:t>
      </w:r>
      <w:r w:rsidR="00CD37C6">
        <w:t xml:space="preserve"> </w:t>
      </w:r>
      <w:r>
        <w:t>entity</w:t>
      </w:r>
    </w:p>
    <w:p w14:paraId="36FB20F3" w14:textId="51912D05" w:rsidR="009F127E" w:rsidRDefault="00000000">
      <w:pPr>
        <w:pStyle w:val="Bullet2"/>
      </w:pPr>
      <w:r>
        <w:t>local</w:t>
      </w:r>
      <w:r w:rsidR="00CD37C6">
        <w:t xml:space="preserve"> </w:t>
      </w:r>
      <w:r>
        <w:t>governments</w:t>
      </w:r>
    </w:p>
    <w:p w14:paraId="5B2BD8BA" w14:textId="3F49F0FB" w:rsidR="009F127E" w:rsidRDefault="00000000">
      <w:pPr>
        <w:pStyle w:val="Bullet2end"/>
      </w:pPr>
      <w:r>
        <w:t>incorporated</w:t>
      </w:r>
      <w:r w:rsidR="00CD37C6">
        <w:t xml:space="preserve"> </w:t>
      </w:r>
      <w:r>
        <w:t>associations.</w:t>
      </w:r>
    </w:p>
    <w:p w14:paraId="3C26383A" w14:textId="60444D15" w:rsidR="009F127E" w:rsidRDefault="00000000" w:rsidP="00EF3098">
      <w:pPr>
        <w:pStyle w:val="Numberedlist"/>
      </w:pPr>
      <w:r>
        <w:t>Conduct</w:t>
      </w:r>
      <w:r w:rsidR="00CD37C6">
        <w:t xml:space="preserve"> </w:t>
      </w:r>
      <w:r>
        <w:t>the</w:t>
      </w:r>
      <w:r w:rsidR="00CD37C6">
        <w:t xml:space="preserve"> </w:t>
      </w:r>
      <w:r>
        <w:t>proposed</w:t>
      </w:r>
      <w:r w:rsidR="00CD37C6">
        <w:t xml:space="preserve"> </w:t>
      </w:r>
      <w:r>
        <w:t>activities</w:t>
      </w:r>
      <w:r w:rsidR="00CD37C6">
        <w:t xml:space="preserve"> </w:t>
      </w:r>
      <w:r>
        <w:t>in</w:t>
      </w:r>
      <w:r w:rsidR="00CD37C6">
        <w:t xml:space="preserve"> </w:t>
      </w:r>
      <w:r>
        <w:t>Victoria.</w:t>
      </w:r>
      <w:r w:rsidR="00CD37C6">
        <w:t xml:space="preserve"> </w:t>
      </w:r>
    </w:p>
    <w:p w14:paraId="2147EF0D" w14:textId="76279C47" w:rsidR="009F127E" w:rsidRDefault="00000000" w:rsidP="00EF3098">
      <w:pPr>
        <w:pStyle w:val="Numberedlist"/>
      </w:pPr>
      <w:r>
        <w:t>Meet</w:t>
      </w:r>
      <w:r w:rsidR="00CD37C6">
        <w:t xml:space="preserve"> </w:t>
      </w:r>
      <w:r>
        <w:t>all</w:t>
      </w:r>
      <w:r w:rsidR="00CD37C6">
        <w:t xml:space="preserve"> </w:t>
      </w:r>
      <w:r>
        <w:t>industrial</w:t>
      </w:r>
      <w:r w:rsidR="00CD37C6">
        <w:t xml:space="preserve"> </w:t>
      </w:r>
      <w:r>
        <w:t>relations</w:t>
      </w:r>
      <w:r w:rsidR="00CD37C6">
        <w:t xml:space="preserve"> </w:t>
      </w:r>
      <w:r>
        <w:t>obligations</w:t>
      </w:r>
      <w:r w:rsidR="00CD37C6">
        <w:t xml:space="preserve"> </w:t>
      </w:r>
      <w:r>
        <w:t>as</w:t>
      </w:r>
      <w:r w:rsidR="00CD37C6">
        <w:t xml:space="preserve"> </w:t>
      </w:r>
      <w:r>
        <w:t>an</w:t>
      </w:r>
      <w:r w:rsidR="00CD37C6">
        <w:t xml:space="preserve"> </w:t>
      </w:r>
      <w:r>
        <w:t>employer</w:t>
      </w:r>
      <w:r w:rsidR="00CD37C6">
        <w:t xml:space="preserve"> </w:t>
      </w:r>
      <w:r>
        <w:t>in</w:t>
      </w:r>
      <w:r w:rsidR="00CD37C6">
        <w:t xml:space="preserve"> </w:t>
      </w:r>
      <w:r>
        <w:t>accordance</w:t>
      </w:r>
      <w:r w:rsidR="00CD37C6">
        <w:t xml:space="preserve"> </w:t>
      </w:r>
      <w:r>
        <w:t>with</w:t>
      </w:r>
      <w:r w:rsidR="00CD37C6">
        <w:t xml:space="preserve"> </w:t>
      </w:r>
      <w:r>
        <w:t>the</w:t>
      </w:r>
      <w:r w:rsidR="00CD37C6">
        <w:t xml:space="preserve"> </w:t>
      </w:r>
      <w:r>
        <w:t>National</w:t>
      </w:r>
      <w:r w:rsidR="00CD37C6">
        <w:t xml:space="preserve"> </w:t>
      </w:r>
      <w:r>
        <w:t>Employment</w:t>
      </w:r>
      <w:r w:rsidR="00CD37C6">
        <w:t xml:space="preserve"> </w:t>
      </w:r>
      <w:r>
        <w:t>Standards.</w:t>
      </w:r>
    </w:p>
    <w:p w14:paraId="5FAA815D" w14:textId="7CDAB7A4" w:rsidR="009F127E" w:rsidRDefault="00000000" w:rsidP="00EF3098">
      <w:pPr>
        <w:pStyle w:val="Numberedlist"/>
        <w:spacing w:after="200"/>
      </w:pPr>
      <w:r>
        <w:t>Agree</w:t>
      </w:r>
      <w:r w:rsidR="00CD37C6">
        <w:t xml:space="preserve"> </w:t>
      </w:r>
      <w:r>
        <w:t>to</w:t>
      </w:r>
      <w:r w:rsidR="00CD37C6">
        <w:t xml:space="preserve"> </w:t>
      </w:r>
      <w:r>
        <w:t>participate</w:t>
      </w:r>
      <w:r w:rsidR="00CD37C6">
        <w:t xml:space="preserve"> </w:t>
      </w:r>
      <w:r>
        <w:t>in</w:t>
      </w:r>
      <w:r w:rsidR="00CD37C6">
        <w:t xml:space="preserve"> </w:t>
      </w:r>
      <w:r>
        <w:t>future</w:t>
      </w:r>
      <w:r w:rsidR="00CD37C6">
        <w:t xml:space="preserve"> </w:t>
      </w:r>
      <w:r>
        <w:t>program</w:t>
      </w:r>
      <w:r w:rsidR="00CD37C6">
        <w:t xml:space="preserve"> </w:t>
      </w:r>
      <w:r>
        <w:t>evaluation</w:t>
      </w:r>
      <w:r w:rsidR="00CD37C6">
        <w:t xml:space="preserve"> </w:t>
      </w:r>
      <w:r>
        <w:t>activity.</w:t>
      </w:r>
      <w:r w:rsidR="00CD37C6">
        <w:t xml:space="preserve"> </w:t>
      </w:r>
    </w:p>
    <w:p w14:paraId="2B31BD1B" w14:textId="17100E0B" w:rsidR="009F127E" w:rsidRPr="00EF3098" w:rsidRDefault="00000000" w:rsidP="00EF3098">
      <w:pPr>
        <w:pStyle w:val="Normalbeforebullet"/>
        <w:rPr>
          <w:rStyle w:val="Medium"/>
          <w:b/>
          <w:bCs/>
        </w:rPr>
      </w:pPr>
      <w:r w:rsidRPr="00EF3098">
        <w:rPr>
          <w:rStyle w:val="Medium"/>
          <w:b/>
          <w:bCs/>
        </w:rPr>
        <w:t>Ineligible</w:t>
      </w:r>
      <w:r w:rsidR="00CD37C6">
        <w:rPr>
          <w:rStyle w:val="Medium"/>
          <w:b/>
          <w:bCs/>
        </w:rPr>
        <w:t xml:space="preserve"> </w:t>
      </w:r>
      <w:r w:rsidRPr="00EF3098">
        <w:rPr>
          <w:rStyle w:val="Medium"/>
          <w:b/>
          <w:bCs/>
        </w:rPr>
        <w:t>applicants</w:t>
      </w:r>
    </w:p>
    <w:p w14:paraId="2E307300" w14:textId="04DAE9C6" w:rsidR="009F127E" w:rsidRPr="00EF3098" w:rsidRDefault="00000000" w:rsidP="00EF3098">
      <w:pPr>
        <w:pStyle w:val="Normalbeforebullet"/>
      </w:pPr>
      <w:r>
        <w:t>The</w:t>
      </w:r>
      <w:r w:rsidR="00CD37C6">
        <w:t xml:space="preserve"> </w:t>
      </w:r>
      <w:r>
        <w:t>following</w:t>
      </w:r>
      <w:r w:rsidR="00CD37C6">
        <w:t xml:space="preserve"> </w:t>
      </w:r>
      <w:r>
        <w:t>are</w:t>
      </w:r>
      <w:r w:rsidR="00CD37C6">
        <w:t xml:space="preserve"> </w:t>
      </w:r>
      <w:r>
        <w:t>not</w:t>
      </w:r>
      <w:r w:rsidR="00CD37C6">
        <w:t xml:space="preserve"> </w:t>
      </w:r>
      <w:r>
        <w:t>eligible</w:t>
      </w:r>
      <w:r w:rsidR="00CD37C6">
        <w:t xml:space="preserve"> </w:t>
      </w:r>
      <w:r>
        <w:t>to</w:t>
      </w:r>
      <w:r w:rsidR="00CD37C6">
        <w:t xml:space="preserve"> </w:t>
      </w:r>
      <w:r>
        <w:t>apply:</w:t>
      </w:r>
    </w:p>
    <w:p w14:paraId="13B897B3" w14:textId="099D6EA7" w:rsidR="009F127E" w:rsidRDefault="00000000" w:rsidP="008E4EA4">
      <w:pPr>
        <w:pStyle w:val="Bullet"/>
      </w:pPr>
      <w:r>
        <w:t>individuals/sole</w:t>
      </w:r>
      <w:r w:rsidR="00CD37C6">
        <w:t xml:space="preserve"> </w:t>
      </w:r>
      <w:r>
        <w:t>traders</w:t>
      </w:r>
    </w:p>
    <w:p w14:paraId="2BA0798E" w14:textId="77777777" w:rsidR="009F127E" w:rsidRDefault="00000000" w:rsidP="008E4EA4">
      <w:pPr>
        <w:pStyle w:val="Bullet"/>
      </w:pPr>
      <w:r>
        <w:lastRenderedPageBreak/>
        <w:t>trusts</w:t>
      </w:r>
    </w:p>
    <w:p w14:paraId="46641A05" w14:textId="77777777" w:rsidR="009F127E" w:rsidRDefault="00000000" w:rsidP="008E4EA4">
      <w:pPr>
        <w:pStyle w:val="Bullet"/>
      </w:pPr>
      <w:r>
        <w:t>partnerships</w:t>
      </w:r>
    </w:p>
    <w:p w14:paraId="09471F11" w14:textId="459628F8" w:rsidR="009F127E" w:rsidRDefault="00000000" w:rsidP="008E4EA4">
      <w:pPr>
        <w:pStyle w:val="Bulletlast"/>
      </w:pPr>
      <w:r>
        <w:t>federal</w:t>
      </w:r>
      <w:r w:rsidR="00CD37C6">
        <w:t xml:space="preserve"> </w:t>
      </w:r>
      <w:r>
        <w:t>government</w:t>
      </w:r>
      <w:r w:rsidR="00CD37C6">
        <w:t xml:space="preserve"> </w:t>
      </w:r>
      <w:r>
        <w:t>entities.</w:t>
      </w:r>
    </w:p>
    <w:p w14:paraId="087F7C36" w14:textId="3FC51B4A" w:rsidR="009F127E" w:rsidRPr="00EF3098" w:rsidRDefault="00000000" w:rsidP="00EF3098">
      <w:pPr>
        <w:pStyle w:val="Normalbeforebullet"/>
        <w:rPr>
          <w:rStyle w:val="Medium"/>
          <w:b/>
          <w:bCs/>
        </w:rPr>
      </w:pPr>
      <w:r w:rsidRPr="00EF3098">
        <w:rPr>
          <w:rStyle w:val="Medium"/>
          <w:b/>
          <w:bCs/>
        </w:rPr>
        <w:t>Ineligible</w:t>
      </w:r>
      <w:r w:rsidR="00CD37C6">
        <w:rPr>
          <w:rStyle w:val="Medium"/>
          <w:b/>
          <w:bCs/>
        </w:rPr>
        <w:t xml:space="preserve"> </w:t>
      </w:r>
      <w:r w:rsidRPr="00EF3098">
        <w:rPr>
          <w:rStyle w:val="Medium"/>
          <w:b/>
          <w:bCs/>
        </w:rPr>
        <w:t>expenditure</w:t>
      </w:r>
    </w:p>
    <w:p w14:paraId="1DCCDD77" w14:textId="4762AD59" w:rsidR="009F127E" w:rsidRDefault="00000000" w:rsidP="00EF3098">
      <w:pPr>
        <w:pStyle w:val="Normalbeforebullet"/>
      </w:pPr>
      <w:r>
        <w:t>Applications</w:t>
      </w:r>
      <w:r w:rsidR="00CD37C6">
        <w:t xml:space="preserve"> </w:t>
      </w:r>
      <w:r>
        <w:t>will</w:t>
      </w:r>
      <w:r w:rsidR="00CD37C6">
        <w:t xml:space="preserve"> </w:t>
      </w:r>
      <w:r>
        <w:t>not</w:t>
      </w:r>
      <w:r w:rsidR="00CD37C6">
        <w:t xml:space="preserve"> </w:t>
      </w:r>
      <w:r>
        <w:t>be</w:t>
      </w:r>
      <w:r w:rsidR="00CD37C6">
        <w:t xml:space="preserve"> </w:t>
      </w:r>
      <w:r>
        <w:t>considered</w:t>
      </w:r>
      <w:r w:rsidR="00CD37C6">
        <w:t xml:space="preserve"> </w:t>
      </w:r>
      <w:r>
        <w:t>for</w:t>
      </w:r>
      <w:r w:rsidR="00CD37C6">
        <w:t xml:space="preserve"> </w:t>
      </w:r>
      <w:r>
        <w:t>the</w:t>
      </w:r>
      <w:r w:rsidR="00CD37C6">
        <w:t xml:space="preserve"> </w:t>
      </w:r>
      <w:r>
        <w:t>following</w:t>
      </w:r>
      <w:r w:rsidR="00CD37C6">
        <w:t xml:space="preserve"> </w:t>
      </w:r>
      <w:r>
        <w:t>conditions:</w:t>
      </w:r>
    </w:p>
    <w:p w14:paraId="5758DA66" w14:textId="0C2D54A6" w:rsidR="009F127E" w:rsidRDefault="00000000" w:rsidP="008E4EA4">
      <w:pPr>
        <w:pStyle w:val="Bullet"/>
      </w:pPr>
      <w:r>
        <w:t>requests</w:t>
      </w:r>
      <w:r w:rsidR="00CD37C6">
        <w:t xml:space="preserve"> </w:t>
      </w:r>
      <w:r>
        <w:t>for</w:t>
      </w:r>
      <w:r w:rsidR="00CD37C6">
        <w:t xml:space="preserve"> </w:t>
      </w:r>
      <w:r>
        <w:t>retrospective</w:t>
      </w:r>
      <w:r w:rsidR="00CD37C6">
        <w:t xml:space="preserve"> </w:t>
      </w:r>
      <w:r>
        <w:t>funding</w:t>
      </w:r>
    </w:p>
    <w:p w14:paraId="06BF4F6E" w14:textId="41042563" w:rsidR="009F127E" w:rsidRDefault="00000000" w:rsidP="008E4EA4">
      <w:pPr>
        <w:pStyle w:val="Bullet"/>
      </w:pPr>
      <w:r>
        <w:t>lobbying</w:t>
      </w:r>
      <w:r w:rsidR="00CD37C6">
        <w:t xml:space="preserve"> </w:t>
      </w:r>
      <w:r>
        <w:t>activities</w:t>
      </w:r>
    </w:p>
    <w:p w14:paraId="7456D04D" w14:textId="1EA5D0A0" w:rsidR="009F127E" w:rsidRDefault="00000000" w:rsidP="008E4EA4">
      <w:pPr>
        <w:pStyle w:val="Bullet"/>
      </w:pPr>
      <w:r>
        <w:t>funding</w:t>
      </w:r>
      <w:r w:rsidR="00CD37C6">
        <w:t xml:space="preserve"> </w:t>
      </w:r>
      <w:r>
        <w:t>an</w:t>
      </w:r>
      <w:r w:rsidR="00CD37C6">
        <w:t xml:space="preserve"> </w:t>
      </w:r>
      <w:r>
        <w:t>organisation’s</w:t>
      </w:r>
      <w:r w:rsidR="00CD37C6">
        <w:t xml:space="preserve"> </w:t>
      </w:r>
      <w:r>
        <w:t>core</w:t>
      </w:r>
      <w:r w:rsidR="00CD37C6">
        <w:t xml:space="preserve"> </w:t>
      </w:r>
      <w:r>
        <w:t>business</w:t>
      </w:r>
      <w:r w:rsidR="00CD37C6">
        <w:t xml:space="preserve"> </w:t>
      </w:r>
      <w:r>
        <w:t>activities</w:t>
      </w:r>
    </w:p>
    <w:p w14:paraId="418213A8" w14:textId="158B9B9C" w:rsidR="009F127E" w:rsidRDefault="00000000" w:rsidP="008E4EA4">
      <w:pPr>
        <w:pStyle w:val="Bullet"/>
      </w:pPr>
      <w:r>
        <w:t>capital</w:t>
      </w:r>
      <w:r w:rsidR="00CD37C6">
        <w:t xml:space="preserve"> </w:t>
      </w:r>
      <w:r>
        <w:t>expenditure</w:t>
      </w:r>
    </w:p>
    <w:p w14:paraId="3638ED46" w14:textId="20DC886D" w:rsidR="009F127E" w:rsidRDefault="00000000" w:rsidP="008E4EA4">
      <w:pPr>
        <w:pStyle w:val="Bulletlast"/>
      </w:pPr>
      <w:r>
        <w:t>costs</w:t>
      </w:r>
      <w:r w:rsidR="00CD37C6">
        <w:t xml:space="preserve"> </w:t>
      </w:r>
      <w:r>
        <w:t>for</w:t>
      </w:r>
      <w:r w:rsidR="00CD37C6">
        <w:t xml:space="preserve"> </w:t>
      </w:r>
      <w:r>
        <w:t>activities</w:t>
      </w:r>
      <w:r w:rsidR="00CD37C6">
        <w:t xml:space="preserve"> </w:t>
      </w:r>
      <w:r>
        <w:t>which</w:t>
      </w:r>
      <w:r w:rsidR="00CD37C6">
        <w:t xml:space="preserve"> </w:t>
      </w:r>
      <w:r>
        <w:t>do</w:t>
      </w:r>
      <w:r w:rsidR="00CD37C6">
        <w:t xml:space="preserve"> </w:t>
      </w:r>
      <w:r>
        <w:t>not</w:t>
      </w:r>
      <w:r w:rsidR="00CD37C6">
        <w:t xml:space="preserve"> </w:t>
      </w:r>
      <w:r>
        <w:t>directly</w:t>
      </w:r>
      <w:r w:rsidR="00CD37C6">
        <w:t xml:space="preserve"> </w:t>
      </w:r>
      <w:r>
        <w:t>align</w:t>
      </w:r>
      <w:r w:rsidR="00CD37C6">
        <w:t xml:space="preserve"> </w:t>
      </w:r>
      <w:r>
        <w:t>with</w:t>
      </w:r>
      <w:r w:rsidR="00CD37C6">
        <w:t xml:space="preserve"> </w:t>
      </w:r>
      <w:r>
        <w:t>achievement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outcomes</w:t>
      </w:r>
      <w:r w:rsidR="00CD37C6">
        <w:t xml:space="preserve"> </w:t>
      </w:r>
      <w:r>
        <w:t>stipulated</w:t>
      </w:r>
      <w:r w:rsidR="00CD37C6">
        <w:t xml:space="preserve"> </w:t>
      </w:r>
      <w:r>
        <w:t>by</w:t>
      </w:r>
      <w:r w:rsidR="00CD37C6">
        <w:t xml:space="preserve"> </w:t>
      </w:r>
      <w:r>
        <w:t>each</w:t>
      </w:r>
      <w:r w:rsidR="00CD37C6">
        <w:t xml:space="preserve"> </w:t>
      </w:r>
      <w:r>
        <w:t>fund.</w:t>
      </w:r>
    </w:p>
    <w:p w14:paraId="40F356B8" w14:textId="5B07A5FC" w:rsidR="009F127E" w:rsidRPr="00EF3098" w:rsidRDefault="00000000" w:rsidP="00EF3098">
      <w:pPr>
        <w:pStyle w:val="Normalbeforebullet"/>
        <w:rPr>
          <w:rStyle w:val="Medium"/>
          <w:b/>
          <w:bCs/>
        </w:rPr>
      </w:pPr>
      <w:r w:rsidRPr="00EF3098">
        <w:rPr>
          <w:rStyle w:val="Medium"/>
          <w:b/>
          <w:bCs/>
        </w:rPr>
        <w:t>Co-funding</w:t>
      </w:r>
      <w:r w:rsidR="00CD37C6">
        <w:rPr>
          <w:rStyle w:val="Medium"/>
          <w:b/>
          <w:bCs/>
        </w:rPr>
        <w:t xml:space="preserve"> </w:t>
      </w:r>
      <w:r w:rsidRPr="00EF3098">
        <w:rPr>
          <w:rStyle w:val="Medium"/>
          <w:b/>
          <w:bCs/>
        </w:rPr>
        <w:t>contributions</w:t>
      </w:r>
    </w:p>
    <w:p w14:paraId="5252A4D6" w14:textId="7E661619" w:rsidR="009F127E" w:rsidRDefault="00000000" w:rsidP="008E4EA4">
      <w:r>
        <w:t>There</w:t>
      </w:r>
      <w:r w:rsidR="00CD37C6">
        <w:t xml:space="preserve"> </w:t>
      </w:r>
      <w:r>
        <w:t>is</w:t>
      </w:r>
      <w:r w:rsidR="00CD37C6">
        <w:t xml:space="preserve"> </w:t>
      </w:r>
      <w:r>
        <w:t>no</w:t>
      </w:r>
      <w:r w:rsidR="00CD37C6">
        <w:t xml:space="preserve"> </w:t>
      </w:r>
      <w:r>
        <w:t>requirement</w:t>
      </w:r>
      <w:r w:rsidR="00CD37C6">
        <w:t xml:space="preserve"> </w:t>
      </w:r>
      <w:r>
        <w:t>for</w:t>
      </w:r>
      <w:r w:rsidR="00CD37C6">
        <w:t xml:space="preserve"> </w:t>
      </w:r>
      <w:r>
        <w:t>matched</w:t>
      </w:r>
      <w:r w:rsidR="00CD37C6">
        <w:t xml:space="preserve"> </w:t>
      </w:r>
      <w:r>
        <w:t>funds</w:t>
      </w:r>
      <w:r w:rsidR="00CD37C6">
        <w:t xml:space="preserve"> </w:t>
      </w:r>
      <w:r>
        <w:t>from</w:t>
      </w:r>
      <w:r w:rsidR="00CD37C6">
        <w:t xml:space="preserve"> </w:t>
      </w:r>
      <w:r>
        <w:t>applicants.</w:t>
      </w:r>
      <w:r w:rsidR="00CD37C6">
        <w:t xml:space="preserve"> </w:t>
      </w:r>
      <w:r>
        <w:t>However,</w:t>
      </w:r>
      <w:r w:rsidR="00CD37C6">
        <w:t xml:space="preserve"> </w:t>
      </w:r>
      <w:r>
        <w:t>the</w:t>
      </w:r>
      <w:r w:rsidR="00CD37C6">
        <w:t xml:space="preserve"> </w:t>
      </w:r>
      <w:r>
        <w:t>assessment</w:t>
      </w:r>
      <w:r w:rsidR="00CD37C6">
        <w:t xml:space="preserve"> </w:t>
      </w:r>
      <w:r>
        <w:t>of</w:t>
      </w:r>
      <w:r w:rsidR="00CD37C6">
        <w:t xml:space="preserve"> </w:t>
      </w:r>
      <w:r>
        <w:t>a</w:t>
      </w:r>
      <w:r w:rsidR="00CD37C6">
        <w:t xml:space="preserve"> </w:t>
      </w:r>
      <w:r>
        <w:t>project</w:t>
      </w:r>
      <w:r w:rsidR="00CD37C6">
        <w:t xml:space="preserve"> </w:t>
      </w:r>
      <w:r>
        <w:t>or</w:t>
      </w:r>
      <w:r w:rsidR="00CD37C6">
        <w:t xml:space="preserve"> </w:t>
      </w:r>
      <w:r>
        <w:t>program</w:t>
      </w:r>
      <w:r w:rsidR="00CD37C6">
        <w:t xml:space="preserve"> </w:t>
      </w:r>
      <w:r>
        <w:t>application</w:t>
      </w:r>
      <w:r w:rsidR="00CD37C6">
        <w:t xml:space="preserve"> </w:t>
      </w:r>
      <w:r>
        <w:t>needs</w:t>
      </w:r>
      <w:r w:rsidR="00CD37C6">
        <w:t xml:space="preserve"> </w:t>
      </w:r>
      <w:r>
        <w:t>to</w:t>
      </w:r>
      <w:r w:rsidR="00CD37C6">
        <w:t xml:space="preserve"> </w:t>
      </w:r>
      <w:r>
        <w:t>include</w:t>
      </w:r>
      <w:r w:rsidR="00CD37C6">
        <w:t xml:space="preserve"> </w:t>
      </w:r>
      <w:r>
        <w:t>budget</w:t>
      </w:r>
      <w:r w:rsidR="00CD37C6">
        <w:t xml:space="preserve"> </w:t>
      </w:r>
      <w:r>
        <w:t>and</w:t>
      </w:r>
      <w:r w:rsidR="00CD37C6">
        <w:t xml:space="preserve"> </w:t>
      </w:r>
      <w:r>
        <w:t>collaboration</w:t>
      </w:r>
      <w:r w:rsidR="00CD37C6">
        <w:t xml:space="preserve"> </w:t>
      </w:r>
      <w:r>
        <w:t>considerations.</w:t>
      </w:r>
      <w:r w:rsidR="00CD37C6">
        <w:t xml:space="preserve"> </w:t>
      </w:r>
      <w:r>
        <w:t>This</w:t>
      </w:r>
      <w:r w:rsidR="00CD37C6">
        <w:t xml:space="preserve"> </w:t>
      </w:r>
      <w:r>
        <w:t>identifies</w:t>
      </w:r>
      <w:r w:rsidR="00CD37C6">
        <w:t xml:space="preserve"> </w:t>
      </w:r>
      <w:r>
        <w:t>financial</w:t>
      </w:r>
      <w:r w:rsidR="00CD37C6">
        <w:t xml:space="preserve"> </w:t>
      </w:r>
      <w:r>
        <w:t>and</w:t>
      </w:r>
      <w:r w:rsidR="00CD37C6">
        <w:t xml:space="preserve"> </w:t>
      </w:r>
      <w:r>
        <w:t>other</w:t>
      </w:r>
      <w:r w:rsidR="00CD37C6">
        <w:t xml:space="preserve"> </w:t>
      </w:r>
      <w:r>
        <w:t>in</w:t>
      </w:r>
      <w:r>
        <w:rPr>
          <w:rFonts w:ascii="Cambria Math" w:hAnsi="Cambria Math" w:cs="Cambria Math"/>
        </w:rPr>
        <w:t>‑</w:t>
      </w:r>
      <w:r>
        <w:t>kind</w:t>
      </w:r>
      <w:r w:rsidR="00CD37C6">
        <w:t xml:space="preserve"> </w:t>
      </w:r>
      <w:r>
        <w:t>support.</w:t>
      </w:r>
    </w:p>
    <w:p w14:paraId="478A9755" w14:textId="2B82EE91" w:rsidR="009F127E" w:rsidRDefault="00000000" w:rsidP="008E4EA4">
      <w:r>
        <w:t>Funding</w:t>
      </w:r>
      <w:r w:rsidR="00CD37C6">
        <w:t xml:space="preserve"> </w:t>
      </w:r>
      <w:r>
        <w:t>from</w:t>
      </w:r>
      <w:r w:rsidR="00CD37C6">
        <w:t xml:space="preserve"> </w:t>
      </w:r>
      <w:r>
        <w:t>external</w:t>
      </w:r>
      <w:r w:rsidR="00CD37C6">
        <w:t xml:space="preserve"> </w:t>
      </w:r>
      <w:r>
        <w:t>organisations</w:t>
      </w:r>
      <w:r w:rsidR="00CD37C6">
        <w:t xml:space="preserve"> </w:t>
      </w:r>
      <w:r>
        <w:t>must</w:t>
      </w:r>
      <w:r w:rsidR="00CD37C6">
        <w:t xml:space="preserve"> </w:t>
      </w:r>
      <w:r>
        <w:t>be</w:t>
      </w:r>
      <w:r w:rsidR="00CD37C6">
        <w:t xml:space="preserve"> </w:t>
      </w:r>
      <w:r>
        <w:t>confirmed</w:t>
      </w:r>
      <w:r w:rsidR="00CD37C6">
        <w:t xml:space="preserve"> </w:t>
      </w:r>
      <w:r>
        <w:t>by</w:t>
      </w:r>
      <w:r w:rsidR="00CD37C6">
        <w:t xml:space="preserve"> </w:t>
      </w:r>
      <w:r>
        <w:t>way</w:t>
      </w:r>
      <w:r w:rsidR="00CD37C6">
        <w:t xml:space="preserve"> </w:t>
      </w:r>
      <w:r>
        <w:t>of</w:t>
      </w:r>
      <w:r w:rsidR="00CD37C6">
        <w:t xml:space="preserve"> </w:t>
      </w:r>
      <w:r>
        <w:t>a</w:t>
      </w:r>
      <w:r w:rsidR="00CD37C6">
        <w:t xml:space="preserve"> </w:t>
      </w:r>
      <w:r>
        <w:t>formal</w:t>
      </w:r>
      <w:r w:rsidR="00CD37C6">
        <w:t xml:space="preserve"> </w:t>
      </w:r>
      <w:r>
        <w:t>letter</w:t>
      </w:r>
      <w:r w:rsidR="00CD37C6">
        <w:t xml:space="preserve"> </w:t>
      </w:r>
      <w:r>
        <w:t>at</w:t>
      </w:r>
      <w:r w:rsidR="00CD37C6">
        <w:t xml:space="preserve"> </w:t>
      </w:r>
      <w:r>
        <w:t>the</w:t>
      </w:r>
      <w:r w:rsidR="00CD37C6">
        <w:t xml:space="preserve"> </w:t>
      </w:r>
      <w:r>
        <w:t>time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application.</w:t>
      </w:r>
    </w:p>
    <w:p w14:paraId="2ADC7FCE" w14:textId="3BDDB4AB" w:rsidR="009F127E" w:rsidRDefault="00000000" w:rsidP="008E4EA4">
      <w:r>
        <w:t>Project</w:t>
      </w:r>
      <w:r w:rsidR="00CD37C6">
        <w:t xml:space="preserve"> </w:t>
      </w:r>
      <w:r>
        <w:t>proponents</w:t>
      </w:r>
      <w:r w:rsidR="00CD37C6">
        <w:t xml:space="preserve"> </w:t>
      </w:r>
      <w:r>
        <w:t>may</w:t>
      </w:r>
      <w:r w:rsidR="00CD37C6">
        <w:t xml:space="preserve"> </w:t>
      </w:r>
      <w:r>
        <w:t>apply</w:t>
      </w:r>
      <w:r w:rsidR="00CD37C6">
        <w:t xml:space="preserve"> </w:t>
      </w:r>
      <w:r>
        <w:t>for</w:t>
      </w:r>
      <w:r w:rsidR="00CD37C6">
        <w:t xml:space="preserve"> </w:t>
      </w:r>
      <w:r>
        <w:t>funding</w:t>
      </w:r>
      <w:r w:rsidR="00CD37C6">
        <w:t xml:space="preserve"> </w:t>
      </w:r>
      <w:r>
        <w:t>from</w:t>
      </w:r>
      <w:r w:rsidR="00CD37C6">
        <w:t xml:space="preserve"> </w:t>
      </w:r>
      <w:r>
        <w:t>more</w:t>
      </w:r>
      <w:r w:rsidR="00CD37C6">
        <w:t xml:space="preserve"> </w:t>
      </w:r>
      <w:r>
        <w:t>than</w:t>
      </w:r>
      <w:r w:rsidR="00CD37C6">
        <w:t xml:space="preserve"> </w:t>
      </w:r>
      <w:r>
        <w:t>one</w:t>
      </w:r>
      <w:r w:rsidR="00CD37C6">
        <w:t xml:space="preserve"> </w:t>
      </w:r>
      <w:r>
        <w:t>fund.</w:t>
      </w:r>
      <w:r w:rsidR="00CD37C6">
        <w:t xml:space="preserve"> </w:t>
      </w:r>
      <w:r>
        <w:t>However,</w:t>
      </w:r>
      <w:r w:rsidR="00CD37C6">
        <w:t xml:space="preserve"> </w:t>
      </w:r>
      <w:r>
        <w:t>a</w:t>
      </w:r>
      <w:r w:rsidR="00CD37C6">
        <w:t xml:space="preserve"> </w:t>
      </w:r>
      <w:r>
        <w:t>separate</w:t>
      </w:r>
      <w:r w:rsidR="00CD37C6">
        <w:t xml:space="preserve"> </w:t>
      </w:r>
      <w:r>
        <w:t>application</w:t>
      </w:r>
      <w:r w:rsidR="00CD37C6">
        <w:t xml:space="preserve"> </w:t>
      </w:r>
      <w:r>
        <w:t>must</w:t>
      </w:r>
      <w:r w:rsidR="00CD37C6">
        <w:t xml:space="preserve"> </w:t>
      </w:r>
      <w:r>
        <w:t>be</w:t>
      </w:r>
      <w:r w:rsidR="00CD37C6">
        <w:t xml:space="preserve"> </w:t>
      </w:r>
      <w:r>
        <w:t>lodged</w:t>
      </w:r>
      <w:r w:rsidR="00CD37C6">
        <w:t xml:space="preserve"> </w:t>
      </w:r>
      <w:r>
        <w:t>to</w:t>
      </w:r>
      <w:r w:rsidR="00CD37C6">
        <w:t xml:space="preserve"> </w:t>
      </w:r>
      <w:r>
        <w:t>each</w:t>
      </w:r>
      <w:r w:rsidR="00CD37C6">
        <w:t xml:space="preserve"> </w:t>
      </w:r>
      <w:r>
        <w:t>individual</w:t>
      </w:r>
      <w:r w:rsidR="00CD37C6">
        <w:t xml:space="preserve"> </w:t>
      </w:r>
      <w:r>
        <w:t>fund</w:t>
      </w:r>
      <w:r w:rsidR="00CD37C6">
        <w:t xml:space="preserve"> </w:t>
      </w:r>
      <w:r>
        <w:t>and</w:t>
      </w:r>
      <w:r w:rsidR="00CD37C6">
        <w:t xml:space="preserve"> </w:t>
      </w:r>
      <w:r>
        <w:t>will</w:t>
      </w:r>
      <w:r w:rsidR="00CD37C6">
        <w:t xml:space="preserve"> </w:t>
      </w:r>
      <w:r>
        <w:t>be</w:t>
      </w:r>
      <w:r w:rsidR="00CD37C6">
        <w:t xml:space="preserve"> </w:t>
      </w:r>
      <w:r>
        <w:t>assessed</w:t>
      </w:r>
      <w:r w:rsidR="00CD37C6">
        <w:t xml:space="preserve"> </w:t>
      </w:r>
      <w:r>
        <w:t>against</w:t>
      </w:r>
      <w:r w:rsidR="00CD37C6">
        <w:t xml:space="preserve"> </w:t>
      </w:r>
      <w:r>
        <w:t>that</w:t>
      </w:r>
      <w:r w:rsidR="00CD37C6">
        <w:t xml:space="preserve"> </w:t>
      </w:r>
      <w:r>
        <w:t>funds’</w:t>
      </w:r>
      <w:r w:rsidR="00CD37C6">
        <w:t xml:space="preserve"> </w:t>
      </w:r>
      <w:r>
        <w:t>Statement</w:t>
      </w:r>
      <w:r w:rsidR="00CD37C6">
        <w:t xml:space="preserve"> </w:t>
      </w:r>
      <w:r>
        <w:t>of</w:t>
      </w:r>
      <w:r w:rsidR="00CD37C6">
        <w:t xml:space="preserve"> </w:t>
      </w:r>
      <w:r>
        <w:t>Strategic</w:t>
      </w:r>
      <w:r w:rsidR="00CD37C6">
        <w:t xml:space="preserve"> </w:t>
      </w:r>
      <w:r>
        <w:t>Intent.</w:t>
      </w:r>
      <w:r w:rsidR="00CD37C6">
        <w:t xml:space="preserve"> </w:t>
      </w:r>
    </w:p>
    <w:p w14:paraId="681FD933" w14:textId="2855A52C" w:rsidR="009F127E" w:rsidRDefault="00000000" w:rsidP="008E4EA4">
      <w:r>
        <w:t>There</w:t>
      </w:r>
      <w:r w:rsidR="00CD37C6">
        <w:t xml:space="preserve"> </w:t>
      </w:r>
      <w:r>
        <w:t>is</w:t>
      </w:r>
      <w:r w:rsidR="00CD37C6">
        <w:t xml:space="preserve"> </w:t>
      </w:r>
      <w:r>
        <w:t>no</w:t>
      </w:r>
      <w:r w:rsidR="00CD37C6">
        <w:t xml:space="preserve"> </w:t>
      </w:r>
      <w:r>
        <w:t>guarantee</w:t>
      </w:r>
      <w:r w:rsidR="00CD37C6">
        <w:t xml:space="preserve"> </w:t>
      </w:r>
      <w:r>
        <w:t>that</w:t>
      </w:r>
      <w:r w:rsidR="00CD37C6">
        <w:t xml:space="preserve"> </w:t>
      </w:r>
      <w:r>
        <w:t>an</w:t>
      </w:r>
      <w:r w:rsidR="00CD37C6">
        <w:t xml:space="preserve"> </w:t>
      </w:r>
      <w:r>
        <w:t>application</w:t>
      </w:r>
      <w:r w:rsidR="00CD37C6">
        <w:t xml:space="preserve"> </w:t>
      </w:r>
      <w:r>
        <w:t>will</w:t>
      </w:r>
      <w:r w:rsidR="00CD37C6">
        <w:t xml:space="preserve"> </w:t>
      </w:r>
      <w:r>
        <w:t>be</w:t>
      </w:r>
      <w:r w:rsidR="00CD37C6">
        <w:t xml:space="preserve"> </w:t>
      </w:r>
      <w:r>
        <w:t>successful</w:t>
      </w:r>
      <w:r w:rsidR="00CD37C6">
        <w:t xml:space="preserve"> </w:t>
      </w:r>
      <w:r>
        <w:t>in</w:t>
      </w:r>
      <w:r w:rsidR="00CD37C6">
        <w:t xml:space="preserve"> </w:t>
      </w:r>
      <w:r>
        <w:t>receiving</w:t>
      </w:r>
      <w:r w:rsidR="00CD37C6">
        <w:t xml:space="preserve"> </w:t>
      </w:r>
      <w:r>
        <w:t>funding.</w:t>
      </w:r>
      <w:r w:rsidR="00CD37C6">
        <w:t xml:space="preserve"> </w:t>
      </w:r>
      <w:r>
        <w:t>This</w:t>
      </w:r>
      <w:r w:rsidR="00CD37C6">
        <w:t xml:space="preserve"> </w:t>
      </w:r>
      <w:r>
        <w:t>includes</w:t>
      </w:r>
      <w:r w:rsidR="00CD37C6">
        <w:t xml:space="preserve"> </w:t>
      </w:r>
      <w:r>
        <w:t>applications</w:t>
      </w:r>
      <w:r w:rsidR="00CD37C6">
        <w:t xml:space="preserve"> </w:t>
      </w:r>
      <w:r>
        <w:t>seeking</w:t>
      </w:r>
      <w:r w:rsidR="00CD37C6">
        <w:t xml:space="preserve"> </w:t>
      </w:r>
      <w:r>
        <w:t>funding</w:t>
      </w:r>
      <w:r w:rsidR="00CD37C6">
        <w:t xml:space="preserve"> </w:t>
      </w:r>
      <w:r>
        <w:t>from</w:t>
      </w:r>
      <w:r w:rsidR="00CD37C6">
        <w:t xml:space="preserve"> </w:t>
      </w:r>
      <w:r>
        <w:t>more</w:t>
      </w:r>
      <w:r w:rsidR="00CD37C6">
        <w:t xml:space="preserve"> </w:t>
      </w:r>
      <w:r>
        <w:t>than</w:t>
      </w:r>
      <w:r w:rsidR="00CD37C6">
        <w:t xml:space="preserve"> </w:t>
      </w:r>
      <w:r>
        <w:t>one</w:t>
      </w:r>
      <w:r w:rsidR="00CD37C6">
        <w:t xml:space="preserve"> </w:t>
      </w:r>
      <w:r>
        <w:t>fund.</w:t>
      </w:r>
      <w:r w:rsidR="00CD37C6">
        <w:t xml:space="preserve"> </w:t>
      </w:r>
      <w:r>
        <w:t>Applicants</w:t>
      </w:r>
      <w:r w:rsidR="00CD37C6">
        <w:t xml:space="preserve"> </w:t>
      </w:r>
      <w:r>
        <w:t>must</w:t>
      </w:r>
      <w:r w:rsidR="00CD37C6">
        <w:t xml:space="preserve"> </w:t>
      </w:r>
      <w:r>
        <w:t>ensure</w:t>
      </w:r>
      <w:r w:rsidR="00CD37C6">
        <w:t xml:space="preserve"> </w:t>
      </w:r>
      <w:r>
        <w:t>that</w:t>
      </w:r>
      <w:r w:rsidR="00CD37C6">
        <w:t xml:space="preserve"> </w:t>
      </w:r>
      <w:r>
        <w:t>each</w:t>
      </w:r>
      <w:r w:rsidR="00CD37C6">
        <w:t xml:space="preserve"> </w:t>
      </w:r>
      <w:r>
        <w:t>project</w:t>
      </w:r>
      <w:r w:rsidR="00CD37C6">
        <w:t xml:space="preserve"> </w:t>
      </w:r>
      <w:r>
        <w:t>or</w:t>
      </w:r>
      <w:r w:rsidR="00CD37C6">
        <w:t xml:space="preserve"> </w:t>
      </w:r>
      <w:r>
        <w:t>program</w:t>
      </w:r>
      <w:r w:rsidR="00CD37C6">
        <w:t xml:space="preserve"> </w:t>
      </w:r>
      <w:r>
        <w:t>can</w:t>
      </w:r>
      <w:r w:rsidR="00CD37C6">
        <w:t xml:space="preserve"> </w:t>
      </w:r>
      <w:r>
        <w:t>be</w:t>
      </w:r>
      <w:r w:rsidR="00CD37C6">
        <w:t xml:space="preserve"> </w:t>
      </w:r>
      <w:r>
        <w:t>delivered</w:t>
      </w:r>
      <w:r w:rsidR="00CD37C6">
        <w:t xml:space="preserve"> </w:t>
      </w:r>
      <w:proofErr w:type="gramStart"/>
      <w:r>
        <w:t>in</w:t>
      </w:r>
      <w:r w:rsidR="00CD37C6">
        <w:t xml:space="preserve"> </w:t>
      </w:r>
      <w:r>
        <w:t>its</w:t>
      </w:r>
      <w:r w:rsidR="00CD37C6">
        <w:t xml:space="preserve"> </w:t>
      </w:r>
      <w:r>
        <w:t>own</w:t>
      </w:r>
      <w:r w:rsidR="00CD37C6">
        <w:t xml:space="preserve"> </w:t>
      </w:r>
      <w:r>
        <w:t>right</w:t>
      </w:r>
      <w:r w:rsidR="00CD37C6">
        <w:t xml:space="preserve"> </w:t>
      </w:r>
      <w:r>
        <w:t>for</w:t>
      </w:r>
      <w:proofErr w:type="gramEnd"/>
      <w:r w:rsidR="00CD37C6">
        <w:t xml:space="preserve"> </w:t>
      </w:r>
      <w:r>
        <w:t>each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applications.</w:t>
      </w:r>
    </w:p>
    <w:p w14:paraId="28DC71CA" w14:textId="77777777" w:rsidR="009F127E" w:rsidRPr="00EF3098" w:rsidRDefault="00000000" w:rsidP="00EF3098">
      <w:pPr>
        <w:pStyle w:val="Normalbeforebullet"/>
        <w:rPr>
          <w:rStyle w:val="Medium"/>
          <w:b/>
          <w:bCs/>
        </w:rPr>
      </w:pPr>
      <w:r w:rsidRPr="00EF3098">
        <w:rPr>
          <w:rStyle w:val="Medium"/>
          <w:b/>
          <w:bCs/>
        </w:rPr>
        <w:t>GST</w:t>
      </w:r>
    </w:p>
    <w:p w14:paraId="2C061A51" w14:textId="35FA3CF3" w:rsidR="009F127E" w:rsidRDefault="00000000" w:rsidP="008E4EA4">
      <w:r>
        <w:t>All</w:t>
      </w:r>
      <w:r w:rsidR="00CD37C6">
        <w:t xml:space="preserve"> </w:t>
      </w:r>
      <w:r>
        <w:t>project</w:t>
      </w:r>
      <w:r w:rsidR="00CD37C6">
        <w:t xml:space="preserve"> </w:t>
      </w:r>
      <w:r>
        <w:t>costs</w:t>
      </w:r>
      <w:r w:rsidR="00CD37C6">
        <w:t xml:space="preserve"> </w:t>
      </w:r>
      <w:r>
        <w:t>included</w:t>
      </w:r>
      <w:r w:rsidR="00CD37C6">
        <w:t xml:space="preserve"> </w:t>
      </w:r>
      <w:r>
        <w:t>in</w:t>
      </w:r>
      <w:r w:rsidR="00CD37C6">
        <w:t xml:space="preserve"> </w:t>
      </w:r>
      <w:r>
        <w:t>the</w:t>
      </w:r>
      <w:r w:rsidR="00CD37C6">
        <w:t xml:space="preserve"> </w:t>
      </w:r>
      <w:r>
        <w:t>application</w:t>
      </w:r>
      <w:r w:rsidR="00CD37C6">
        <w:t xml:space="preserve"> </w:t>
      </w:r>
      <w:r>
        <w:t>must</w:t>
      </w:r>
      <w:r w:rsidR="00CD37C6">
        <w:t xml:space="preserve"> </w:t>
      </w:r>
      <w:r>
        <w:t>be</w:t>
      </w:r>
      <w:r w:rsidR="00CD37C6">
        <w:t xml:space="preserve"> </w:t>
      </w:r>
      <w:r>
        <w:t>exclusive</w:t>
      </w:r>
      <w:r w:rsidR="00CD37C6">
        <w:t xml:space="preserve"> </w:t>
      </w:r>
      <w:r>
        <w:t>of</w:t>
      </w:r>
      <w:r w:rsidR="00CD37C6">
        <w:t xml:space="preserve"> </w:t>
      </w:r>
      <w:r>
        <w:t>GST.</w:t>
      </w:r>
      <w:r w:rsidR="00CD37C6">
        <w:t xml:space="preserve"> </w:t>
      </w:r>
      <w:r>
        <w:t>If</w:t>
      </w:r>
      <w:r w:rsidR="00CD37C6">
        <w:t xml:space="preserve"> </w:t>
      </w:r>
      <w:r>
        <w:t>your</w:t>
      </w:r>
      <w:r w:rsidR="00CD37C6">
        <w:t xml:space="preserve"> </w:t>
      </w:r>
      <w:r>
        <w:t>organisation</w:t>
      </w:r>
      <w:r w:rsidR="00CD37C6">
        <w:t xml:space="preserve"> </w:t>
      </w:r>
      <w:r>
        <w:t>is</w:t>
      </w:r>
      <w:r w:rsidR="00CD37C6">
        <w:t xml:space="preserve"> </w:t>
      </w:r>
      <w:r>
        <w:t>required</w:t>
      </w:r>
      <w:r w:rsidR="00CD37C6">
        <w:t xml:space="preserve"> </w:t>
      </w:r>
      <w:r>
        <w:t>to</w:t>
      </w:r>
      <w:r w:rsidR="00CD37C6">
        <w:t xml:space="preserve"> </w:t>
      </w:r>
      <w:r>
        <w:t>pay</w:t>
      </w:r>
      <w:r w:rsidR="00CD37C6">
        <w:t xml:space="preserve"> </w:t>
      </w:r>
      <w:r>
        <w:t>GST</w:t>
      </w:r>
      <w:r w:rsidR="00CD37C6">
        <w:t xml:space="preserve"> </w:t>
      </w:r>
      <w:r>
        <w:t>on</w:t>
      </w:r>
      <w:r w:rsidR="00CD37C6">
        <w:t xml:space="preserve"> </w:t>
      </w:r>
      <w:r>
        <w:t>the</w:t>
      </w:r>
      <w:r w:rsidR="00CD37C6">
        <w:t xml:space="preserve"> </w:t>
      </w:r>
      <w:r>
        <w:t>funding</w:t>
      </w:r>
      <w:r w:rsidR="00CD37C6">
        <w:t xml:space="preserve"> </w:t>
      </w:r>
      <w:r>
        <w:t>payment</w:t>
      </w:r>
      <w:r w:rsidR="00CD37C6">
        <w:t xml:space="preserve"> </w:t>
      </w:r>
      <w:r>
        <w:t>it</w:t>
      </w:r>
      <w:r w:rsidR="00CD37C6">
        <w:t xml:space="preserve"> </w:t>
      </w:r>
      <w:r>
        <w:t>receives,</w:t>
      </w:r>
      <w:r w:rsidR="00CD37C6">
        <w:t xml:space="preserve"> </w:t>
      </w:r>
      <w:r>
        <w:t>your</w:t>
      </w:r>
      <w:r w:rsidR="00CD37C6">
        <w:t xml:space="preserve"> </w:t>
      </w:r>
      <w:r>
        <w:t>tax</w:t>
      </w:r>
      <w:r w:rsidR="00CD37C6">
        <w:t xml:space="preserve"> </w:t>
      </w:r>
      <w:r>
        <w:t>invoices</w:t>
      </w:r>
      <w:r w:rsidR="00CD37C6">
        <w:t xml:space="preserve"> </w:t>
      </w:r>
      <w:r>
        <w:t>may</w:t>
      </w:r>
      <w:r w:rsidR="00CD37C6">
        <w:t xml:space="preserve"> </w:t>
      </w:r>
      <w:r>
        <w:t>include</w:t>
      </w:r>
      <w:r w:rsidR="00CD37C6">
        <w:t xml:space="preserve"> </w:t>
      </w:r>
      <w:r>
        <w:t>the</w:t>
      </w:r>
      <w:r w:rsidR="00CD37C6">
        <w:t xml:space="preserve"> </w:t>
      </w:r>
      <w:r>
        <w:t>additional</w:t>
      </w:r>
      <w:r w:rsidR="00CD37C6">
        <w:t xml:space="preserve"> </w:t>
      </w:r>
      <w:r>
        <w:t>GST</w:t>
      </w:r>
      <w:r w:rsidR="00CD37C6">
        <w:t xml:space="preserve"> </w:t>
      </w:r>
      <w:r>
        <w:t>component.</w:t>
      </w:r>
    </w:p>
    <w:p w14:paraId="012C574B" w14:textId="1B1E6B17" w:rsidR="009F127E" w:rsidRPr="00EF3098" w:rsidRDefault="00000000" w:rsidP="00EF3098">
      <w:pPr>
        <w:pStyle w:val="Normalbeforebullet"/>
        <w:rPr>
          <w:rStyle w:val="Medium"/>
          <w:b/>
          <w:bCs/>
        </w:rPr>
      </w:pPr>
      <w:r w:rsidRPr="00EF3098">
        <w:rPr>
          <w:rStyle w:val="Medium"/>
          <w:b/>
          <w:bCs/>
        </w:rPr>
        <w:t>Financial,</w:t>
      </w:r>
      <w:r w:rsidR="00CD37C6">
        <w:rPr>
          <w:rStyle w:val="Medium"/>
          <w:b/>
          <w:bCs/>
        </w:rPr>
        <w:t xml:space="preserve"> </w:t>
      </w:r>
      <w:r w:rsidRPr="00EF3098">
        <w:rPr>
          <w:rStyle w:val="Medium"/>
          <w:b/>
          <w:bCs/>
        </w:rPr>
        <w:t>probity</w:t>
      </w:r>
      <w:r w:rsidR="00CD37C6">
        <w:rPr>
          <w:rStyle w:val="Medium"/>
          <w:b/>
          <w:bCs/>
        </w:rPr>
        <w:t xml:space="preserve"> </w:t>
      </w:r>
      <w:r w:rsidRPr="00EF3098">
        <w:rPr>
          <w:rStyle w:val="Medium"/>
          <w:b/>
          <w:bCs/>
        </w:rPr>
        <w:t>and</w:t>
      </w:r>
      <w:r w:rsidR="00CD37C6">
        <w:rPr>
          <w:rStyle w:val="Medium"/>
          <w:b/>
          <w:bCs/>
        </w:rPr>
        <w:t xml:space="preserve"> </w:t>
      </w:r>
      <w:r w:rsidRPr="00EF3098">
        <w:rPr>
          <w:rStyle w:val="Medium"/>
          <w:b/>
          <w:bCs/>
        </w:rPr>
        <w:t>reputational</w:t>
      </w:r>
      <w:r w:rsidR="00CD37C6">
        <w:rPr>
          <w:rStyle w:val="Medium"/>
          <w:b/>
          <w:bCs/>
        </w:rPr>
        <w:t xml:space="preserve"> </w:t>
      </w:r>
      <w:r w:rsidRPr="00EF3098">
        <w:rPr>
          <w:rStyle w:val="Medium"/>
          <w:b/>
          <w:bCs/>
        </w:rPr>
        <w:t>checks</w:t>
      </w:r>
    </w:p>
    <w:p w14:paraId="1D1D7EC3" w14:textId="7CC76A62" w:rsidR="009F127E" w:rsidRDefault="00000000" w:rsidP="008E4EA4">
      <w:r>
        <w:t>If</w:t>
      </w:r>
      <w:r w:rsidR="00CD37C6">
        <w:t xml:space="preserve"> </w:t>
      </w:r>
      <w:r>
        <w:t>the</w:t>
      </w:r>
      <w:r w:rsidR="00CD37C6">
        <w:t xml:space="preserve"> </w:t>
      </w:r>
      <w:r>
        <w:t>applicant</w:t>
      </w:r>
      <w:r w:rsidR="00CD37C6">
        <w:t xml:space="preserve"> </w:t>
      </w:r>
      <w:r>
        <w:t>is</w:t>
      </w:r>
      <w:r w:rsidR="00CD37C6">
        <w:t xml:space="preserve"> </w:t>
      </w:r>
      <w:r>
        <w:t>a</w:t>
      </w:r>
      <w:r w:rsidR="00CD37C6">
        <w:t xml:space="preserve"> </w:t>
      </w:r>
      <w:r>
        <w:t>company,</w:t>
      </w:r>
      <w:r w:rsidR="00CD37C6">
        <w:t xml:space="preserve"> </w:t>
      </w:r>
      <w:r>
        <w:t>the</w:t>
      </w:r>
      <w:r w:rsidR="00CD37C6">
        <w:t xml:space="preserve"> </w:t>
      </w:r>
      <w:r>
        <w:t>Department</w:t>
      </w:r>
      <w:r w:rsidR="00CD37C6">
        <w:t xml:space="preserve"> </w:t>
      </w:r>
      <w:r>
        <w:t>will</w:t>
      </w:r>
      <w:r w:rsidR="00CD37C6">
        <w:t xml:space="preserve"> </w:t>
      </w:r>
      <w:r>
        <w:t>undertake</w:t>
      </w:r>
      <w:r w:rsidR="00CD37C6">
        <w:t xml:space="preserve"> </w:t>
      </w:r>
      <w:r>
        <w:t>probity</w:t>
      </w:r>
      <w:r w:rsidR="00CD37C6">
        <w:t xml:space="preserve"> </w:t>
      </w:r>
      <w:r>
        <w:t>checks</w:t>
      </w:r>
      <w:r w:rsidR="00CD37C6">
        <w:t xml:space="preserve"> </w:t>
      </w:r>
      <w:r>
        <w:t>to</w:t>
      </w:r>
      <w:r w:rsidR="00CD37C6">
        <w:t xml:space="preserve"> </w:t>
      </w:r>
      <w:r>
        <w:t>identify</w:t>
      </w:r>
      <w:r w:rsidR="00CD37C6">
        <w:t xml:space="preserve"> </w:t>
      </w:r>
      <w:r>
        <w:t>if</w:t>
      </w:r>
      <w:r w:rsidR="00CD37C6">
        <w:t xml:space="preserve"> </w:t>
      </w:r>
      <w:r>
        <w:t>there</w:t>
      </w:r>
      <w:r w:rsidR="00CD37C6">
        <w:t xml:space="preserve"> </w:t>
      </w:r>
      <w:r>
        <w:t>are</w:t>
      </w:r>
      <w:r w:rsidR="00CD37C6">
        <w:t xml:space="preserve"> </w:t>
      </w:r>
      <w:r>
        <w:t>any</w:t>
      </w:r>
      <w:r w:rsidR="00CD37C6">
        <w:t xml:space="preserve"> </w:t>
      </w:r>
      <w:r>
        <w:t>actions,</w:t>
      </w:r>
      <w:r w:rsidR="00CD37C6">
        <w:t xml:space="preserve"> </w:t>
      </w:r>
      <w:r>
        <w:t>claims</w:t>
      </w:r>
      <w:r w:rsidR="00CD37C6">
        <w:t xml:space="preserve"> </w:t>
      </w:r>
      <w:r>
        <w:t>or</w:t>
      </w:r>
      <w:r w:rsidR="00CD37C6">
        <w:t xml:space="preserve"> </w:t>
      </w:r>
      <w:r>
        <w:t>disputes</w:t>
      </w:r>
      <w:r w:rsidR="00CD37C6">
        <w:t xml:space="preserve"> </w:t>
      </w:r>
      <w:r>
        <w:t>with</w:t>
      </w:r>
      <w:r w:rsidR="00CD37C6">
        <w:t xml:space="preserve"> </w:t>
      </w:r>
      <w:r>
        <w:t>any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directors,</w:t>
      </w:r>
      <w:r w:rsidR="00CD37C6">
        <w:t xml:space="preserve"> </w:t>
      </w:r>
      <w:r>
        <w:t>whether</w:t>
      </w:r>
      <w:r w:rsidR="00CD37C6">
        <w:t xml:space="preserve"> </w:t>
      </w:r>
      <w:r>
        <w:t>any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directors</w:t>
      </w:r>
      <w:r w:rsidR="00CD37C6">
        <w:t xml:space="preserve"> </w:t>
      </w:r>
      <w:r>
        <w:t>have</w:t>
      </w:r>
      <w:r w:rsidR="00CD37C6">
        <w:t xml:space="preserve"> </w:t>
      </w:r>
      <w:r>
        <w:t>been</w:t>
      </w:r>
      <w:r w:rsidR="00CD37C6">
        <w:t xml:space="preserve"> </w:t>
      </w:r>
      <w:r>
        <w:t>disqualified</w:t>
      </w:r>
      <w:r w:rsidR="00CD37C6">
        <w:t xml:space="preserve"> </w:t>
      </w:r>
      <w:r>
        <w:t>from</w:t>
      </w:r>
      <w:r w:rsidR="00CD37C6">
        <w:t xml:space="preserve"> </w:t>
      </w:r>
      <w:r>
        <w:t>acting</w:t>
      </w:r>
      <w:r w:rsidR="00CD37C6">
        <w:t xml:space="preserve"> </w:t>
      </w:r>
      <w:r>
        <w:t>as</w:t>
      </w:r>
      <w:r w:rsidR="00CD37C6">
        <w:t xml:space="preserve"> </w:t>
      </w:r>
      <w:r>
        <w:t>a</w:t>
      </w:r>
      <w:r w:rsidR="00CD37C6">
        <w:t xml:space="preserve"> </w:t>
      </w:r>
      <w:r>
        <w:t>director,</w:t>
      </w:r>
      <w:r w:rsidR="00CD37C6">
        <w:t xml:space="preserve"> </w:t>
      </w:r>
      <w:r>
        <w:t>or</w:t>
      </w:r>
      <w:r w:rsidR="00CD37C6">
        <w:t xml:space="preserve"> </w:t>
      </w:r>
      <w:r>
        <w:t>whether</w:t>
      </w:r>
      <w:r w:rsidR="00CD37C6">
        <w:t xml:space="preserve"> </w:t>
      </w:r>
      <w:r>
        <w:t>there</w:t>
      </w:r>
      <w:r w:rsidR="00CD37C6">
        <w:t xml:space="preserve"> </w:t>
      </w:r>
      <w:r>
        <w:t>are</w:t>
      </w:r>
      <w:r w:rsidR="00CD37C6">
        <w:t xml:space="preserve"> </w:t>
      </w:r>
      <w:r>
        <w:t>any</w:t>
      </w:r>
      <w:r w:rsidR="00CD37C6">
        <w:t xml:space="preserve"> </w:t>
      </w:r>
      <w:r>
        <w:t>adverse</w:t>
      </w:r>
      <w:r w:rsidR="00CD37C6">
        <w:t xml:space="preserve"> </w:t>
      </w:r>
      <w:r>
        <w:t>findings</w:t>
      </w:r>
      <w:r w:rsidR="00CD37C6">
        <w:t xml:space="preserve"> </w:t>
      </w:r>
      <w:r>
        <w:t>against</w:t>
      </w:r>
      <w:r w:rsidR="00CD37C6">
        <w:t xml:space="preserve"> </w:t>
      </w:r>
      <w:r>
        <w:t>the</w:t>
      </w:r>
      <w:r w:rsidR="00CD37C6">
        <w:t xml:space="preserve"> </w:t>
      </w:r>
      <w:r>
        <w:t>applicant.</w:t>
      </w:r>
    </w:p>
    <w:p w14:paraId="0F94C042" w14:textId="40210511" w:rsidR="009F127E" w:rsidRDefault="00000000" w:rsidP="008E4EA4">
      <w:r>
        <w:t>Private</w:t>
      </w:r>
      <w:r w:rsidR="00CD37C6">
        <w:t xml:space="preserve"> </w:t>
      </w:r>
      <w:r>
        <w:t>sector</w:t>
      </w:r>
      <w:r w:rsidR="00CD37C6">
        <w:t xml:space="preserve"> </w:t>
      </w:r>
      <w:r>
        <w:t>and</w:t>
      </w:r>
      <w:r w:rsidR="00CD37C6">
        <w:t xml:space="preserve"> </w:t>
      </w:r>
      <w:r>
        <w:t>not-for-profit</w:t>
      </w:r>
      <w:r w:rsidR="00CD37C6">
        <w:t xml:space="preserve"> </w:t>
      </w:r>
      <w:r>
        <w:t>applicants</w:t>
      </w:r>
      <w:r w:rsidR="00CD37C6">
        <w:t xml:space="preserve"> </w:t>
      </w:r>
      <w:r>
        <w:t>requesting</w:t>
      </w:r>
      <w:r w:rsidR="00CD37C6">
        <w:t xml:space="preserve"> </w:t>
      </w:r>
      <w:r>
        <w:t>funding</w:t>
      </w:r>
      <w:r w:rsidR="00CD37C6">
        <w:t xml:space="preserve"> </w:t>
      </w:r>
      <w:r>
        <w:t>of</w:t>
      </w:r>
      <w:r w:rsidR="00CD37C6">
        <w:t xml:space="preserve"> </w:t>
      </w:r>
      <w:r>
        <w:t>over</w:t>
      </w:r>
      <w:r w:rsidR="00CD37C6">
        <w:t xml:space="preserve"> </w:t>
      </w:r>
      <w:r>
        <w:t>$50,001</w:t>
      </w:r>
      <w:r w:rsidR="00CD37C6">
        <w:t xml:space="preserve"> </w:t>
      </w:r>
      <w:r>
        <w:t>will</w:t>
      </w:r>
      <w:r w:rsidR="00CD37C6">
        <w:t xml:space="preserve"> </w:t>
      </w:r>
      <w:r>
        <w:t>be</w:t>
      </w:r>
      <w:r w:rsidR="00CD37C6">
        <w:t xml:space="preserve"> </w:t>
      </w:r>
      <w:r>
        <w:t>required</w:t>
      </w:r>
      <w:r w:rsidR="00CD37C6">
        <w:t xml:space="preserve"> </w:t>
      </w:r>
      <w:r>
        <w:t>to</w:t>
      </w:r>
      <w:r w:rsidR="00CD37C6">
        <w:t xml:space="preserve"> </w:t>
      </w:r>
      <w:r>
        <w:t>provide</w:t>
      </w:r>
      <w:r w:rsidR="00CD37C6">
        <w:t xml:space="preserve"> </w:t>
      </w:r>
      <w:r>
        <w:t>financial</w:t>
      </w:r>
      <w:r w:rsidR="00CD37C6">
        <w:t xml:space="preserve"> </w:t>
      </w:r>
      <w:r>
        <w:t>information</w:t>
      </w:r>
      <w:r w:rsidR="00CD37C6">
        <w:t xml:space="preserve"> </w:t>
      </w:r>
      <w:r>
        <w:t>to</w:t>
      </w:r>
      <w:r w:rsidR="00CD37C6">
        <w:t xml:space="preserve"> </w:t>
      </w:r>
      <w:r>
        <w:t>enable</w:t>
      </w:r>
      <w:r w:rsidR="00CD37C6">
        <w:t xml:space="preserve"> </w:t>
      </w:r>
      <w:r>
        <w:t>a</w:t>
      </w:r>
      <w:r w:rsidR="00CD37C6">
        <w:t xml:space="preserve"> </w:t>
      </w:r>
      <w:r>
        <w:t>financial</w:t>
      </w:r>
      <w:r w:rsidR="00CD37C6">
        <w:t xml:space="preserve"> </w:t>
      </w:r>
      <w:r>
        <w:t>risk</w:t>
      </w:r>
      <w:r w:rsidR="00CD37C6">
        <w:t xml:space="preserve"> </w:t>
      </w:r>
      <w:r>
        <w:t>assessment</w:t>
      </w:r>
      <w:r w:rsidR="00CD37C6">
        <w:t xml:space="preserve"> </w:t>
      </w:r>
      <w:r>
        <w:t>to</w:t>
      </w:r>
      <w:r w:rsidR="00CD37C6">
        <w:t xml:space="preserve"> </w:t>
      </w:r>
      <w:r>
        <w:t>be</w:t>
      </w:r>
      <w:r w:rsidR="00CD37C6">
        <w:t xml:space="preserve"> </w:t>
      </w:r>
      <w:r>
        <w:t>completed:</w:t>
      </w:r>
    </w:p>
    <w:p w14:paraId="58A0528B" w14:textId="2BA4BCA5" w:rsidR="009F127E" w:rsidRDefault="00000000" w:rsidP="00EF3098">
      <w:pPr>
        <w:pStyle w:val="Numberedlist"/>
        <w:numPr>
          <w:ilvl w:val="0"/>
          <w:numId w:val="9"/>
        </w:numPr>
      </w:pPr>
      <w:r>
        <w:t>Audited</w:t>
      </w:r>
      <w:r w:rsidR="00CD37C6">
        <w:t xml:space="preserve"> </w:t>
      </w:r>
      <w:r>
        <w:t>financial</w:t>
      </w:r>
      <w:r w:rsidR="00CD37C6">
        <w:t xml:space="preserve"> </w:t>
      </w:r>
      <w:r>
        <w:t>reports</w:t>
      </w:r>
      <w:r w:rsidR="00CD37C6">
        <w:t xml:space="preserve"> </w:t>
      </w:r>
      <w:r>
        <w:t>for</w:t>
      </w:r>
      <w:r w:rsidR="00CD37C6">
        <w:t xml:space="preserve"> </w:t>
      </w:r>
      <w:r>
        <w:t>the</w:t>
      </w:r>
      <w:r w:rsidR="00CD37C6">
        <w:t xml:space="preserve"> </w:t>
      </w:r>
      <w:r>
        <w:t>last</w:t>
      </w:r>
      <w:r w:rsidR="00CD37C6">
        <w:t xml:space="preserve"> </w:t>
      </w:r>
      <w:r>
        <w:t>three</w:t>
      </w:r>
      <w:r w:rsidR="00CD37C6">
        <w:t xml:space="preserve"> </w:t>
      </w:r>
      <w:r>
        <w:t>financial</w:t>
      </w:r>
      <w:r w:rsidR="00CD37C6">
        <w:t xml:space="preserve"> </w:t>
      </w:r>
      <w:r>
        <w:t>years.</w:t>
      </w:r>
      <w:r w:rsidR="00CD37C6">
        <w:t xml:space="preserve"> </w:t>
      </w:r>
      <w:r>
        <w:t>This</w:t>
      </w:r>
      <w:r w:rsidR="00CD37C6">
        <w:t xml:space="preserve"> </w:t>
      </w:r>
      <w:r>
        <w:t>should</w:t>
      </w:r>
      <w:r w:rsidR="00CD37C6">
        <w:t xml:space="preserve"> </w:t>
      </w:r>
      <w:r>
        <w:t>be</w:t>
      </w:r>
      <w:r w:rsidR="00CD37C6">
        <w:t xml:space="preserve"> </w:t>
      </w:r>
      <w:r>
        <w:t>the</w:t>
      </w:r>
      <w:r w:rsidR="00CD37C6">
        <w:t xml:space="preserve"> </w:t>
      </w:r>
      <w:r>
        <w:t>‘final</w:t>
      </w:r>
      <w:r w:rsidR="00CD37C6">
        <w:t xml:space="preserve"> </w:t>
      </w:r>
      <w:r>
        <w:t>accounts’</w:t>
      </w:r>
      <w:r w:rsidR="00CD37C6">
        <w:t xml:space="preserve"> </w:t>
      </w:r>
      <w:r>
        <w:t>with</w:t>
      </w:r>
      <w:r w:rsidR="00CD37C6">
        <w:t xml:space="preserve"> </w:t>
      </w:r>
      <w:r>
        <w:t>Director’s</w:t>
      </w:r>
      <w:r w:rsidR="00CD37C6">
        <w:t xml:space="preserve"> </w:t>
      </w:r>
      <w:r>
        <w:t>Report</w:t>
      </w:r>
      <w:r w:rsidR="00CD37C6">
        <w:t xml:space="preserve"> </w:t>
      </w:r>
      <w:r>
        <w:t>and</w:t>
      </w:r>
      <w:r w:rsidR="00CD37C6">
        <w:t xml:space="preserve"> </w:t>
      </w:r>
      <w:r>
        <w:t>Declaration</w:t>
      </w:r>
      <w:r w:rsidR="00CD37C6">
        <w:t xml:space="preserve"> </w:t>
      </w:r>
      <w:r>
        <w:t>and</w:t>
      </w:r>
      <w:r w:rsidR="00CD37C6">
        <w:t xml:space="preserve"> </w:t>
      </w:r>
      <w:r>
        <w:t>should</w:t>
      </w:r>
      <w:r w:rsidR="00CD37C6">
        <w:t xml:space="preserve"> </w:t>
      </w:r>
      <w:r>
        <w:t>include:</w:t>
      </w:r>
    </w:p>
    <w:p w14:paraId="198B8749" w14:textId="3994479E" w:rsidR="009F127E" w:rsidRDefault="00000000">
      <w:pPr>
        <w:pStyle w:val="Bullet2"/>
      </w:pPr>
      <w:r>
        <w:t>profit</w:t>
      </w:r>
      <w:r w:rsidR="00CD37C6">
        <w:t xml:space="preserve"> </w:t>
      </w:r>
      <w:r>
        <w:t>and</w:t>
      </w:r>
      <w:r w:rsidR="00CD37C6">
        <w:t xml:space="preserve"> </w:t>
      </w:r>
      <w:r>
        <w:t>loss</w:t>
      </w:r>
      <w:r w:rsidR="00CD37C6">
        <w:t xml:space="preserve"> </w:t>
      </w:r>
      <w:r>
        <w:t>statement</w:t>
      </w:r>
    </w:p>
    <w:p w14:paraId="18D1C327" w14:textId="072DE303" w:rsidR="009F127E" w:rsidRDefault="00000000">
      <w:pPr>
        <w:pStyle w:val="Bullet2"/>
      </w:pPr>
      <w:r>
        <w:t>balance</w:t>
      </w:r>
      <w:r w:rsidR="00CD37C6">
        <w:t xml:space="preserve"> </w:t>
      </w:r>
      <w:r>
        <w:t>sheet</w:t>
      </w:r>
    </w:p>
    <w:p w14:paraId="42387B85" w14:textId="445C47A4" w:rsidR="009F127E" w:rsidRDefault="00000000">
      <w:pPr>
        <w:pStyle w:val="Bullet2"/>
      </w:pPr>
      <w:r>
        <w:t>cash</w:t>
      </w:r>
      <w:r w:rsidR="00CD37C6">
        <w:t xml:space="preserve"> </w:t>
      </w:r>
      <w:r>
        <w:t>flows</w:t>
      </w:r>
    </w:p>
    <w:p w14:paraId="0BE77AAE" w14:textId="5D4C7339" w:rsidR="009F127E" w:rsidRDefault="00000000">
      <w:pPr>
        <w:pStyle w:val="Bullet2"/>
      </w:pPr>
      <w:r>
        <w:t>notes</w:t>
      </w:r>
      <w:r w:rsidR="00CD37C6">
        <w:t xml:space="preserve"> </w:t>
      </w:r>
      <w:r>
        <w:t>to</w:t>
      </w:r>
      <w:r w:rsidR="00CD37C6">
        <w:t xml:space="preserve"> </w:t>
      </w:r>
      <w:r>
        <w:t>the</w:t>
      </w:r>
      <w:r w:rsidR="00CD37C6">
        <w:t xml:space="preserve"> </w:t>
      </w:r>
      <w:r>
        <w:t>accounts.</w:t>
      </w:r>
    </w:p>
    <w:p w14:paraId="4A5A2520" w14:textId="33DFF421" w:rsidR="009F127E" w:rsidRDefault="00000000" w:rsidP="00EF3098">
      <w:pPr>
        <w:pStyle w:val="Numberedlist"/>
      </w:pPr>
      <w:r>
        <w:lastRenderedPageBreak/>
        <w:t>If</w:t>
      </w:r>
      <w:r w:rsidR="00CD37C6">
        <w:t xml:space="preserve"> </w:t>
      </w:r>
      <w:r>
        <w:t>the</w:t>
      </w:r>
      <w:r w:rsidR="00CD37C6">
        <w:t xml:space="preserve"> </w:t>
      </w:r>
      <w:r>
        <w:t>latest</w:t>
      </w:r>
      <w:r w:rsidR="00CD37C6">
        <w:t xml:space="preserve"> </w:t>
      </w:r>
      <w:r>
        <w:t>financial</w:t>
      </w:r>
      <w:r w:rsidR="00CD37C6">
        <w:t xml:space="preserve"> </w:t>
      </w:r>
      <w:r>
        <w:t>report</w:t>
      </w:r>
      <w:r w:rsidR="00CD37C6">
        <w:t xml:space="preserve"> </w:t>
      </w:r>
      <w:r>
        <w:t>is</w:t>
      </w:r>
      <w:r w:rsidR="00CD37C6">
        <w:t xml:space="preserve"> </w:t>
      </w:r>
      <w:r>
        <w:t>more</w:t>
      </w:r>
      <w:r w:rsidR="00CD37C6">
        <w:t xml:space="preserve"> </w:t>
      </w:r>
      <w:r>
        <w:t>than</w:t>
      </w:r>
      <w:r w:rsidR="00CD37C6">
        <w:t xml:space="preserve"> </w:t>
      </w:r>
      <w:r>
        <w:t>six</w:t>
      </w:r>
      <w:r w:rsidR="00CD37C6">
        <w:t xml:space="preserve"> </w:t>
      </w:r>
      <w:r w:rsidRPr="00EF3098">
        <w:t>months</w:t>
      </w:r>
      <w:r w:rsidR="00CD37C6">
        <w:t xml:space="preserve"> </w:t>
      </w:r>
      <w:r>
        <w:t>old:</w:t>
      </w:r>
      <w:r w:rsidR="00CD37C6">
        <w:t xml:space="preserve"> </w:t>
      </w:r>
    </w:p>
    <w:p w14:paraId="7F4F1423" w14:textId="4541C53B" w:rsidR="009F127E" w:rsidRDefault="00000000">
      <w:pPr>
        <w:pStyle w:val="Bullet2"/>
      </w:pPr>
      <w:r>
        <w:t>up-to-date</w:t>
      </w:r>
      <w:r w:rsidR="00CD37C6">
        <w:t xml:space="preserve"> </w:t>
      </w:r>
      <w:r>
        <w:t>management</w:t>
      </w:r>
      <w:r w:rsidR="00CD37C6">
        <w:t xml:space="preserve"> </w:t>
      </w:r>
      <w:r>
        <w:t>or</w:t>
      </w:r>
      <w:r w:rsidR="00CD37C6">
        <w:t xml:space="preserve"> </w:t>
      </w:r>
      <w:r>
        <w:t>interim</w:t>
      </w:r>
      <w:r w:rsidR="00CD37C6">
        <w:t xml:space="preserve"> </w:t>
      </w:r>
      <w:r>
        <w:t>accounts</w:t>
      </w:r>
      <w:r w:rsidR="00CD37C6">
        <w:t xml:space="preserve"> </w:t>
      </w:r>
      <w:r>
        <w:t>for</w:t>
      </w:r>
      <w:r w:rsidR="00CD37C6">
        <w:t xml:space="preserve"> </w:t>
      </w:r>
      <w:r>
        <w:t>the</w:t>
      </w:r>
      <w:r w:rsidR="00CD37C6">
        <w:t xml:space="preserve"> </w:t>
      </w:r>
      <w:r>
        <w:t>current</w:t>
      </w:r>
      <w:r w:rsidR="00CD37C6">
        <w:t xml:space="preserve"> </w:t>
      </w:r>
      <w:r>
        <w:t>year</w:t>
      </w:r>
      <w:r w:rsidR="00CD37C6">
        <w:t xml:space="preserve"> </w:t>
      </w:r>
      <w:r>
        <w:t>including</w:t>
      </w:r>
      <w:r w:rsidR="00CD37C6">
        <w:t xml:space="preserve"> </w:t>
      </w:r>
      <w:r>
        <w:t>profit</w:t>
      </w:r>
      <w:r w:rsidR="00CD37C6">
        <w:t xml:space="preserve"> </w:t>
      </w:r>
      <w:r>
        <w:t>and</w:t>
      </w:r>
      <w:r w:rsidR="00CD37C6">
        <w:t xml:space="preserve"> </w:t>
      </w:r>
      <w:r>
        <w:t>loss</w:t>
      </w:r>
      <w:r w:rsidR="00CD37C6">
        <w:t xml:space="preserve"> </w:t>
      </w:r>
      <w:r>
        <w:t>statement</w:t>
      </w:r>
      <w:r w:rsidR="00CD37C6">
        <w:t xml:space="preserve"> </w:t>
      </w:r>
      <w:r>
        <w:t>and</w:t>
      </w:r>
      <w:r w:rsidR="00CD37C6">
        <w:t xml:space="preserve"> </w:t>
      </w:r>
      <w:r>
        <w:t>balance</w:t>
      </w:r>
      <w:r w:rsidR="00CD37C6">
        <w:t xml:space="preserve"> </w:t>
      </w:r>
      <w:r>
        <w:t>sheet</w:t>
      </w:r>
    </w:p>
    <w:p w14:paraId="17C488EA" w14:textId="07FE0C14" w:rsidR="009F127E" w:rsidRDefault="00000000" w:rsidP="00EF3098">
      <w:pPr>
        <w:pStyle w:val="Bullet2end"/>
        <w:spacing w:after="200"/>
        <w:ind w:left="568" w:hanging="284"/>
      </w:pPr>
      <w:r>
        <w:t>in</w:t>
      </w:r>
      <w:r w:rsidR="00CD37C6">
        <w:t xml:space="preserve"> </w:t>
      </w:r>
      <w:r>
        <w:t>case</w:t>
      </w:r>
      <w:r w:rsidR="00CD37C6">
        <w:t xml:space="preserve"> </w:t>
      </w:r>
      <w:r>
        <w:t>of</w:t>
      </w:r>
      <w:r w:rsidR="00CD37C6">
        <w:t xml:space="preserve"> </w:t>
      </w:r>
      <w:r>
        <w:t>public</w:t>
      </w:r>
      <w:r w:rsidR="00CD37C6">
        <w:t xml:space="preserve"> </w:t>
      </w:r>
      <w:r>
        <w:t>listed</w:t>
      </w:r>
      <w:r w:rsidR="00CD37C6">
        <w:t xml:space="preserve"> </w:t>
      </w:r>
      <w:r>
        <w:t>corporations,</w:t>
      </w:r>
      <w:r w:rsidR="00CD37C6">
        <w:t xml:space="preserve"> </w:t>
      </w:r>
      <w:r>
        <w:t>half</w:t>
      </w:r>
      <w:r w:rsidR="00CD37C6">
        <w:t xml:space="preserve"> </w:t>
      </w:r>
      <w:r>
        <w:t>yearly</w:t>
      </w:r>
      <w:r w:rsidR="00CD37C6">
        <w:t xml:space="preserve"> </w:t>
      </w:r>
      <w:r>
        <w:t>financial</w:t>
      </w:r>
      <w:r w:rsidR="00CD37C6">
        <w:t xml:space="preserve"> </w:t>
      </w:r>
      <w:r>
        <w:t>report.</w:t>
      </w:r>
    </w:p>
    <w:p w14:paraId="69C538C5" w14:textId="36BA9408" w:rsidR="009F127E" w:rsidRDefault="00000000" w:rsidP="008E4EA4">
      <w:r>
        <w:t>Any</w:t>
      </w:r>
      <w:r w:rsidR="00CD37C6">
        <w:t xml:space="preserve"> </w:t>
      </w:r>
      <w:r>
        <w:t>of</w:t>
      </w:r>
      <w:r w:rsidR="00CD37C6">
        <w:t xml:space="preserve"> </w:t>
      </w:r>
      <w:r>
        <w:t>these</w:t>
      </w:r>
      <w:r w:rsidR="00CD37C6">
        <w:t xml:space="preserve"> </w:t>
      </w:r>
      <w:r>
        <w:t>checks</w:t>
      </w:r>
      <w:r w:rsidR="00CD37C6">
        <w:t xml:space="preserve"> </w:t>
      </w:r>
      <w:r>
        <w:t>may</w:t>
      </w:r>
      <w:r w:rsidR="00CD37C6">
        <w:t xml:space="preserve"> </w:t>
      </w:r>
      <w:r>
        <w:t>be</w:t>
      </w:r>
      <w:r w:rsidR="00CD37C6">
        <w:t xml:space="preserve"> </w:t>
      </w:r>
      <w:r>
        <w:t>taken</w:t>
      </w:r>
      <w:r w:rsidR="00CD37C6">
        <w:t xml:space="preserve"> </w:t>
      </w:r>
      <w:r>
        <w:t>into</w:t>
      </w:r>
      <w:r w:rsidR="00CD37C6">
        <w:t xml:space="preserve"> </w:t>
      </w:r>
      <w:r>
        <w:t>consideration</w:t>
      </w:r>
      <w:r w:rsidR="00CD37C6">
        <w:t xml:space="preserve"> </w:t>
      </w:r>
      <w:r>
        <w:t>prior</w:t>
      </w:r>
      <w:r w:rsidR="00CD37C6">
        <w:t xml:space="preserve"> </w:t>
      </w:r>
      <w:r>
        <w:t>to</w:t>
      </w:r>
      <w:r w:rsidR="00CD37C6">
        <w:t xml:space="preserve"> </w:t>
      </w:r>
      <w:r>
        <w:t>awarding</w:t>
      </w:r>
      <w:r w:rsidR="00CD37C6">
        <w:t xml:space="preserve"> </w:t>
      </w:r>
      <w:r>
        <w:t>the</w:t>
      </w:r>
      <w:r w:rsidR="00CD37C6">
        <w:t xml:space="preserve"> </w:t>
      </w:r>
      <w:r>
        <w:t>grant.</w:t>
      </w:r>
    </w:p>
    <w:p w14:paraId="4E1FCD82" w14:textId="476B28EC" w:rsidR="009F127E" w:rsidRPr="00EF3098" w:rsidRDefault="00000000" w:rsidP="00EF3098">
      <w:pPr>
        <w:pStyle w:val="Normalbeforebullet"/>
        <w:rPr>
          <w:rStyle w:val="Medium"/>
          <w:b/>
          <w:bCs/>
        </w:rPr>
      </w:pPr>
      <w:r w:rsidRPr="00EF3098">
        <w:rPr>
          <w:rStyle w:val="Medium"/>
          <w:b/>
          <w:bCs/>
        </w:rPr>
        <w:t>Submission</w:t>
      </w:r>
      <w:r w:rsidR="00CD37C6">
        <w:rPr>
          <w:rStyle w:val="Medium"/>
          <w:b/>
          <w:bCs/>
        </w:rPr>
        <w:t xml:space="preserve"> </w:t>
      </w:r>
      <w:r w:rsidRPr="00EF3098">
        <w:rPr>
          <w:rStyle w:val="Medium"/>
          <w:b/>
          <w:bCs/>
        </w:rPr>
        <w:t>requirements</w:t>
      </w:r>
      <w:r w:rsidR="00CD37C6">
        <w:rPr>
          <w:rStyle w:val="Medium"/>
          <w:b/>
          <w:bCs/>
        </w:rPr>
        <w:t xml:space="preserve"> </w:t>
      </w:r>
      <w:r w:rsidRPr="00EF3098">
        <w:rPr>
          <w:rStyle w:val="Medium"/>
          <w:b/>
          <w:bCs/>
        </w:rPr>
        <w:t>for</w:t>
      </w:r>
      <w:r w:rsidR="00CD37C6">
        <w:rPr>
          <w:rStyle w:val="Medium"/>
          <w:b/>
          <w:bCs/>
        </w:rPr>
        <w:t xml:space="preserve"> </w:t>
      </w:r>
      <w:r w:rsidRPr="00EF3098">
        <w:rPr>
          <w:rStyle w:val="Medium"/>
          <w:b/>
          <w:bCs/>
        </w:rPr>
        <w:t>previously</w:t>
      </w:r>
      <w:r w:rsidR="00CD37C6">
        <w:rPr>
          <w:rStyle w:val="Medium"/>
          <w:b/>
          <w:bCs/>
        </w:rPr>
        <w:t xml:space="preserve"> </w:t>
      </w:r>
      <w:r w:rsidRPr="00EF3098">
        <w:rPr>
          <w:rStyle w:val="Medium"/>
          <w:b/>
          <w:bCs/>
        </w:rPr>
        <w:t>funded</w:t>
      </w:r>
      <w:r w:rsidR="00CD37C6">
        <w:rPr>
          <w:rStyle w:val="Medium"/>
          <w:b/>
          <w:bCs/>
        </w:rPr>
        <w:t xml:space="preserve"> </w:t>
      </w:r>
      <w:r w:rsidRPr="00EF3098">
        <w:rPr>
          <w:rStyle w:val="Medium"/>
          <w:b/>
          <w:bCs/>
        </w:rPr>
        <w:t>projects</w:t>
      </w:r>
    </w:p>
    <w:p w14:paraId="351BDC4E" w14:textId="5EE01707" w:rsidR="009F127E" w:rsidRDefault="00000000" w:rsidP="008E4EA4">
      <w:r>
        <w:t>If</w:t>
      </w:r>
      <w:r w:rsidR="00CD37C6">
        <w:t xml:space="preserve"> </w:t>
      </w:r>
      <w:r>
        <w:t>the</w:t>
      </w:r>
      <w:r w:rsidR="00CD37C6">
        <w:t xml:space="preserve"> </w:t>
      </w:r>
      <w:r>
        <w:t>application</w:t>
      </w:r>
      <w:r w:rsidR="00CD37C6">
        <w:t xml:space="preserve"> </w:t>
      </w:r>
      <w:r>
        <w:t>is</w:t>
      </w:r>
      <w:r w:rsidR="00CD37C6">
        <w:t xml:space="preserve"> </w:t>
      </w:r>
      <w:r>
        <w:t>a</w:t>
      </w:r>
      <w:r w:rsidR="00CD37C6">
        <w:t xml:space="preserve"> </w:t>
      </w:r>
      <w:r>
        <w:t>project</w:t>
      </w:r>
      <w:r w:rsidR="00CD37C6">
        <w:t xml:space="preserve"> </w:t>
      </w:r>
      <w:r>
        <w:t>proposal</w:t>
      </w:r>
      <w:r w:rsidR="00CD37C6">
        <w:t xml:space="preserve"> </w:t>
      </w:r>
      <w:r>
        <w:t>which</w:t>
      </w:r>
      <w:r w:rsidR="00CD37C6">
        <w:t xml:space="preserve"> </w:t>
      </w:r>
      <w:r>
        <w:t>has</w:t>
      </w:r>
      <w:r w:rsidR="00CD37C6">
        <w:t xml:space="preserve"> </w:t>
      </w:r>
      <w:r>
        <w:t>previously</w:t>
      </w:r>
      <w:r w:rsidR="00CD37C6">
        <w:t xml:space="preserve"> </w:t>
      </w:r>
      <w:r>
        <w:t>been</w:t>
      </w:r>
      <w:r w:rsidR="00CD37C6">
        <w:t xml:space="preserve"> </w:t>
      </w:r>
      <w:r>
        <w:t>funded,</w:t>
      </w:r>
      <w:r w:rsidR="00CD37C6">
        <w:t xml:space="preserve"> </w:t>
      </w:r>
      <w:r>
        <w:t>an</w:t>
      </w:r>
      <w:r w:rsidR="00CD37C6">
        <w:t xml:space="preserve"> </w:t>
      </w:r>
      <w:r>
        <w:t>independent</w:t>
      </w:r>
      <w:r w:rsidR="00CD37C6">
        <w:t xml:space="preserve"> </w:t>
      </w:r>
      <w:r>
        <w:t>evaluation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project</w:t>
      </w:r>
      <w:r w:rsidR="00CD37C6">
        <w:t xml:space="preserve"> </w:t>
      </w:r>
      <w:r>
        <w:t>must</w:t>
      </w:r>
      <w:r w:rsidR="00CD37C6">
        <w:t xml:space="preserve"> </w:t>
      </w:r>
      <w:r>
        <w:t>be</w:t>
      </w:r>
      <w:r w:rsidR="00CD37C6">
        <w:t xml:space="preserve"> </w:t>
      </w:r>
      <w:r>
        <w:t>included</w:t>
      </w:r>
      <w:r w:rsidR="00CD37C6">
        <w:t xml:space="preserve"> </w:t>
      </w:r>
      <w:r>
        <w:t>in</w:t>
      </w:r>
      <w:r w:rsidR="00CD37C6">
        <w:t xml:space="preserve"> </w:t>
      </w:r>
      <w:r>
        <w:t>the</w:t>
      </w:r>
      <w:r w:rsidR="00CD37C6">
        <w:t xml:space="preserve"> </w:t>
      </w:r>
      <w:r>
        <w:t>application.</w:t>
      </w:r>
      <w:r w:rsidR="00CD37C6">
        <w:t xml:space="preserve"> </w:t>
      </w:r>
    </w:p>
    <w:p w14:paraId="08DF5B48" w14:textId="31948171" w:rsidR="009F127E" w:rsidRDefault="00000000" w:rsidP="008E4EA4">
      <w:r>
        <w:t>This</w:t>
      </w:r>
      <w:r w:rsidR="00CD37C6">
        <w:t xml:space="preserve"> </w:t>
      </w:r>
      <w:r>
        <w:t>evaluation</w:t>
      </w:r>
      <w:r w:rsidR="00CD37C6">
        <w:t xml:space="preserve"> </w:t>
      </w:r>
      <w:r>
        <w:t>report</w:t>
      </w:r>
      <w:r w:rsidR="00CD37C6">
        <w:t xml:space="preserve"> </w:t>
      </w:r>
      <w:r>
        <w:t>will</w:t>
      </w:r>
      <w:r w:rsidR="00CD37C6">
        <w:t xml:space="preserve"> </w:t>
      </w:r>
      <w:r>
        <w:t>be</w:t>
      </w:r>
      <w:r w:rsidR="00CD37C6">
        <w:t xml:space="preserve"> </w:t>
      </w:r>
      <w:r>
        <w:t>included</w:t>
      </w:r>
      <w:r w:rsidR="00CD37C6">
        <w:t xml:space="preserve"> </w:t>
      </w:r>
      <w:r>
        <w:t>as</w:t>
      </w:r>
      <w:r w:rsidR="00CD37C6">
        <w:t xml:space="preserve"> </w:t>
      </w:r>
      <w:r>
        <w:t>part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assessment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application.</w:t>
      </w:r>
      <w:r w:rsidR="00CD37C6">
        <w:t xml:space="preserve"> </w:t>
      </w:r>
      <w:r>
        <w:t>The</w:t>
      </w:r>
      <w:r w:rsidR="00CD37C6">
        <w:t xml:space="preserve"> </w:t>
      </w:r>
      <w:r>
        <w:t>report</w:t>
      </w:r>
      <w:r w:rsidR="00CD37C6">
        <w:t xml:space="preserve"> </w:t>
      </w:r>
      <w:r>
        <w:t>must</w:t>
      </w:r>
      <w:r w:rsidR="00CD37C6">
        <w:t xml:space="preserve"> </w:t>
      </w:r>
      <w:r>
        <w:t>demonstrate</w:t>
      </w:r>
      <w:r w:rsidR="00CD37C6">
        <w:t xml:space="preserve"> </w:t>
      </w:r>
      <w:r>
        <w:t>that</w:t>
      </w:r>
      <w:r w:rsidR="00CD37C6">
        <w:t xml:space="preserve"> </w:t>
      </w:r>
      <w:r>
        <w:t>the</w:t>
      </w:r>
      <w:r w:rsidR="00CD37C6">
        <w:t xml:space="preserve"> </w:t>
      </w:r>
      <w:r>
        <w:t>previous</w:t>
      </w:r>
      <w:r w:rsidR="00CD37C6">
        <w:t xml:space="preserve"> </w:t>
      </w:r>
      <w:r>
        <w:t>investment</w:t>
      </w:r>
      <w:r w:rsidR="00CD37C6">
        <w:t xml:space="preserve"> </w:t>
      </w:r>
      <w:r>
        <w:t>has</w:t>
      </w:r>
      <w:r w:rsidR="00CD37C6">
        <w:t xml:space="preserve"> </w:t>
      </w:r>
      <w:r>
        <w:t>realised</w:t>
      </w:r>
      <w:r w:rsidR="00CD37C6">
        <w:t xml:space="preserve"> </w:t>
      </w:r>
      <w:r>
        <w:t>benefits</w:t>
      </w:r>
      <w:r w:rsidR="00CD37C6">
        <w:t xml:space="preserve"> </w:t>
      </w:r>
      <w:r>
        <w:t>back</w:t>
      </w:r>
      <w:r w:rsidR="00CD37C6">
        <w:t xml:space="preserve"> </w:t>
      </w:r>
      <w:r>
        <w:t>to</w:t>
      </w:r>
      <w:r w:rsidR="00CD37C6">
        <w:t xml:space="preserve"> </w:t>
      </w:r>
      <w:r>
        <w:t>the</w:t>
      </w:r>
      <w:r w:rsidR="00CD37C6">
        <w:t xml:space="preserve"> </w:t>
      </w:r>
      <w:r>
        <w:t>industry</w:t>
      </w:r>
      <w:r w:rsidR="00CD37C6">
        <w:t xml:space="preserve"> </w:t>
      </w:r>
      <w:r>
        <w:t>in</w:t>
      </w:r>
      <w:r w:rsidR="00CD37C6">
        <w:t xml:space="preserve"> </w:t>
      </w:r>
      <w:r>
        <w:t>accordance</w:t>
      </w:r>
      <w:r w:rsidR="00CD37C6">
        <w:t xml:space="preserve"> </w:t>
      </w:r>
      <w:r>
        <w:t>with</w:t>
      </w:r>
      <w:r w:rsidR="00CD37C6">
        <w:t xml:space="preserve"> </w:t>
      </w:r>
      <w:r>
        <w:t>the</w:t>
      </w:r>
      <w:r w:rsidR="00CD37C6">
        <w:t xml:space="preserve"> </w:t>
      </w:r>
      <w:r>
        <w:t>Act</w:t>
      </w:r>
      <w:r w:rsidR="00CD37C6">
        <w:t xml:space="preserve"> </w:t>
      </w:r>
      <w:r>
        <w:t>and</w:t>
      </w:r>
      <w:r w:rsidR="00CD37C6">
        <w:t xml:space="preserve"> </w:t>
      </w:r>
      <w:r>
        <w:t>the</w:t>
      </w:r>
      <w:r w:rsidR="00CD37C6">
        <w:t xml:space="preserve"> </w:t>
      </w:r>
      <w:r>
        <w:t>respective</w:t>
      </w:r>
      <w:r w:rsidR="00CD37C6">
        <w:t xml:space="preserve"> </w:t>
      </w:r>
      <w:r>
        <w:t>Statement</w:t>
      </w:r>
      <w:r w:rsidR="00CD37C6">
        <w:t xml:space="preserve"> </w:t>
      </w:r>
      <w:r>
        <w:t>of</w:t>
      </w:r>
      <w:r w:rsidR="00CD37C6">
        <w:t xml:space="preserve"> </w:t>
      </w:r>
      <w:r>
        <w:t>Strategic</w:t>
      </w:r>
      <w:r w:rsidR="00CD37C6">
        <w:t xml:space="preserve"> </w:t>
      </w:r>
      <w:r>
        <w:t>Intent</w:t>
      </w:r>
      <w:r w:rsidR="00CD37C6">
        <w:t xml:space="preserve"> </w:t>
      </w:r>
      <w:r>
        <w:t>(Refer</w:t>
      </w:r>
      <w:r w:rsidR="00CD37C6">
        <w:t xml:space="preserve"> </w:t>
      </w:r>
      <w:r>
        <w:t>to</w:t>
      </w:r>
      <w:r w:rsidR="00CD37C6">
        <w:t xml:space="preserve"> </w:t>
      </w:r>
      <w:r>
        <w:t>Appendix</w:t>
      </w:r>
      <w:r w:rsidR="00CD37C6">
        <w:t xml:space="preserve"> </w:t>
      </w:r>
      <w:r>
        <w:t>1</w:t>
      </w:r>
      <w:r w:rsidR="00CD37C6">
        <w:t xml:space="preserve"> </w:t>
      </w:r>
      <w:r>
        <w:t>–</w:t>
      </w:r>
      <w:r w:rsidR="00CD37C6">
        <w:t xml:space="preserve"> </w:t>
      </w:r>
      <w:r>
        <w:t>4).</w:t>
      </w:r>
    </w:p>
    <w:p w14:paraId="7BBD7C72" w14:textId="430C0479" w:rsidR="009F127E" w:rsidRPr="00EF3098" w:rsidRDefault="00000000" w:rsidP="00EF3098">
      <w:pPr>
        <w:pStyle w:val="Normalbeforebullet"/>
        <w:rPr>
          <w:rStyle w:val="Medium"/>
          <w:b/>
          <w:bCs/>
        </w:rPr>
      </w:pPr>
      <w:r w:rsidRPr="00EF3098">
        <w:rPr>
          <w:rStyle w:val="Medium"/>
          <w:b/>
          <w:bCs/>
        </w:rPr>
        <w:t>Table</w:t>
      </w:r>
      <w:r w:rsidR="00CD37C6">
        <w:rPr>
          <w:rStyle w:val="Medium"/>
          <w:b/>
          <w:bCs/>
        </w:rPr>
        <w:t xml:space="preserve"> </w:t>
      </w:r>
      <w:r w:rsidRPr="00EF3098">
        <w:rPr>
          <w:rStyle w:val="Medium"/>
          <w:b/>
          <w:bCs/>
        </w:rPr>
        <w:t>1:</w:t>
      </w:r>
      <w:r w:rsidR="00CD37C6">
        <w:rPr>
          <w:rStyle w:val="Medium"/>
          <w:b/>
          <w:bCs/>
        </w:rPr>
        <w:t xml:space="preserve"> </w:t>
      </w:r>
      <w:r w:rsidRPr="00EF3098">
        <w:rPr>
          <w:rStyle w:val="Medium"/>
          <w:b/>
          <w:bCs/>
        </w:rPr>
        <w:t>Timetable</w:t>
      </w:r>
      <w:r w:rsidR="00CD37C6">
        <w:rPr>
          <w:rStyle w:val="Medium"/>
          <w:b/>
          <w:bCs/>
        </w:rPr>
        <w:t xml:space="preserve"> </w:t>
      </w:r>
      <w:r w:rsidRPr="00EF3098">
        <w:rPr>
          <w:rStyle w:val="Medium"/>
          <w:b/>
          <w:bCs/>
        </w:rPr>
        <w:t>for</w:t>
      </w:r>
      <w:r w:rsidR="00CD37C6">
        <w:rPr>
          <w:rStyle w:val="Medium"/>
          <w:b/>
          <w:bCs/>
        </w:rPr>
        <w:t xml:space="preserve"> </w:t>
      </w:r>
      <w:r w:rsidRPr="00EF3098">
        <w:rPr>
          <w:rStyle w:val="Medium"/>
          <w:b/>
          <w:bCs/>
        </w:rPr>
        <w:t>2022</w:t>
      </w:r>
      <w:r w:rsidR="00CD37C6">
        <w:rPr>
          <w:rStyle w:val="Medium"/>
          <w:b/>
          <w:bCs/>
        </w:rPr>
        <w:t xml:space="preserve"> </w:t>
      </w:r>
      <w:r w:rsidRPr="00EF3098">
        <w:rPr>
          <w:rStyle w:val="Medium"/>
          <w:b/>
          <w:bCs/>
        </w:rPr>
        <w:t>Applications</w:t>
      </w: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3539"/>
        <w:gridCol w:w="3765"/>
      </w:tblGrid>
      <w:tr w:rsidR="00EF3098" w:rsidRPr="00EF3098" w14:paraId="0FE79EB6" w14:textId="77777777" w:rsidTr="00EF3098">
        <w:tc>
          <w:tcPr>
            <w:tcW w:w="3539" w:type="dxa"/>
          </w:tcPr>
          <w:p w14:paraId="2F5C1076" w14:textId="77777777" w:rsidR="009F127E" w:rsidRPr="00EF3098" w:rsidRDefault="00000000" w:rsidP="00EF3098">
            <w:pPr>
              <w:pStyle w:val="TableHeading"/>
            </w:pPr>
            <w:r w:rsidRPr="00EF3098">
              <w:t>Stage</w:t>
            </w:r>
          </w:p>
        </w:tc>
        <w:tc>
          <w:tcPr>
            <w:tcW w:w="3765" w:type="dxa"/>
          </w:tcPr>
          <w:p w14:paraId="79F039D5" w14:textId="77777777" w:rsidR="009F127E" w:rsidRPr="00EF3098" w:rsidRDefault="00000000" w:rsidP="00EF3098">
            <w:pPr>
              <w:pStyle w:val="TableHeading"/>
            </w:pPr>
            <w:r w:rsidRPr="00EF3098">
              <w:t>Dates</w:t>
            </w:r>
          </w:p>
        </w:tc>
      </w:tr>
      <w:tr w:rsidR="00EF3098" w14:paraId="211988C0" w14:textId="77777777" w:rsidTr="00EF3098">
        <w:tc>
          <w:tcPr>
            <w:tcW w:w="3539" w:type="dxa"/>
          </w:tcPr>
          <w:p w14:paraId="040DF387" w14:textId="1444B474" w:rsidR="009F127E" w:rsidRDefault="00000000" w:rsidP="00EF3098">
            <w:pPr>
              <w:pStyle w:val="TableCopy"/>
            </w:pPr>
            <w:r>
              <w:t>Applications</w:t>
            </w:r>
            <w:r w:rsidR="00CD37C6">
              <w:t xml:space="preserve"> </w:t>
            </w:r>
            <w:r>
              <w:t>close</w:t>
            </w:r>
          </w:p>
        </w:tc>
        <w:tc>
          <w:tcPr>
            <w:tcW w:w="3765" w:type="dxa"/>
          </w:tcPr>
          <w:p w14:paraId="26443106" w14:textId="4FDD584F" w:rsidR="009F127E" w:rsidRDefault="00000000" w:rsidP="00EF3098">
            <w:pPr>
              <w:pStyle w:val="TableCopy"/>
            </w:pPr>
            <w:r>
              <w:t>11:59PM</w:t>
            </w:r>
            <w:r w:rsidR="00CD37C6">
              <w:t xml:space="preserve"> </w:t>
            </w:r>
            <w:r>
              <w:t>Friday</w:t>
            </w:r>
            <w:r w:rsidR="00CD37C6">
              <w:t xml:space="preserve"> </w:t>
            </w:r>
            <w:r w:rsidR="00564D5B">
              <w:t>23</w:t>
            </w:r>
            <w:r w:rsidR="00CD37C6">
              <w:t xml:space="preserve"> </w:t>
            </w:r>
            <w:r>
              <w:t>December</w:t>
            </w:r>
            <w:r w:rsidR="00CD37C6">
              <w:t xml:space="preserve"> </w:t>
            </w:r>
            <w:r>
              <w:t>2022</w:t>
            </w:r>
          </w:p>
        </w:tc>
      </w:tr>
      <w:tr w:rsidR="00EF3098" w14:paraId="2CFA0924" w14:textId="77777777" w:rsidTr="00EF3098">
        <w:tc>
          <w:tcPr>
            <w:tcW w:w="3539" w:type="dxa"/>
          </w:tcPr>
          <w:p w14:paraId="6B9FF1DC" w14:textId="28761F3C" w:rsidR="009F127E" w:rsidRDefault="00000000" w:rsidP="00EF3098">
            <w:pPr>
              <w:pStyle w:val="TableCopy"/>
            </w:pPr>
            <w:r>
              <w:t>Review</w:t>
            </w:r>
            <w:r w:rsidR="00CD37C6">
              <w:t xml:space="preserve"> </w:t>
            </w:r>
            <w:r>
              <w:t>of</w:t>
            </w:r>
            <w:r w:rsidR="00CD37C6">
              <w:t xml:space="preserve"> </w:t>
            </w:r>
            <w:r>
              <w:t>applications</w:t>
            </w:r>
          </w:p>
        </w:tc>
        <w:tc>
          <w:tcPr>
            <w:tcW w:w="3765" w:type="dxa"/>
          </w:tcPr>
          <w:p w14:paraId="720E6307" w14:textId="1AB618EF" w:rsidR="009F127E" w:rsidRDefault="00564D5B" w:rsidP="00EF3098">
            <w:pPr>
              <w:pStyle w:val="TableCopy"/>
            </w:pPr>
            <w:r>
              <w:t>January</w:t>
            </w:r>
            <w:r w:rsidR="00CD37C6">
              <w:t xml:space="preserve"> </w:t>
            </w:r>
            <w:r w:rsidR="00000000">
              <w:t>202</w:t>
            </w:r>
            <w:r>
              <w:t>3</w:t>
            </w:r>
            <w:r w:rsidR="00CD37C6">
              <w:t xml:space="preserve"> </w:t>
            </w:r>
            <w:r w:rsidR="00000000">
              <w:t>–</w:t>
            </w:r>
            <w:r w:rsidR="00CD37C6">
              <w:t xml:space="preserve"> </w:t>
            </w:r>
            <w:r w:rsidR="008053FC">
              <w:t>March</w:t>
            </w:r>
            <w:r w:rsidR="00CD37C6">
              <w:t xml:space="preserve"> </w:t>
            </w:r>
            <w:r w:rsidR="00000000">
              <w:t>2023</w:t>
            </w:r>
          </w:p>
        </w:tc>
      </w:tr>
      <w:tr w:rsidR="00EF3098" w14:paraId="70267ED1" w14:textId="77777777" w:rsidTr="00EF3098">
        <w:tc>
          <w:tcPr>
            <w:tcW w:w="3539" w:type="dxa"/>
          </w:tcPr>
          <w:p w14:paraId="0F3D7ED3" w14:textId="54068BD2" w:rsidR="009F127E" w:rsidRDefault="00000000" w:rsidP="00EF3098">
            <w:pPr>
              <w:pStyle w:val="TableCopy"/>
            </w:pPr>
            <w:r>
              <w:t>Applicants</w:t>
            </w:r>
            <w:r w:rsidR="00CD37C6">
              <w:t xml:space="preserve"> </w:t>
            </w:r>
            <w:r>
              <w:t>notified</w:t>
            </w:r>
            <w:r w:rsidR="00CD37C6">
              <w:t xml:space="preserve"> </w:t>
            </w:r>
            <w:r>
              <w:t>of</w:t>
            </w:r>
            <w:r w:rsidR="00CD37C6">
              <w:t xml:space="preserve"> </w:t>
            </w:r>
            <w:r>
              <w:t>outcome</w:t>
            </w:r>
          </w:p>
        </w:tc>
        <w:tc>
          <w:tcPr>
            <w:tcW w:w="3765" w:type="dxa"/>
          </w:tcPr>
          <w:p w14:paraId="453728D6" w14:textId="0A30ACAD" w:rsidR="009F127E" w:rsidRDefault="00000000" w:rsidP="00EF3098">
            <w:pPr>
              <w:pStyle w:val="TableCopy"/>
            </w:pPr>
            <w:r>
              <w:t>From</w:t>
            </w:r>
            <w:r w:rsidR="00CD37C6">
              <w:t xml:space="preserve"> </w:t>
            </w:r>
            <w:r>
              <w:t>April</w:t>
            </w:r>
            <w:r w:rsidR="00CD37C6">
              <w:t xml:space="preserve"> </w:t>
            </w:r>
            <w:r>
              <w:t>2023</w:t>
            </w:r>
          </w:p>
        </w:tc>
      </w:tr>
      <w:tr w:rsidR="00EF3098" w14:paraId="3FBFE3ED" w14:textId="77777777" w:rsidTr="00EF3098">
        <w:tc>
          <w:tcPr>
            <w:tcW w:w="3539" w:type="dxa"/>
          </w:tcPr>
          <w:p w14:paraId="0FDC1968" w14:textId="249D435D" w:rsidR="009F127E" w:rsidRDefault="00000000" w:rsidP="00EF3098">
            <w:pPr>
              <w:pStyle w:val="TableCopy"/>
            </w:pPr>
            <w:r>
              <w:t>Grant</w:t>
            </w:r>
            <w:r w:rsidR="00CD37C6">
              <w:t xml:space="preserve"> </w:t>
            </w:r>
            <w:r>
              <w:t>Agreements</w:t>
            </w:r>
            <w:r w:rsidR="00CD37C6">
              <w:t xml:space="preserve"> </w:t>
            </w:r>
            <w:r>
              <w:t>commence</w:t>
            </w:r>
          </w:p>
        </w:tc>
        <w:tc>
          <w:tcPr>
            <w:tcW w:w="3765" w:type="dxa"/>
          </w:tcPr>
          <w:p w14:paraId="09C75977" w14:textId="008A613C" w:rsidR="009F127E" w:rsidRDefault="00000000" w:rsidP="00EF3098">
            <w:pPr>
              <w:pStyle w:val="TableCopy"/>
            </w:pPr>
            <w:r>
              <w:t>From</w:t>
            </w:r>
            <w:r w:rsidR="00CD37C6">
              <w:t xml:space="preserve"> </w:t>
            </w:r>
            <w:r>
              <w:t>1</w:t>
            </w:r>
            <w:r w:rsidR="00CD37C6">
              <w:t xml:space="preserve"> </w:t>
            </w:r>
            <w:r>
              <w:t>July</w:t>
            </w:r>
            <w:r w:rsidR="00CD37C6">
              <w:t xml:space="preserve"> </w:t>
            </w:r>
            <w:r>
              <w:t>2023</w:t>
            </w:r>
          </w:p>
        </w:tc>
      </w:tr>
    </w:tbl>
    <w:p w14:paraId="3F97CFB1" w14:textId="77777777" w:rsidR="009F127E" w:rsidRDefault="009F127E" w:rsidP="008E4EA4"/>
    <w:p w14:paraId="3E0795EA" w14:textId="26318DBF" w:rsidR="009F127E" w:rsidRDefault="00000000" w:rsidP="008E4EA4">
      <w:r>
        <w:t>The</w:t>
      </w:r>
      <w:r w:rsidR="00CD37C6">
        <w:t xml:space="preserve"> </w:t>
      </w:r>
      <w:r>
        <w:t>approval</w:t>
      </w:r>
      <w:r w:rsidR="00CD37C6">
        <w:t xml:space="preserve"> </w:t>
      </w:r>
      <w:r>
        <w:t>process</w:t>
      </w:r>
      <w:r w:rsidR="00CD37C6">
        <w:t xml:space="preserve"> </w:t>
      </w:r>
      <w:r>
        <w:t>can</w:t>
      </w:r>
      <w:r w:rsidR="00CD37C6">
        <w:t xml:space="preserve"> </w:t>
      </w:r>
      <w:r>
        <w:t>take</w:t>
      </w:r>
      <w:r w:rsidR="00CD37C6">
        <w:t xml:space="preserve"> </w:t>
      </w:r>
      <w:r>
        <w:t>up</w:t>
      </w:r>
      <w:r w:rsidR="00CD37C6">
        <w:t xml:space="preserve"> </w:t>
      </w:r>
      <w:r>
        <w:t>to</w:t>
      </w:r>
      <w:r w:rsidR="00CD37C6">
        <w:t xml:space="preserve"> </w:t>
      </w:r>
      <w:r>
        <w:t>six</w:t>
      </w:r>
      <w:r w:rsidR="00CD37C6">
        <w:t xml:space="preserve"> </w:t>
      </w:r>
      <w:r>
        <w:t>months</w:t>
      </w:r>
      <w:r w:rsidR="00CD37C6">
        <w:t xml:space="preserve"> </w:t>
      </w:r>
      <w:r>
        <w:t>from</w:t>
      </w:r>
      <w:r w:rsidR="00CD37C6">
        <w:t xml:space="preserve"> </w:t>
      </w:r>
      <w:r>
        <w:t>applications</w:t>
      </w:r>
      <w:r w:rsidR="00CD37C6">
        <w:t xml:space="preserve"> </w:t>
      </w:r>
      <w:r>
        <w:t>closing</w:t>
      </w:r>
      <w:r w:rsidR="00CD37C6">
        <w:t xml:space="preserve"> </w:t>
      </w:r>
      <w:r>
        <w:t>to</w:t>
      </w:r>
      <w:r w:rsidR="00CD37C6">
        <w:t xml:space="preserve"> </w:t>
      </w:r>
      <w:r>
        <w:t>notification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outcome.</w:t>
      </w:r>
      <w:r w:rsidR="00CD37C6">
        <w:t xml:space="preserve"> </w:t>
      </w:r>
      <w:r>
        <w:t>Please</w:t>
      </w:r>
      <w:r w:rsidR="00CD37C6">
        <w:t xml:space="preserve"> </w:t>
      </w:r>
      <w:r>
        <w:t>take</w:t>
      </w:r>
      <w:r w:rsidR="00CD37C6">
        <w:t xml:space="preserve"> </w:t>
      </w:r>
      <w:r>
        <w:t>the</w:t>
      </w:r>
      <w:r w:rsidR="00CD37C6">
        <w:t xml:space="preserve"> </w:t>
      </w:r>
      <w:r>
        <w:t>timing</w:t>
      </w:r>
      <w:r w:rsidR="00CD37C6">
        <w:t xml:space="preserve"> </w:t>
      </w:r>
      <w:r>
        <w:t>into</w:t>
      </w:r>
      <w:r w:rsidR="00CD37C6">
        <w:t xml:space="preserve"> </w:t>
      </w:r>
      <w:r>
        <w:t>account</w:t>
      </w:r>
      <w:r w:rsidR="00CD37C6">
        <w:t xml:space="preserve"> </w:t>
      </w:r>
      <w:r>
        <w:t>when</w:t>
      </w:r>
      <w:r w:rsidR="00CD37C6">
        <w:t xml:space="preserve"> </w:t>
      </w:r>
      <w:r>
        <w:t>making</w:t>
      </w:r>
      <w:r w:rsidR="00CD37C6">
        <w:t xml:space="preserve"> </w:t>
      </w:r>
      <w:r>
        <w:t>your</w:t>
      </w:r>
      <w:r w:rsidR="00CD37C6">
        <w:t xml:space="preserve"> </w:t>
      </w:r>
      <w:r>
        <w:t>application.</w:t>
      </w:r>
    </w:p>
    <w:p w14:paraId="440EF8F7" w14:textId="7EA00D34" w:rsidR="009F127E" w:rsidRDefault="00000000" w:rsidP="008E4EA4">
      <w:pPr>
        <w:pStyle w:val="Heading2"/>
      </w:pPr>
      <w:bookmarkStart w:id="5" w:name="_Toc116548263"/>
      <w:r>
        <w:t>5.</w:t>
      </w:r>
      <w:r>
        <w:tab/>
      </w:r>
      <w:r w:rsidR="009B4482">
        <w:t xml:space="preserve"> </w:t>
      </w:r>
      <w:r>
        <w:t>APPLICATION</w:t>
      </w:r>
      <w:r w:rsidR="00CD37C6">
        <w:t xml:space="preserve"> </w:t>
      </w:r>
      <w:r>
        <w:t>ASSESSMENT</w:t>
      </w:r>
      <w:bookmarkEnd w:id="5"/>
    </w:p>
    <w:p w14:paraId="0D71F619" w14:textId="232E271A" w:rsidR="009F127E" w:rsidRPr="00EF3098" w:rsidRDefault="00000000" w:rsidP="00EF3098">
      <w:pPr>
        <w:pStyle w:val="Normalbeforebullet"/>
        <w:rPr>
          <w:rStyle w:val="Medium"/>
          <w:b/>
          <w:bCs/>
        </w:rPr>
      </w:pPr>
      <w:r w:rsidRPr="00EF3098">
        <w:rPr>
          <w:rStyle w:val="Medium"/>
          <w:b/>
          <w:bCs/>
        </w:rPr>
        <w:t>Assessment</w:t>
      </w:r>
      <w:r w:rsidR="00CD37C6">
        <w:rPr>
          <w:rStyle w:val="Medium"/>
          <w:b/>
          <w:bCs/>
        </w:rPr>
        <w:t xml:space="preserve"> </w:t>
      </w:r>
      <w:r w:rsidRPr="00EF3098">
        <w:rPr>
          <w:rStyle w:val="Medium"/>
          <w:b/>
          <w:bCs/>
        </w:rPr>
        <w:t>Process</w:t>
      </w:r>
    </w:p>
    <w:p w14:paraId="3334A8AF" w14:textId="4D54FC63" w:rsidR="00CD37C6" w:rsidRDefault="00CD37C6" w:rsidP="00CD37C6">
      <w:pPr>
        <w:pStyle w:val="Bullet"/>
      </w:pPr>
      <w:r>
        <w:t>Plan</w:t>
      </w:r>
    </w:p>
    <w:p w14:paraId="50633F66" w14:textId="77BF7D80" w:rsidR="00CD37C6" w:rsidRDefault="00CD37C6" w:rsidP="00CD37C6">
      <w:pPr>
        <w:pStyle w:val="Bullet"/>
      </w:pPr>
      <w:r>
        <w:t>Launch</w:t>
      </w:r>
    </w:p>
    <w:p w14:paraId="083E978E" w14:textId="63545228" w:rsidR="00CD37C6" w:rsidRDefault="00CD37C6" w:rsidP="00CD37C6">
      <w:pPr>
        <w:pStyle w:val="Bullet"/>
      </w:pPr>
      <w:r>
        <w:t>Assess and recommend</w:t>
      </w:r>
    </w:p>
    <w:p w14:paraId="709DDAA2" w14:textId="294DB63E" w:rsidR="00CD37C6" w:rsidRDefault="00CD37C6" w:rsidP="00CD37C6">
      <w:pPr>
        <w:pStyle w:val="Bullet"/>
      </w:pPr>
      <w:r>
        <w:t>Implement and review</w:t>
      </w:r>
    </w:p>
    <w:p w14:paraId="170BEF93" w14:textId="64AD3E7D" w:rsidR="00CD37C6" w:rsidRDefault="00CD37C6" w:rsidP="00CD37C6">
      <w:pPr>
        <w:pStyle w:val="Bulletlast"/>
      </w:pPr>
      <w:r>
        <w:t>Evaluation</w:t>
      </w:r>
    </w:p>
    <w:p w14:paraId="67FAD2CE" w14:textId="20E3702E" w:rsidR="009F127E" w:rsidRDefault="00000000" w:rsidP="008E4EA4">
      <w:r>
        <w:t>Applications</w:t>
      </w:r>
      <w:r w:rsidR="00CD37C6">
        <w:t xml:space="preserve"> </w:t>
      </w:r>
      <w:r>
        <w:t>are</w:t>
      </w:r>
      <w:r w:rsidR="00CD37C6">
        <w:t xml:space="preserve"> </w:t>
      </w:r>
      <w:r>
        <w:t>assessed</w:t>
      </w:r>
      <w:r w:rsidR="00CD37C6">
        <w:t xml:space="preserve"> </w:t>
      </w:r>
      <w:r>
        <w:t>on</w:t>
      </w:r>
      <w:r w:rsidR="00CD37C6">
        <w:t xml:space="preserve"> </w:t>
      </w:r>
      <w:r>
        <w:t>merit</w:t>
      </w:r>
      <w:r w:rsidR="00CD37C6">
        <w:t xml:space="preserve"> </w:t>
      </w:r>
      <w:r>
        <w:t>on</w:t>
      </w:r>
      <w:r w:rsidR="00CD37C6">
        <w:t xml:space="preserve"> </w:t>
      </w:r>
      <w:r>
        <w:t>a</w:t>
      </w:r>
      <w:r w:rsidR="00CD37C6">
        <w:t xml:space="preserve"> </w:t>
      </w:r>
      <w:r>
        <w:t>competitive</w:t>
      </w:r>
      <w:r w:rsidR="00CD37C6">
        <w:t xml:space="preserve"> </w:t>
      </w:r>
      <w:r>
        <w:t>basis</w:t>
      </w:r>
      <w:r w:rsidR="00CD37C6">
        <w:t xml:space="preserve"> </w:t>
      </w:r>
      <w:r>
        <w:t>through</w:t>
      </w:r>
      <w:r w:rsidR="00CD37C6">
        <w:t xml:space="preserve"> </w:t>
      </w:r>
      <w:r>
        <w:t>an</w:t>
      </w:r>
      <w:r w:rsidR="00CD37C6">
        <w:t xml:space="preserve"> </w:t>
      </w:r>
      <w:r>
        <w:t>independent</w:t>
      </w:r>
      <w:r w:rsidR="00CD37C6">
        <w:t xml:space="preserve"> </w:t>
      </w:r>
      <w:r>
        <w:t>process.</w:t>
      </w:r>
      <w:r w:rsidR="00CD37C6">
        <w:t xml:space="preserve"> </w:t>
      </w:r>
      <w:r>
        <w:t>Applicants</w:t>
      </w:r>
      <w:r w:rsidR="00CD37C6">
        <w:t xml:space="preserve"> </w:t>
      </w:r>
      <w:r>
        <w:t>that</w:t>
      </w:r>
      <w:r w:rsidR="00CD37C6">
        <w:t xml:space="preserve"> </w:t>
      </w:r>
      <w:r>
        <w:t>rank</w:t>
      </w:r>
      <w:r w:rsidR="00CD37C6">
        <w:t xml:space="preserve"> </w:t>
      </w:r>
      <w:r>
        <w:t>highest</w:t>
      </w:r>
      <w:r w:rsidR="00CD37C6">
        <w:t xml:space="preserve"> </w:t>
      </w:r>
      <w:r>
        <w:t>against</w:t>
      </w:r>
      <w:r w:rsidR="00CD37C6">
        <w:t xml:space="preserve"> </w:t>
      </w:r>
      <w:r>
        <w:t>both</w:t>
      </w:r>
      <w:r w:rsidR="00CD37C6">
        <w:t xml:space="preserve"> </w:t>
      </w:r>
      <w:r>
        <w:t>the</w:t>
      </w:r>
      <w:r w:rsidR="00CD37C6">
        <w:t xml:space="preserve"> </w:t>
      </w:r>
      <w:r>
        <w:t>assessment</w:t>
      </w:r>
      <w:r w:rsidR="00CD37C6">
        <w:t xml:space="preserve"> </w:t>
      </w:r>
      <w:r>
        <w:t>criteria</w:t>
      </w:r>
      <w:r w:rsidR="00CD37C6">
        <w:t xml:space="preserve"> </w:t>
      </w:r>
      <w:r>
        <w:t>and</w:t>
      </w:r>
      <w:r w:rsidR="00CD37C6">
        <w:t xml:space="preserve"> </w:t>
      </w:r>
      <w:r>
        <w:t>other</w:t>
      </w:r>
      <w:r w:rsidR="00CD37C6">
        <w:t xml:space="preserve"> </w:t>
      </w:r>
      <w:r>
        <w:t>applications</w:t>
      </w:r>
      <w:r w:rsidR="00CD37C6">
        <w:t xml:space="preserve"> </w:t>
      </w:r>
      <w:r>
        <w:t>may</w:t>
      </w:r>
      <w:r w:rsidR="00CD37C6">
        <w:t xml:space="preserve"> </w:t>
      </w:r>
      <w:r>
        <w:t>be</w:t>
      </w:r>
      <w:r w:rsidR="00CD37C6">
        <w:t xml:space="preserve"> </w:t>
      </w:r>
      <w:r>
        <w:t>offered</w:t>
      </w:r>
      <w:r w:rsidR="00CD37C6">
        <w:t xml:space="preserve"> </w:t>
      </w:r>
      <w:r>
        <w:t>funding.</w:t>
      </w:r>
      <w:r w:rsidR="00CD37C6">
        <w:t xml:space="preserve"> </w:t>
      </w:r>
      <w:r>
        <w:t>Applications</w:t>
      </w:r>
      <w:r w:rsidR="00CD37C6">
        <w:t xml:space="preserve"> </w:t>
      </w:r>
      <w:r>
        <w:t>will</w:t>
      </w:r>
      <w:r w:rsidR="00CD37C6">
        <w:t xml:space="preserve"> </w:t>
      </w:r>
      <w:r>
        <w:t>be</w:t>
      </w:r>
      <w:r w:rsidR="00CD37C6">
        <w:t xml:space="preserve"> </w:t>
      </w:r>
      <w:r>
        <w:t>assessed</w:t>
      </w:r>
      <w:r w:rsidR="00CD37C6">
        <w:t xml:space="preserve"> </w:t>
      </w:r>
      <w:r>
        <w:t>by</w:t>
      </w:r>
      <w:r w:rsidR="00CD37C6">
        <w:t xml:space="preserve"> </w:t>
      </w:r>
      <w:r>
        <w:t>an</w:t>
      </w:r>
      <w:r w:rsidR="00CD37C6">
        <w:t xml:space="preserve"> </w:t>
      </w:r>
      <w:r>
        <w:t>independent</w:t>
      </w:r>
      <w:r w:rsidR="00CD37C6">
        <w:t xml:space="preserve"> </w:t>
      </w:r>
      <w:r>
        <w:t>panel</w:t>
      </w:r>
      <w:r w:rsidR="00CD37C6">
        <w:t xml:space="preserve"> </w:t>
      </w:r>
      <w:r>
        <w:t>administered</w:t>
      </w:r>
      <w:r w:rsidR="00CD37C6">
        <w:t xml:space="preserve"> </w:t>
      </w:r>
      <w:r>
        <w:t>by</w:t>
      </w:r>
      <w:r w:rsidR="00CD37C6">
        <w:t xml:space="preserve"> </w:t>
      </w:r>
      <w:r>
        <w:t>the</w:t>
      </w:r>
      <w:r w:rsidR="00CD37C6">
        <w:t xml:space="preserve"> </w:t>
      </w:r>
      <w:r>
        <w:t>Department.</w:t>
      </w:r>
      <w:r w:rsidR="00CD37C6">
        <w:t xml:space="preserve"> </w:t>
      </w:r>
      <w:r>
        <w:t>An</w:t>
      </w:r>
      <w:r w:rsidR="00CD37C6">
        <w:t xml:space="preserve"> </w:t>
      </w:r>
      <w:r>
        <w:t>assessment</w:t>
      </w:r>
      <w:r w:rsidR="00CD37C6">
        <w:t xml:space="preserve"> </w:t>
      </w:r>
      <w:r>
        <w:t>and</w:t>
      </w:r>
      <w:r w:rsidR="00CD37C6">
        <w:t xml:space="preserve"> </w:t>
      </w:r>
      <w:r>
        <w:t>recommendation</w:t>
      </w:r>
      <w:r w:rsidR="00CD37C6">
        <w:t xml:space="preserve"> </w:t>
      </w:r>
      <w:r>
        <w:t>report</w:t>
      </w:r>
      <w:r w:rsidR="00CD37C6">
        <w:t xml:space="preserve"> </w:t>
      </w:r>
      <w:r>
        <w:t>will</w:t>
      </w:r>
      <w:r w:rsidR="00CD37C6">
        <w:t xml:space="preserve"> </w:t>
      </w:r>
      <w:r>
        <w:t>be</w:t>
      </w:r>
      <w:r w:rsidR="00CD37C6">
        <w:t xml:space="preserve"> </w:t>
      </w:r>
      <w:r>
        <w:t>prepared</w:t>
      </w:r>
      <w:r w:rsidR="00CD37C6">
        <w:t xml:space="preserve"> </w:t>
      </w:r>
      <w:r>
        <w:t>by</w:t>
      </w:r>
      <w:r w:rsidR="00CD37C6">
        <w:t xml:space="preserve"> </w:t>
      </w:r>
      <w:r>
        <w:t>the</w:t>
      </w:r>
      <w:r w:rsidR="00CD37C6">
        <w:t xml:space="preserve"> </w:t>
      </w:r>
      <w:r>
        <w:t>panel</w:t>
      </w:r>
      <w:r w:rsidR="00CD37C6">
        <w:t xml:space="preserve"> </w:t>
      </w:r>
      <w:r>
        <w:t>for</w:t>
      </w:r>
      <w:r w:rsidR="00CD37C6">
        <w:t xml:space="preserve"> </w:t>
      </w:r>
      <w:r>
        <w:t>review</w:t>
      </w:r>
      <w:r w:rsidR="00CD37C6">
        <w:t xml:space="preserve"> </w:t>
      </w:r>
      <w:r>
        <w:t>by</w:t>
      </w:r>
      <w:r w:rsidR="00CD37C6">
        <w:t xml:space="preserve"> </w:t>
      </w:r>
      <w:r>
        <w:t>the</w:t>
      </w:r>
      <w:r w:rsidR="00CD37C6">
        <w:t xml:space="preserve"> </w:t>
      </w:r>
      <w:r>
        <w:t>appropriate</w:t>
      </w:r>
      <w:r w:rsidR="00CD37C6">
        <w:t xml:space="preserve"> </w:t>
      </w:r>
      <w:r>
        <w:t>livestock</w:t>
      </w:r>
      <w:r w:rsidR="00CD37C6">
        <w:t xml:space="preserve"> </w:t>
      </w:r>
      <w:r>
        <w:t>compensation</w:t>
      </w:r>
      <w:r w:rsidR="00CD37C6">
        <w:t xml:space="preserve"> </w:t>
      </w:r>
      <w:r>
        <w:t>advisory</w:t>
      </w:r>
      <w:r w:rsidR="00CD37C6">
        <w:t xml:space="preserve"> </w:t>
      </w:r>
      <w:r>
        <w:t>committee.</w:t>
      </w:r>
    </w:p>
    <w:p w14:paraId="1C760BBE" w14:textId="189CE18B" w:rsidR="009F127E" w:rsidRDefault="00000000" w:rsidP="008E4EA4">
      <w:r>
        <w:t>The</w:t>
      </w:r>
      <w:r w:rsidR="00CD37C6">
        <w:t xml:space="preserve"> </w:t>
      </w:r>
      <w:r>
        <w:t>advisory</w:t>
      </w:r>
      <w:r w:rsidR="00CD37C6">
        <w:t xml:space="preserve"> </w:t>
      </w:r>
      <w:r>
        <w:t>committee</w:t>
      </w:r>
      <w:r w:rsidR="00CD37C6">
        <w:t xml:space="preserve"> </w:t>
      </w:r>
      <w:r>
        <w:t>will</w:t>
      </w:r>
      <w:r w:rsidR="00CD37C6">
        <w:t xml:space="preserve"> </w:t>
      </w:r>
      <w:r>
        <w:t>consider</w:t>
      </w:r>
      <w:r w:rsidR="00CD37C6">
        <w:t xml:space="preserve"> </w:t>
      </w:r>
      <w:r>
        <w:t>the</w:t>
      </w:r>
      <w:r w:rsidR="00CD37C6">
        <w:t xml:space="preserve"> </w:t>
      </w:r>
      <w:r>
        <w:t>report</w:t>
      </w:r>
      <w:r w:rsidR="00CD37C6">
        <w:t xml:space="preserve"> </w:t>
      </w:r>
      <w:r>
        <w:t>prepared</w:t>
      </w:r>
      <w:r w:rsidR="00CD37C6">
        <w:t xml:space="preserve"> </w:t>
      </w:r>
      <w:r>
        <w:t>by</w:t>
      </w:r>
      <w:r w:rsidR="00CD37C6">
        <w:t xml:space="preserve"> </w:t>
      </w:r>
      <w:r>
        <w:t>the</w:t>
      </w:r>
      <w:r w:rsidR="00CD37C6">
        <w:t xml:space="preserve"> </w:t>
      </w:r>
      <w:r>
        <w:t>independent</w:t>
      </w:r>
      <w:r w:rsidR="00CD37C6">
        <w:t xml:space="preserve"> </w:t>
      </w:r>
      <w:r>
        <w:t>panel</w:t>
      </w:r>
      <w:r w:rsidR="00CD37C6">
        <w:t xml:space="preserve"> </w:t>
      </w:r>
      <w:r>
        <w:t>as</w:t>
      </w:r>
      <w:r w:rsidR="00CD37C6">
        <w:t xml:space="preserve"> </w:t>
      </w:r>
      <w:r>
        <w:t>part</w:t>
      </w:r>
      <w:r w:rsidR="00CD37C6">
        <w:t xml:space="preserve"> </w:t>
      </w:r>
      <w:r>
        <w:t>of</w:t>
      </w:r>
      <w:r w:rsidR="00CD37C6">
        <w:t xml:space="preserve"> </w:t>
      </w:r>
      <w:r>
        <w:t>its</w:t>
      </w:r>
      <w:r w:rsidR="00CD37C6">
        <w:t xml:space="preserve"> </w:t>
      </w:r>
      <w:r>
        <w:t>assessment</w:t>
      </w:r>
      <w:r w:rsidR="00CD37C6">
        <w:t xml:space="preserve"> </w:t>
      </w:r>
      <w:r>
        <w:t>process</w:t>
      </w:r>
      <w:r w:rsidR="00CD37C6">
        <w:t xml:space="preserve"> </w:t>
      </w:r>
      <w:r>
        <w:t>and</w:t>
      </w:r>
      <w:r w:rsidR="00CD37C6">
        <w:t xml:space="preserve"> </w:t>
      </w:r>
      <w:r>
        <w:t>then</w:t>
      </w:r>
      <w:r w:rsidR="00CD37C6">
        <w:t xml:space="preserve"> </w:t>
      </w:r>
      <w:r>
        <w:t>make</w:t>
      </w:r>
      <w:r w:rsidR="00CD37C6">
        <w:t xml:space="preserve"> </w:t>
      </w:r>
      <w:r>
        <w:t>recommendations</w:t>
      </w:r>
      <w:r w:rsidR="00CD37C6">
        <w:t xml:space="preserve"> </w:t>
      </w:r>
      <w:r>
        <w:t>to</w:t>
      </w:r>
      <w:r w:rsidR="00CD37C6">
        <w:t xml:space="preserve"> </w:t>
      </w:r>
      <w:r>
        <w:t>the</w:t>
      </w:r>
      <w:r w:rsidR="00CD37C6">
        <w:t xml:space="preserve"> </w:t>
      </w:r>
      <w:r>
        <w:t>Minister</w:t>
      </w:r>
      <w:r w:rsidR="00CD37C6">
        <w:t xml:space="preserve"> </w:t>
      </w:r>
      <w:r>
        <w:t>for</w:t>
      </w:r>
      <w:r w:rsidR="00CD37C6">
        <w:t xml:space="preserve"> </w:t>
      </w:r>
      <w:r>
        <w:t>Agriculture.</w:t>
      </w:r>
    </w:p>
    <w:p w14:paraId="77AD48DE" w14:textId="26B1E965" w:rsidR="009F127E" w:rsidRDefault="00000000" w:rsidP="008E4EA4">
      <w:r>
        <w:t>The</w:t>
      </w:r>
      <w:r w:rsidR="00CD37C6">
        <w:t xml:space="preserve"> </w:t>
      </w:r>
      <w:r>
        <w:t>Minister</w:t>
      </w:r>
      <w:r w:rsidR="00CD37C6">
        <w:t xml:space="preserve"> </w:t>
      </w:r>
      <w:r>
        <w:t>for</w:t>
      </w:r>
      <w:r w:rsidR="00CD37C6">
        <w:t xml:space="preserve"> </w:t>
      </w:r>
      <w:r>
        <w:t>Agriculture</w:t>
      </w:r>
      <w:r w:rsidR="00CD37C6">
        <w:t xml:space="preserve"> </w:t>
      </w:r>
      <w:r>
        <w:t>will</w:t>
      </w:r>
      <w:r w:rsidR="00CD37C6">
        <w:t xml:space="preserve"> </w:t>
      </w:r>
      <w:r>
        <w:t>consider</w:t>
      </w:r>
      <w:r w:rsidR="00CD37C6">
        <w:t xml:space="preserve"> </w:t>
      </w:r>
      <w:r>
        <w:t>the</w:t>
      </w:r>
      <w:r w:rsidR="00CD37C6">
        <w:t xml:space="preserve"> </w:t>
      </w:r>
      <w:r>
        <w:t>recommendations</w:t>
      </w:r>
      <w:r w:rsidR="00CD37C6">
        <w:t xml:space="preserve"> </w:t>
      </w:r>
      <w:r>
        <w:t>received</w:t>
      </w:r>
      <w:r w:rsidR="00CD37C6">
        <w:t xml:space="preserve"> </w:t>
      </w:r>
      <w:r>
        <w:t>from</w:t>
      </w:r>
      <w:r w:rsidR="00CD37C6">
        <w:t xml:space="preserve"> </w:t>
      </w:r>
      <w:r>
        <w:t>the</w:t>
      </w:r>
      <w:r w:rsidR="00CD37C6">
        <w:t xml:space="preserve"> </w:t>
      </w:r>
      <w:r>
        <w:t>advisory</w:t>
      </w:r>
      <w:r w:rsidR="00CD37C6">
        <w:t xml:space="preserve"> </w:t>
      </w:r>
      <w:r>
        <w:t>committees</w:t>
      </w:r>
      <w:r w:rsidR="00CD37C6">
        <w:t xml:space="preserve"> </w:t>
      </w:r>
      <w:r>
        <w:t>and</w:t>
      </w:r>
      <w:r w:rsidR="00CD37C6">
        <w:t xml:space="preserve"> </w:t>
      </w:r>
      <w:r>
        <w:t>determine</w:t>
      </w:r>
      <w:r w:rsidR="00CD37C6">
        <w:t xml:space="preserve"> </w:t>
      </w:r>
      <w:r>
        <w:t>whether</w:t>
      </w:r>
      <w:r w:rsidR="00CD37C6">
        <w:t xml:space="preserve"> </w:t>
      </w:r>
      <w:r>
        <w:t>to</w:t>
      </w:r>
      <w:r w:rsidR="00CD37C6">
        <w:t xml:space="preserve"> </w:t>
      </w:r>
      <w:r>
        <w:t>approve</w:t>
      </w:r>
      <w:r w:rsidR="00CD37C6">
        <w:t xml:space="preserve"> </w:t>
      </w:r>
      <w:r>
        <w:t>an</w:t>
      </w:r>
      <w:r w:rsidR="00CD37C6">
        <w:t xml:space="preserve"> </w:t>
      </w:r>
      <w:r>
        <w:t>application.</w:t>
      </w:r>
    </w:p>
    <w:p w14:paraId="763B59A9" w14:textId="2D6E6FD2" w:rsidR="009F127E" w:rsidRPr="00CD37C6" w:rsidRDefault="00000000" w:rsidP="00CD37C6">
      <w:pPr>
        <w:pStyle w:val="Normalbeforebullet"/>
        <w:rPr>
          <w:rStyle w:val="Medium"/>
          <w:b/>
          <w:bCs/>
        </w:rPr>
      </w:pPr>
      <w:r w:rsidRPr="00CD37C6">
        <w:rPr>
          <w:rStyle w:val="Medium"/>
          <w:b/>
          <w:bCs/>
        </w:rPr>
        <w:lastRenderedPageBreak/>
        <w:t>Probity</w:t>
      </w:r>
      <w:r w:rsidR="00CD37C6">
        <w:rPr>
          <w:rStyle w:val="Medium"/>
          <w:b/>
          <w:bCs/>
        </w:rPr>
        <w:t xml:space="preserve"> </w:t>
      </w:r>
      <w:r w:rsidRPr="00CD37C6">
        <w:rPr>
          <w:rStyle w:val="Medium"/>
          <w:b/>
          <w:bCs/>
        </w:rPr>
        <w:t>Advisor</w:t>
      </w:r>
    </w:p>
    <w:p w14:paraId="5DEBA453" w14:textId="29C6C2A2" w:rsidR="009F127E" w:rsidRDefault="00000000" w:rsidP="008E4EA4">
      <w:r>
        <w:rPr>
          <w:spacing w:val="-4"/>
        </w:rPr>
        <w:t>An</w:t>
      </w:r>
      <w:r w:rsidR="00CD37C6">
        <w:rPr>
          <w:spacing w:val="-4"/>
        </w:rPr>
        <w:t xml:space="preserve"> </w:t>
      </w:r>
      <w:r>
        <w:rPr>
          <w:spacing w:val="-4"/>
        </w:rPr>
        <w:t>external</w:t>
      </w:r>
      <w:r w:rsidR="00CD37C6">
        <w:rPr>
          <w:spacing w:val="-4"/>
        </w:rPr>
        <w:t xml:space="preserve"> </w:t>
      </w:r>
      <w:r>
        <w:rPr>
          <w:spacing w:val="-4"/>
        </w:rPr>
        <w:t>probity</w:t>
      </w:r>
      <w:r w:rsidR="00CD37C6">
        <w:rPr>
          <w:spacing w:val="-4"/>
        </w:rPr>
        <w:t xml:space="preserve"> </w:t>
      </w:r>
      <w:r>
        <w:rPr>
          <w:spacing w:val="-4"/>
        </w:rPr>
        <w:t>advisor</w:t>
      </w:r>
      <w:r w:rsidR="00CD37C6">
        <w:rPr>
          <w:spacing w:val="-4"/>
        </w:rPr>
        <w:t xml:space="preserve"> </w:t>
      </w:r>
      <w:r>
        <w:rPr>
          <w:spacing w:val="-4"/>
        </w:rPr>
        <w:t>is</w:t>
      </w:r>
      <w:r w:rsidR="00CD37C6">
        <w:rPr>
          <w:spacing w:val="-4"/>
        </w:rPr>
        <w:t xml:space="preserve"> </w:t>
      </w:r>
      <w:r>
        <w:rPr>
          <w:spacing w:val="-4"/>
        </w:rPr>
        <w:t>appointed</w:t>
      </w:r>
      <w:r w:rsidR="00CD37C6">
        <w:rPr>
          <w:spacing w:val="-4"/>
        </w:rPr>
        <w:t xml:space="preserve"> </w:t>
      </w:r>
      <w:r>
        <w:rPr>
          <w:spacing w:val="-4"/>
        </w:rPr>
        <w:t>to</w:t>
      </w:r>
      <w:r w:rsidR="00CD37C6">
        <w:rPr>
          <w:spacing w:val="-4"/>
        </w:rPr>
        <w:t xml:space="preserve"> </w:t>
      </w:r>
      <w:r>
        <w:rPr>
          <w:spacing w:val="-4"/>
        </w:rPr>
        <w:t>ensure</w:t>
      </w:r>
      <w:r w:rsidR="00CD37C6">
        <w:rPr>
          <w:spacing w:val="-4"/>
        </w:rPr>
        <w:t xml:space="preserve"> </w:t>
      </w:r>
      <w:r>
        <w:rPr>
          <w:spacing w:val="-4"/>
        </w:rPr>
        <w:t>a</w:t>
      </w:r>
      <w:r w:rsidR="00CD37C6">
        <w:rPr>
          <w:spacing w:val="-4"/>
        </w:rPr>
        <w:t xml:space="preserve"> </w:t>
      </w:r>
      <w:r>
        <w:rPr>
          <w:spacing w:val="-4"/>
        </w:rPr>
        <w:t>high</w:t>
      </w:r>
      <w:r w:rsidR="00CD37C6">
        <w:rPr>
          <w:spacing w:val="-4"/>
        </w:rPr>
        <w:t xml:space="preserve"> </w:t>
      </w:r>
      <w:r>
        <w:rPr>
          <w:spacing w:val="-2"/>
        </w:rPr>
        <w:t>standard</w:t>
      </w:r>
      <w:r w:rsidR="00CD37C6">
        <w:rPr>
          <w:spacing w:val="-2"/>
        </w:rPr>
        <w:t xml:space="preserve"> </w:t>
      </w:r>
      <w:r>
        <w:rPr>
          <w:spacing w:val="-2"/>
        </w:rPr>
        <w:t>of</w:t>
      </w:r>
      <w:r w:rsidR="00CD37C6">
        <w:rPr>
          <w:spacing w:val="-2"/>
        </w:rPr>
        <w:t xml:space="preserve"> </w:t>
      </w:r>
      <w:r>
        <w:rPr>
          <w:spacing w:val="-2"/>
        </w:rPr>
        <w:t>probity</w:t>
      </w:r>
      <w:r w:rsidR="00CD37C6">
        <w:rPr>
          <w:spacing w:val="-2"/>
        </w:rPr>
        <w:t xml:space="preserve"> </w:t>
      </w:r>
      <w:r>
        <w:rPr>
          <w:spacing w:val="-2"/>
        </w:rPr>
        <w:t>in</w:t>
      </w:r>
      <w:r w:rsidR="00CD37C6">
        <w:rPr>
          <w:spacing w:val="-2"/>
        </w:rPr>
        <w:t xml:space="preserve"> </w:t>
      </w:r>
      <w:r>
        <w:rPr>
          <w:spacing w:val="-2"/>
        </w:rPr>
        <w:t>the</w:t>
      </w:r>
      <w:r w:rsidR="00CD37C6">
        <w:rPr>
          <w:spacing w:val="-2"/>
        </w:rPr>
        <w:t xml:space="preserve"> </w:t>
      </w:r>
      <w:r>
        <w:rPr>
          <w:spacing w:val="-2"/>
        </w:rPr>
        <w:t>administration</w:t>
      </w:r>
      <w:r w:rsidR="00CD37C6">
        <w:rPr>
          <w:spacing w:val="-2"/>
        </w:rPr>
        <w:t xml:space="preserve"> </w:t>
      </w:r>
      <w:r>
        <w:rPr>
          <w:spacing w:val="-2"/>
        </w:rPr>
        <w:t>of</w:t>
      </w:r>
      <w:r w:rsidR="00CD37C6">
        <w:rPr>
          <w:spacing w:val="-2"/>
        </w:rPr>
        <w:t xml:space="preserve"> </w:t>
      </w:r>
      <w:r>
        <w:rPr>
          <w:spacing w:val="-2"/>
        </w:rPr>
        <w:t>the</w:t>
      </w:r>
      <w:r w:rsidR="00CD37C6">
        <w:rPr>
          <w:spacing w:val="-2"/>
        </w:rPr>
        <w:t xml:space="preserve"> </w:t>
      </w:r>
      <w:r>
        <w:rPr>
          <w:spacing w:val="-2"/>
        </w:rPr>
        <w:t>grants</w:t>
      </w:r>
      <w:r w:rsidR="00CD37C6">
        <w:rPr>
          <w:spacing w:val="-2"/>
        </w:rPr>
        <w:t xml:space="preserve"> </w:t>
      </w:r>
      <w:r>
        <w:rPr>
          <w:spacing w:val="-2"/>
        </w:rPr>
        <w:t>program.</w:t>
      </w:r>
      <w:r w:rsidR="00CD37C6">
        <w:rPr>
          <w:spacing w:val="-2"/>
        </w:rPr>
        <w:t xml:space="preserve"> </w:t>
      </w:r>
      <w:r>
        <w:rPr>
          <w:spacing w:val="-2"/>
        </w:rPr>
        <w:t>The</w:t>
      </w:r>
      <w:r w:rsidR="00CD37C6">
        <w:rPr>
          <w:spacing w:val="-2"/>
        </w:rPr>
        <w:t xml:space="preserve"> </w:t>
      </w:r>
      <w:r>
        <w:rPr>
          <w:spacing w:val="-2"/>
        </w:rPr>
        <w:t>Probity</w:t>
      </w:r>
      <w:r w:rsidR="00CD37C6">
        <w:rPr>
          <w:spacing w:val="-2"/>
        </w:rPr>
        <w:t xml:space="preserve"> </w:t>
      </w:r>
      <w:r>
        <w:rPr>
          <w:spacing w:val="-2"/>
        </w:rPr>
        <w:t>Advisor</w:t>
      </w:r>
      <w:r w:rsidR="00CD37C6">
        <w:rPr>
          <w:spacing w:val="-2"/>
        </w:rPr>
        <w:t xml:space="preserve"> </w:t>
      </w:r>
      <w:r>
        <w:rPr>
          <w:spacing w:val="-2"/>
        </w:rPr>
        <w:t>works</w:t>
      </w:r>
      <w:r w:rsidR="00CD37C6">
        <w:rPr>
          <w:spacing w:val="-2"/>
        </w:rPr>
        <w:t xml:space="preserve"> </w:t>
      </w:r>
      <w:r>
        <w:rPr>
          <w:spacing w:val="-2"/>
        </w:rPr>
        <w:t>as</w:t>
      </w:r>
      <w:r w:rsidR="00CD37C6">
        <w:rPr>
          <w:spacing w:val="-2"/>
        </w:rPr>
        <w:t xml:space="preserve"> </w:t>
      </w:r>
      <w:r>
        <w:rPr>
          <w:spacing w:val="-2"/>
        </w:rPr>
        <w:t>an</w:t>
      </w:r>
      <w:r w:rsidR="00CD37C6">
        <w:rPr>
          <w:spacing w:val="-2"/>
        </w:rPr>
        <w:t xml:space="preserve"> </w:t>
      </w:r>
      <w:r>
        <w:rPr>
          <w:spacing w:val="-2"/>
        </w:rPr>
        <w:t>independent</w:t>
      </w:r>
      <w:r w:rsidR="00CD37C6">
        <w:rPr>
          <w:spacing w:val="-2"/>
        </w:rPr>
        <w:t xml:space="preserve"> </w:t>
      </w:r>
      <w:r>
        <w:rPr>
          <w:spacing w:val="-2"/>
        </w:rPr>
        <w:t>expert</w:t>
      </w:r>
      <w:r w:rsidR="00CD37C6">
        <w:rPr>
          <w:spacing w:val="-2"/>
        </w:rPr>
        <w:t xml:space="preserve"> </w:t>
      </w:r>
      <w:r>
        <w:rPr>
          <w:spacing w:val="-2"/>
        </w:rPr>
        <w:t>and</w:t>
      </w:r>
      <w:r w:rsidR="00CD37C6">
        <w:rPr>
          <w:spacing w:val="-2"/>
        </w:rPr>
        <w:t xml:space="preserve"> </w:t>
      </w:r>
      <w:r>
        <w:rPr>
          <w:spacing w:val="-2"/>
        </w:rPr>
        <w:t>manages</w:t>
      </w:r>
      <w:r w:rsidR="00CD37C6">
        <w:rPr>
          <w:spacing w:val="-2"/>
        </w:rPr>
        <w:t xml:space="preserve"> </w:t>
      </w:r>
      <w:r>
        <w:rPr>
          <w:spacing w:val="-2"/>
        </w:rPr>
        <w:t>any</w:t>
      </w:r>
      <w:r w:rsidR="00CD37C6">
        <w:rPr>
          <w:spacing w:val="-2"/>
        </w:rPr>
        <w:t xml:space="preserve"> </w:t>
      </w:r>
      <w:r>
        <w:rPr>
          <w:spacing w:val="-2"/>
        </w:rPr>
        <w:t>potential</w:t>
      </w:r>
      <w:r w:rsidR="00CD37C6">
        <w:rPr>
          <w:spacing w:val="-2"/>
        </w:rPr>
        <w:t xml:space="preserve"> </w:t>
      </w:r>
      <w:r>
        <w:rPr>
          <w:spacing w:val="-2"/>
        </w:rPr>
        <w:t>conflicts</w:t>
      </w:r>
      <w:r w:rsidR="00CD37C6">
        <w:rPr>
          <w:spacing w:val="-2"/>
        </w:rPr>
        <w:t xml:space="preserve"> </w:t>
      </w:r>
      <w:r>
        <w:rPr>
          <w:spacing w:val="-2"/>
        </w:rPr>
        <w:t>of</w:t>
      </w:r>
      <w:r w:rsidR="00CD37C6">
        <w:rPr>
          <w:spacing w:val="-2"/>
        </w:rPr>
        <w:t xml:space="preserve"> </w:t>
      </w:r>
      <w:r>
        <w:rPr>
          <w:spacing w:val="-2"/>
        </w:rPr>
        <w:t>interest</w:t>
      </w:r>
      <w:r w:rsidR="00CD37C6">
        <w:rPr>
          <w:spacing w:val="-2"/>
        </w:rPr>
        <w:t xml:space="preserve"> </w:t>
      </w:r>
      <w:r>
        <w:rPr>
          <w:spacing w:val="-2"/>
        </w:rPr>
        <w:t>that</w:t>
      </w:r>
      <w:r w:rsidR="00CD37C6">
        <w:rPr>
          <w:spacing w:val="-2"/>
        </w:rPr>
        <w:t xml:space="preserve"> </w:t>
      </w:r>
      <w:r>
        <w:rPr>
          <w:spacing w:val="-2"/>
        </w:rPr>
        <w:t>may</w:t>
      </w:r>
      <w:r w:rsidR="00CD37C6">
        <w:rPr>
          <w:spacing w:val="-2"/>
        </w:rPr>
        <w:t xml:space="preserve"> </w:t>
      </w:r>
      <w:r>
        <w:rPr>
          <w:spacing w:val="-2"/>
        </w:rPr>
        <w:t>arise</w:t>
      </w:r>
      <w:r w:rsidR="00CD37C6">
        <w:rPr>
          <w:spacing w:val="-2"/>
        </w:rPr>
        <w:t xml:space="preserve"> </w:t>
      </w:r>
      <w:r>
        <w:rPr>
          <w:spacing w:val="-2"/>
        </w:rPr>
        <w:t>during</w:t>
      </w:r>
      <w:r w:rsidR="00CD37C6">
        <w:rPr>
          <w:spacing w:val="-2"/>
        </w:rPr>
        <w:t xml:space="preserve"> </w:t>
      </w:r>
      <w:r>
        <w:rPr>
          <w:spacing w:val="-2"/>
        </w:rPr>
        <w:t>the</w:t>
      </w:r>
      <w:r w:rsidR="00CD37C6">
        <w:rPr>
          <w:spacing w:val="-2"/>
        </w:rPr>
        <w:t xml:space="preserve"> </w:t>
      </w:r>
      <w:r>
        <w:rPr>
          <w:spacing w:val="-2"/>
        </w:rPr>
        <w:t>assessment</w:t>
      </w:r>
      <w:r w:rsidR="00CD37C6">
        <w:rPr>
          <w:spacing w:val="-2"/>
        </w:rPr>
        <w:t xml:space="preserve"> </w:t>
      </w:r>
      <w:r>
        <w:rPr>
          <w:spacing w:val="-2"/>
        </w:rPr>
        <w:t>process.</w:t>
      </w:r>
    </w:p>
    <w:p w14:paraId="340BEEC7" w14:textId="3FC0EB99" w:rsidR="009F127E" w:rsidRPr="00CD37C6" w:rsidRDefault="00000000" w:rsidP="00CD37C6">
      <w:pPr>
        <w:pStyle w:val="Normalbeforebullet"/>
        <w:rPr>
          <w:rStyle w:val="Medium"/>
          <w:b/>
          <w:bCs/>
        </w:rPr>
      </w:pPr>
      <w:r w:rsidRPr="00CD37C6">
        <w:rPr>
          <w:rStyle w:val="Medium"/>
          <w:b/>
          <w:bCs/>
        </w:rPr>
        <w:t>Assessment</w:t>
      </w:r>
      <w:r w:rsidR="00CD37C6">
        <w:rPr>
          <w:rStyle w:val="Medium"/>
          <w:b/>
          <w:bCs/>
        </w:rPr>
        <w:t xml:space="preserve"> </w:t>
      </w:r>
      <w:r w:rsidRPr="00CD37C6">
        <w:rPr>
          <w:rStyle w:val="Medium"/>
          <w:b/>
          <w:bCs/>
        </w:rPr>
        <w:t>Criteria</w:t>
      </w:r>
    </w:p>
    <w:p w14:paraId="48D40DFA" w14:textId="46C4AB71" w:rsidR="009F127E" w:rsidRPr="00CD37C6" w:rsidRDefault="00000000" w:rsidP="00CD37C6">
      <w:pPr>
        <w:pStyle w:val="Normalbeforebullet"/>
      </w:pPr>
      <w:r>
        <w:t>Applications</w:t>
      </w:r>
      <w:r w:rsidR="00CD37C6">
        <w:t xml:space="preserve"> </w:t>
      </w:r>
      <w:r>
        <w:t>are</w:t>
      </w:r>
      <w:r w:rsidR="00CD37C6">
        <w:t xml:space="preserve"> </w:t>
      </w:r>
      <w:r>
        <w:t>assessed</w:t>
      </w:r>
      <w:r w:rsidR="00CD37C6">
        <w:t xml:space="preserve"> </w:t>
      </w:r>
      <w:r>
        <w:t>using</w:t>
      </w:r>
      <w:r w:rsidR="00CD37C6">
        <w:t xml:space="preserve"> </w:t>
      </w:r>
      <w:r>
        <w:t>the</w:t>
      </w:r>
      <w:r w:rsidR="00CD37C6">
        <w:t xml:space="preserve"> </w:t>
      </w:r>
      <w:r>
        <w:t>following:</w:t>
      </w:r>
    </w:p>
    <w:p w14:paraId="0A2906D1" w14:textId="3C6BB4C5" w:rsidR="009F127E" w:rsidRDefault="00000000" w:rsidP="008E4EA4">
      <w:pPr>
        <w:pStyle w:val="Bullet"/>
      </w:pPr>
      <w:r>
        <w:t>information</w:t>
      </w:r>
      <w:r w:rsidR="00CD37C6">
        <w:t xml:space="preserve"> </w:t>
      </w:r>
      <w:r>
        <w:t>provided</w:t>
      </w:r>
      <w:r w:rsidR="00CD37C6">
        <w:t xml:space="preserve"> </w:t>
      </w:r>
      <w:r>
        <w:t>against</w:t>
      </w:r>
      <w:r w:rsidR="00CD37C6">
        <w:t xml:space="preserve"> </w:t>
      </w:r>
      <w:r>
        <w:t>the</w:t>
      </w:r>
      <w:r w:rsidR="00CD37C6">
        <w:t xml:space="preserve"> </w:t>
      </w:r>
      <w:r>
        <w:t>assessment</w:t>
      </w:r>
      <w:r w:rsidR="00CD37C6">
        <w:t xml:space="preserve"> </w:t>
      </w:r>
      <w:r>
        <w:t>criteria</w:t>
      </w:r>
      <w:r w:rsidR="00CD37C6">
        <w:t xml:space="preserve"> </w:t>
      </w:r>
      <w:r>
        <w:t>in</w:t>
      </w:r>
      <w:r w:rsidR="00CD37C6">
        <w:t xml:space="preserve"> </w:t>
      </w:r>
      <w:r>
        <w:t>the</w:t>
      </w:r>
      <w:r w:rsidR="00CD37C6">
        <w:t xml:space="preserve"> </w:t>
      </w:r>
      <w:r>
        <w:t>application</w:t>
      </w:r>
      <w:r w:rsidR="00CD37C6">
        <w:t xml:space="preserve"> </w:t>
      </w:r>
      <w:r>
        <w:t>form</w:t>
      </w:r>
    </w:p>
    <w:p w14:paraId="62F72EFB" w14:textId="6B0087DF" w:rsidR="009F127E" w:rsidRDefault="00000000" w:rsidP="008E4EA4">
      <w:pPr>
        <w:pStyle w:val="Bullet"/>
      </w:pPr>
      <w:r>
        <w:t>project</w:t>
      </w:r>
      <w:r w:rsidR="00CD37C6">
        <w:t xml:space="preserve"> </w:t>
      </w:r>
      <w:r>
        <w:t>implementation</w:t>
      </w:r>
      <w:r w:rsidR="00CD37C6">
        <w:t xml:space="preserve"> </w:t>
      </w:r>
      <w:r>
        <w:t>plan</w:t>
      </w:r>
      <w:r w:rsidR="00CD37C6">
        <w:t xml:space="preserve"> </w:t>
      </w:r>
      <w:r>
        <w:t>and</w:t>
      </w:r>
      <w:r w:rsidR="00CD37C6">
        <w:t xml:space="preserve"> </w:t>
      </w:r>
      <w:r>
        <w:t>any</w:t>
      </w:r>
      <w:r w:rsidR="00CD37C6">
        <w:t xml:space="preserve"> </w:t>
      </w:r>
      <w:r>
        <w:t>supporting</w:t>
      </w:r>
      <w:r w:rsidR="00CD37C6">
        <w:t xml:space="preserve"> </w:t>
      </w:r>
      <w:r>
        <w:t>attachments</w:t>
      </w:r>
    </w:p>
    <w:p w14:paraId="3FD22FB8" w14:textId="15F1C26B" w:rsidR="009F127E" w:rsidRDefault="00000000" w:rsidP="008E4EA4">
      <w:pPr>
        <w:pStyle w:val="Bulletlast"/>
      </w:pPr>
      <w:r>
        <w:t>letters</w:t>
      </w:r>
      <w:r w:rsidR="00CD37C6">
        <w:t xml:space="preserve"> </w:t>
      </w:r>
      <w:r>
        <w:t>of</w:t>
      </w:r>
      <w:r w:rsidR="00CD37C6">
        <w:t xml:space="preserve"> </w:t>
      </w:r>
      <w:r>
        <w:t>support</w:t>
      </w:r>
      <w:r w:rsidR="00CD37C6">
        <w:t xml:space="preserve"> </w:t>
      </w:r>
      <w:r>
        <w:t>from</w:t>
      </w:r>
      <w:r w:rsidR="00CD37C6">
        <w:t xml:space="preserve"> </w:t>
      </w:r>
      <w:r>
        <w:t>collaborators.</w:t>
      </w:r>
    </w:p>
    <w:p w14:paraId="7D7D8C31" w14:textId="0F663E4A" w:rsidR="009F127E" w:rsidRDefault="00000000" w:rsidP="008E4EA4">
      <w:r>
        <w:rPr>
          <w:spacing w:val="-2"/>
        </w:rPr>
        <w:t>Applicants</w:t>
      </w:r>
      <w:r w:rsidR="00CD37C6">
        <w:rPr>
          <w:spacing w:val="-2"/>
        </w:rPr>
        <w:t xml:space="preserve"> </w:t>
      </w:r>
      <w:r>
        <w:rPr>
          <w:spacing w:val="-2"/>
        </w:rPr>
        <w:t>must</w:t>
      </w:r>
      <w:r w:rsidR="00CD37C6">
        <w:rPr>
          <w:spacing w:val="-2"/>
        </w:rPr>
        <w:t xml:space="preserve"> </w:t>
      </w:r>
      <w:r>
        <w:rPr>
          <w:spacing w:val="-2"/>
        </w:rPr>
        <w:t>address</w:t>
      </w:r>
      <w:r w:rsidR="00CD37C6">
        <w:rPr>
          <w:spacing w:val="-2"/>
        </w:rPr>
        <w:t xml:space="preserve"> </w:t>
      </w:r>
      <w:r>
        <w:rPr>
          <w:spacing w:val="-2"/>
        </w:rPr>
        <w:t>the</w:t>
      </w:r>
      <w:r w:rsidR="00CD37C6">
        <w:rPr>
          <w:spacing w:val="-2"/>
        </w:rPr>
        <w:t xml:space="preserve"> </w:t>
      </w:r>
      <w:r>
        <w:rPr>
          <w:spacing w:val="-2"/>
        </w:rPr>
        <w:t>following</w:t>
      </w:r>
      <w:r w:rsidR="00CD37C6">
        <w:rPr>
          <w:spacing w:val="-2"/>
        </w:rPr>
        <w:t xml:space="preserve"> </w:t>
      </w:r>
      <w:r>
        <w:rPr>
          <w:spacing w:val="-2"/>
        </w:rPr>
        <w:t>four</w:t>
      </w:r>
      <w:r w:rsidR="00CD37C6">
        <w:rPr>
          <w:spacing w:val="-2"/>
        </w:rPr>
        <w:t xml:space="preserve"> </w:t>
      </w:r>
      <w:r>
        <w:rPr>
          <w:spacing w:val="-2"/>
        </w:rPr>
        <w:t>assessment</w:t>
      </w:r>
      <w:r w:rsidR="00CD37C6">
        <w:rPr>
          <w:spacing w:val="-2"/>
        </w:rPr>
        <w:t xml:space="preserve"> </w:t>
      </w:r>
      <w:r>
        <w:rPr>
          <w:spacing w:val="-2"/>
        </w:rPr>
        <w:t>criteria</w:t>
      </w:r>
      <w:r w:rsidR="00CD37C6">
        <w:rPr>
          <w:spacing w:val="-2"/>
        </w:rPr>
        <w:t xml:space="preserve"> </w:t>
      </w:r>
      <w:r>
        <w:rPr>
          <w:spacing w:val="-2"/>
        </w:rPr>
        <w:t>categories.</w:t>
      </w:r>
      <w:r w:rsidR="00CD37C6">
        <w:rPr>
          <w:spacing w:val="-2"/>
        </w:rPr>
        <w:t xml:space="preserve"> </w:t>
      </w:r>
    </w:p>
    <w:p w14:paraId="547838A6" w14:textId="326E6434" w:rsidR="009F127E" w:rsidRDefault="00000000" w:rsidP="008E4EA4">
      <w:r>
        <w:t>Please</w:t>
      </w:r>
      <w:r w:rsidR="00CD37C6">
        <w:t xml:space="preserve"> </w:t>
      </w:r>
      <w:r>
        <w:t>note</w:t>
      </w:r>
      <w:r w:rsidR="00CD37C6">
        <w:t xml:space="preserve"> </w:t>
      </w:r>
      <w:r>
        <w:t>that</w:t>
      </w:r>
      <w:r w:rsidR="00CD37C6">
        <w:t xml:space="preserve"> </w:t>
      </w:r>
      <w:r>
        <w:t>applicants</w:t>
      </w:r>
      <w:r w:rsidR="00CD37C6">
        <w:t xml:space="preserve"> </w:t>
      </w:r>
      <w:r>
        <w:t>must</w:t>
      </w:r>
      <w:r w:rsidR="00CD37C6">
        <w:t xml:space="preserve"> </w:t>
      </w:r>
      <w:r>
        <w:t>relate</w:t>
      </w:r>
      <w:r w:rsidR="00CD37C6">
        <w:t xml:space="preserve"> </w:t>
      </w:r>
      <w:r>
        <w:t>their</w:t>
      </w:r>
      <w:r w:rsidR="00CD37C6">
        <w:t xml:space="preserve"> </w:t>
      </w:r>
      <w:r>
        <w:t>responses</w:t>
      </w:r>
      <w:r w:rsidR="00CD37C6">
        <w:t xml:space="preserve"> </w:t>
      </w:r>
      <w:r>
        <w:t>back</w:t>
      </w:r>
      <w:r w:rsidR="00CD37C6">
        <w:t xml:space="preserve"> </w:t>
      </w:r>
      <w:r>
        <w:t>to</w:t>
      </w:r>
      <w:r w:rsidR="00CD37C6">
        <w:t xml:space="preserve"> </w:t>
      </w:r>
      <w:r>
        <w:t>the</w:t>
      </w:r>
      <w:r w:rsidR="00CD37C6">
        <w:t xml:space="preserve"> </w:t>
      </w:r>
      <w:r>
        <w:t>applicable</w:t>
      </w:r>
      <w:r w:rsidR="00CD37C6">
        <w:t xml:space="preserve"> </w:t>
      </w:r>
      <w:r>
        <w:t>program</w:t>
      </w:r>
      <w:r w:rsidR="00CD37C6">
        <w:t xml:space="preserve"> </w:t>
      </w:r>
      <w:r>
        <w:t>funding</w:t>
      </w:r>
      <w:r w:rsidR="00CD37C6">
        <w:t xml:space="preserve"> </w:t>
      </w:r>
      <w:r>
        <w:t>stream,</w:t>
      </w:r>
      <w:r w:rsidR="00CD37C6">
        <w:t xml:space="preserve"> </w:t>
      </w:r>
      <w:r>
        <w:t>where</w:t>
      </w:r>
      <w:r w:rsidR="00CD37C6">
        <w:t xml:space="preserve"> </w:t>
      </w:r>
      <w:r>
        <w:t>appropriate.</w:t>
      </w: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4673"/>
        <w:gridCol w:w="1417"/>
      </w:tblGrid>
      <w:tr w:rsidR="007B6A30" w:rsidRPr="00CD37C6" w14:paraId="08BBDE16" w14:textId="77777777" w:rsidTr="007B6A30">
        <w:trPr>
          <w:trHeight w:val="60"/>
        </w:trPr>
        <w:tc>
          <w:tcPr>
            <w:tcW w:w="4673" w:type="dxa"/>
          </w:tcPr>
          <w:p w14:paraId="23221418" w14:textId="3302F7D4" w:rsidR="009F127E" w:rsidRPr="00CD37C6" w:rsidRDefault="00000000" w:rsidP="00CD37C6">
            <w:pPr>
              <w:pStyle w:val="TableHeading"/>
            </w:pPr>
            <w:r w:rsidRPr="00CD37C6">
              <w:t>Assessment</w:t>
            </w:r>
            <w:r w:rsidR="00CD37C6">
              <w:t xml:space="preserve"> </w:t>
            </w:r>
            <w:r w:rsidRPr="00CD37C6">
              <w:t>Criteria</w:t>
            </w:r>
          </w:p>
        </w:tc>
        <w:tc>
          <w:tcPr>
            <w:tcW w:w="1417" w:type="dxa"/>
          </w:tcPr>
          <w:p w14:paraId="6D69A3C0" w14:textId="77777777" w:rsidR="009F127E" w:rsidRPr="00CD37C6" w:rsidRDefault="00000000" w:rsidP="007B6A30">
            <w:pPr>
              <w:pStyle w:val="TableHeading"/>
              <w:jc w:val="center"/>
            </w:pPr>
            <w:r w:rsidRPr="00CD37C6">
              <w:t>Weighting</w:t>
            </w:r>
          </w:p>
        </w:tc>
      </w:tr>
      <w:tr w:rsidR="007B6A30" w:rsidRPr="00CD37C6" w14:paraId="090725FD" w14:textId="77777777" w:rsidTr="007B6A30">
        <w:trPr>
          <w:trHeight w:val="60"/>
        </w:trPr>
        <w:tc>
          <w:tcPr>
            <w:tcW w:w="4673" w:type="dxa"/>
          </w:tcPr>
          <w:p w14:paraId="2A43A3AC" w14:textId="31B936A9" w:rsidR="009F127E" w:rsidRPr="00CD37C6" w:rsidRDefault="00000000" w:rsidP="00CD37C6">
            <w:pPr>
              <w:pStyle w:val="TableCopy"/>
              <w:tabs>
                <w:tab w:val="left" w:pos="284"/>
                <w:tab w:val="left" w:pos="357"/>
              </w:tabs>
              <w:rPr>
                <w:b/>
                <w:bCs/>
              </w:rPr>
            </w:pPr>
            <w:r w:rsidRPr="00CD37C6">
              <w:rPr>
                <w:b/>
                <w:bCs/>
              </w:rPr>
              <w:t>A.</w:t>
            </w:r>
            <w:r w:rsidRPr="00CD37C6">
              <w:rPr>
                <w:b/>
                <w:bCs/>
              </w:rPr>
              <w:tab/>
              <w:t>Quality</w:t>
            </w:r>
            <w:r w:rsidR="00CD37C6" w:rsidRPr="00CD37C6">
              <w:rPr>
                <w:b/>
                <w:bCs/>
              </w:rPr>
              <w:t xml:space="preserve"> </w:t>
            </w:r>
            <w:r w:rsidRPr="00CD37C6">
              <w:rPr>
                <w:b/>
                <w:bCs/>
              </w:rPr>
              <w:t>of</w:t>
            </w:r>
            <w:r w:rsidR="00CD37C6" w:rsidRPr="00CD37C6">
              <w:rPr>
                <w:b/>
                <w:bCs/>
              </w:rPr>
              <w:t xml:space="preserve"> </w:t>
            </w:r>
            <w:r w:rsidRPr="00CD37C6">
              <w:rPr>
                <w:b/>
                <w:bCs/>
              </w:rPr>
              <w:t>project</w:t>
            </w:r>
            <w:r w:rsidR="00CD37C6" w:rsidRPr="00CD37C6">
              <w:rPr>
                <w:b/>
                <w:bCs/>
              </w:rPr>
              <w:t xml:space="preserve"> </w:t>
            </w:r>
            <w:r w:rsidRPr="00CD37C6">
              <w:rPr>
                <w:b/>
                <w:bCs/>
              </w:rPr>
              <w:t>proposal</w:t>
            </w:r>
          </w:p>
          <w:p w14:paraId="7FEAC15E" w14:textId="34786822" w:rsidR="009F127E" w:rsidRPr="00CD37C6" w:rsidRDefault="00000000">
            <w:pPr>
              <w:pStyle w:val="Body6mmindenttableTables"/>
              <w:ind w:left="283"/>
              <w:rPr>
                <w:rStyle w:val="Medium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37C6">
              <w:rPr>
                <w:rStyle w:val="Medium"/>
                <w:rFonts w:asciiTheme="minorHAnsi" w:hAnsiTheme="minorHAnsi" w:cstheme="minorHAnsi"/>
                <w:b/>
                <w:bCs/>
                <w:sz w:val="22"/>
                <w:szCs w:val="22"/>
              </w:rPr>
              <w:t>Assessed</w:t>
            </w:r>
            <w:r w:rsidR="00CD37C6" w:rsidRPr="00CD37C6">
              <w:rPr>
                <w:rStyle w:val="Medium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D37C6">
              <w:rPr>
                <w:rStyle w:val="Medium"/>
                <w:rFonts w:asciiTheme="minorHAnsi" w:hAnsiTheme="minorHAnsi" w:cstheme="minorHAnsi"/>
                <w:b/>
                <w:bCs/>
                <w:sz w:val="22"/>
                <w:szCs w:val="22"/>
              </w:rPr>
              <w:t>on:</w:t>
            </w:r>
          </w:p>
          <w:p w14:paraId="6C0922B7" w14:textId="5920909C" w:rsidR="009F127E" w:rsidRPr="00CD37C6" w:rsidRDefault="00000000" w:rsidP="00CD37C6">
            <w:pPr>
              <w:pStyle w:val="TableBullet"/>
            </w:pPr>
            <w:r w:rsidRPr="00CD37C6">
              <w:t>how</w:t>
            </w:r>
            <w:r w:rsidR="00CD37C6" w:rsidRPr="00CD37C6">
              <w:t xml:space="preserve"> </w:t>
            </w:r>
            <w:r w:rsidRPr="00CD37C6">
              <w:t>well</w:t>
            </w:r>
            <w:r w:rsidR="00CD37C6" w:rsidRPr="00CD37C6">
              <w:t xml:space="preserve"> </w:t>
            </w:r>
            <w:r w:rsidRPr="00CD37C6">
              <w:t>the</w:t>
            </w:r>
            <w:r w:rsidR="00CD37C6" w:rsidRPr="00CD37C6">
              <w:t xml:space="preserve"> </w:t>
            </w:r>
            <w:r w:rsidRPr="00CD37C6">
              <w:t>project</w:t>
            </w:r>
            <w:r w:rsidR="00CD37C6" w:rsidRPr="00CD37C6">
              <w:t xml:space="preserve"> </w:t>
            </w:r>
            <w:r w:rsidRPr="00CD37C6">
              <w:t>is</w:t>
            </w:r>
            <w:r w:rsidR="00CD37C6" w:rsidRPr="00CD37C6">
              <w:t xml:space="preserve"> </w:t>
            </w:r>
            <w:r w:rsidRPr="00CD37C6">
              <w:t>aligned</w:t>
            </w:r>
            <w:r w:rsidR="00CD37C6" w:rsidRPr="00CD37C6">
              <w:t xml:space="preserve"> </w:t>
            </w:r>
            <w:r w:rsidRPr="00CD37C6">
              <w:t>with</w:t>
            </w:r>
            <w:r w:rsidR="00CD37C6" w:rsidRPr="00CD37C6">
              <w:t xml:space="preserve"> </w:t>
            </w:r>
            <w:r w:rsidRPr="00CD37C6">
              <w:t>the</w:t>
            </w:r>
            <w:r w:rsidR="00CD37C6" w:rsidRPr="00CD37C6">
              <w:t xml:space="preserve"> </w:t>
            </w:r>
            <w:r w:rsidRPr="00CD37C6">
              <w:t>nominated</w:t>
            </w:r>
            <w:r w:rsidR="00CD37C6" w:rsidRPr="00CD37C6">
              <w:t xml:space="preserve"> </w:t>
            </w:r>
            <w:r w:rsidRPr="00CD37C6">
              <w:t>livestock</w:t>
            </w:r>
            <w:r w:rsidR="00CD37C6" w:rsidRPr="00CD37C6">
              <w:t xml:space="preserve"> </w:t>
            </w:r>
            <w:r w:rsidRPr="00CD37C6">
              <w:t>compensation</w:t>
            </w:r>
            <w:r w:rsidR="00CD37C6" w:rsidRPr="00CD37C6">
              <w:t xml:space="preserve"> </w:t>
            </w:r>
            <w:r w:rsidRPr="00CD37C6">
              <w:t>fund’s</w:t>
            </w:r>
            <w:r w:rsidR="00CD37C6" w:rsidRPr="00CD37C6">
              <w:t xml:space="preserve"> </w:t>
            </w:r>
            <w:r w:rsidRPr="00CD37C6">
              <w:t>areas</w:t>
            </w:r>
            <w:r w:rsidR="00CD37C6" w:rsidRPr="00CD37C6">
              <w:t xml:space="preserve"> </w:t>
            </w:r>
            <w:r w:rsidRPr="00CD37C6">
              <w:t>for</w:t>
            </w:r>
            <w:r w:rsidR="00CD37C6" w:rsidRPr="00CD37C6">
              <w:t xml:space="preserve"> </w:t>
            </w:r>
            <w:r w:rsidRPr="00CD37C6">
              <w:t>investment</w:t>
            </w:r>
            <w:r w:rsidR="00CD37C6" w:rsidRPr="00CD37C6">
              <w:t xml:space="preserve"> </w:t>
            </w:r>
            <w:r w:rsidRPr="00CD37C6">
              <w:t>and</w:t>
            </w:r>
            <w:r w:rsidR="00CD37C6" w:rsidRPr="00CD37C6">
              <w:t xml:space="preserve"> </w:t>
            </w:r>
            <w:r w:rsidRPr="00CD37C6">
              <w:t>how</w:t>
            </w:r>
            <w:r w:rsidR="00CD37C6" w:rsidRPr="00CD37C6">
              <w:t xml:space="preserve"> </w:t>
            </w:r>
            <w:r w:rsidRPr="00CD37C6">
              <w:t>suitable</w:t>
            </w:r>
            <w:r w:rsidR="00CD37C6" w:rsidRPr="00CD37C6">
              <w:t xml:space="preserve"> </w:t>
            </w:r>
            <w:r w:rsidRPr="00CD37C6">
              <w:t>and</w:t>
            </w:r>
            <w:r w:rsidR="00CD37C6" w:rsidRPr="00CD37C6">
              <w:t xml:space="preserve"> </w:t>
            </w:r>
            <w:r w:rsidRPr="00CD37C6">
              <w:t>innovative</w:t>
            </w:r>
            <w:r w:rsidR="00CD37C6" w:rsidRPr="00CD37C6">
              <w:t xml:space="preserve"> </w:t>
            </w:r>
            <w:r w:rsidRPr="00CD37C6">
              <w:t>the</w:t>
            </w:r>
            <w:r w:rsidR="00CD37C6" w:rsidRPr="00CD37C6">
              <w:t xml:space="preserve"> </w:t>
            </w:r>
            <w:r w:rsidRPr="00CD37C6">
              <w:t>project</w:t>
            </w:r>
            <w:r w:rsidR="00CD37C6" w:rsidRPr="00CD37C6">
              <w:t xml:space="preserve"> </w:t>
            </w:r>
            <w:r w:rsidRPr="00CD37C6">
              <w:t>is</w:t>
            </w:r>
            <w:r w:rsidR="00CD37C6" w:rsidRPr="00CD37C6">
              <w:t xml:space="preserve"> </w:t>
            </w:r>
            <w:r w:rsidRPr="00CD37C6">
              <w:t>for</w:t>
            </w:r>
            <w:r w:rsidR="00CD37C6" w:rsidRPr="00CD37C6">
              <w:t xml:space="preserve"> </w:t>
            </w:r>
            <w:r w:rsidRPr="00CD37C6">
              <w:t>solving</w:t>
            </w:r>
            <w:r w:rsidR="00CD37C6" w:rsidRPr="00CD37C6">
              <w:t xml:space="preserve"> </w:t>
            </w:r>
            <w:r w:rsidRPr="00CD37C6">
              <w:t>the</w:t>
            </w:r>
            <w:r w:rsidR="00CD37C6" w:rsidRPr="00CD37C6">
              <w:t xml:space="preserve"> </w:t>
            </w:r>
            <w:r w:rsidRPr="00CD37C6">
              <w:t>problem/s</w:t>
            </w:r>
            <w:r w:rsidR="00CD37C6" w:rsidRPr="00CD37C6">
              <w:t xml:space="preserve"> </w:t>
            </w:r>
            <w:r w:rsidRPr="00CD37C6">
              <w:t>it</w:t>
            </w:r>
            <w:r w:rsidR="00CD37C6" w:rsidRPr="00CD37C6">
              <w:t xml:space="preserve"> </w:t>
            </w:r>
            <w:r w:rsidRPr="00CD37C6">
              <w:t>addresses</w:t>
            </w:r>
            <w:r w:rsidR="00CD37C6" w:rsidRPr="00CD37C6">
              <w:t xml:space="preserve"> </w:t>
            </w:r>
            <w:r w:rsidRPr="00CD37C6">
              <w:t>(refer</w:t>
            </w:r>
            <w:r w:rsidR="00CD37C6" w:rsidRPr="00CD37C6">
              <w:t xml:space="preserve"> </w:t>
            </w:r>
            <w:r w:rsidRPr="00CD37C6">
              <w:t>to</w:t>
            </w:r>
            <w:r w:rsidR="00CD37C6" w:rsidRPr="00CD37C6">
              <w:t xml:space="preserve"> </w:t>
            </w:r>
            <w:r w:rsidRPr="00CD37C6">
              <w:t>Statement</w:t>
            </w:r>
            <w:r w:rsidR="00CD37C6" w:rsidRPr="00CD37C6">
              <w:t xml:space="preserve"> </w:t>
            </w:r>
            <w:r w:rsidRPr="00CD37C6">
              <w:t>of</w:t>
            </w:r>
            <w:r w:rsidR="00CD37C6" w:rsidRPr="00CD37C6">
              <w:t xml:space="preserve"> </w:t>
            </w:r>
            <w:r w:rsidRPr="00CD37C6">
              <w:t>Strategic</w:t>
            </w:r>
            <w:r w:rsidR="00CD37C6" w:rsidRPr="00CD37C6">
              <w:t xml:space="preserve"> </w:t>
            </w:r>
            <w:r w:rsidRPr="00CD37C6">
              <w:t>Intent,</w:t>
            </w:r>
            <w:r w:rsidR="00CD37C6" w:rsidRPr="00CD37C6">
              <w:t xml:space="preserve"> </w:t>
            </w:r>
            <w:r w:rsidRPr="00CD37C6">
              <w:t>Appendices</w:t>
            </w:r>
            <w:r w:rsidR="00CD37C6" w:rsidRPr="00CD37C6">
              <w:t xml:space="preserve"> </w:t>
            </w:r>
            <w:r w:rsidRPr="00CD37C6">
              <w:t>1</w:t>
            </w:r>
            <w:r w:rsidR="00CD37C6" w:rsidRPr="00CD37C6">
              <w:t xml:space="preserve"> </w:t>
            </w:r>
            <w:r w:rsidRPr="00CD37C6">
              <w:t>–</w:t>
            </w:r>
            <w:r w:rsidR="00CD37C6" w:rsidRPr="00CD37C6">
              <w:t xml:space="preserve"> </w:t>
            </w:r>
            <w:r w:rsidRPr="00CD37C6">
              <w:t>4)</w:t>
            </w:r>
          </w:p>
          <w:p w14:paraId="3585B227" w14:textId="0192CE95" w:rsidR="009F127E" w:rsidRPr="00CD37C6" w:rsidRDefault="00000000" w:rsidP="00CD37C6">
            <w:pPr>
              <w:pStyle w:val="TableBullet"/>
            </w:pPr>
            <w:r w:rsidRPr="00CD37C6">
              <w:t>how</w:t>
            </w:r>
            <w:r w:rsidR="00CD37C6" w:rsidRPr="00CD37C6">
              <w:t xml:space="preserve"> </w:t>
            </w:r>
            <w:r w:rsidRPr="00CD37C6">
              <w:t>well</w:t>
            </w:r>
            <w:r w:rsidR="00CD37C6" w:rsidRPr="00CD37C6">
              <w:t xml:space="preserve"> </w:t>
            </w:r>
            <w:r w:rsidRPr="00CD37C6">
              <w:t>designed</w:t>
            </w:r>
            <w:r w:rsidR="00CD37C6" w:rsidRPr="00CD37C6">
              <w:t xml:space="preserve"> </w:t>
            </w:r>
            <w:r w:rsidRPr="00CD37C6">
              <w:t>the</w:t>
            </w:r>
            <w:r w:rsidR="00CD37C6" w:rsidRPr="00CD37C6">
              <w:t xml:space="preserve"> </w:t>
            </w:r>
            <w:r w:rsidRPr="00CD37C6">
              <w:t>proposed</w:t>
            </w:r>
            <w:r w:rsidR="00CD37C6" w:rsidRPr="00CD37C6">
              <w:t xml:space="preserve"> </w:t>
            </w:r>
            <w:r w:rsidRPr="00CD37C6">
              <w:t>project</w:t>
            </w:r>
            <w:r w:rsidR="00CD37C6" w:rsidRPr="00CD37C6">
              <w:t xml:space="preserve"> </w:t>
            </w:r>
            <w:r w:rsidRPr="00CD37C6">
              <w:t>is</w:t>
            </w:r>
            <w:r w:rsidR="00CD37C6" w:rsidRPr="00CD37C6">
              <w:t xml:space="preserve"> </w:t>
            </w:r>
            <w:r w:rsidRPr="00CD37C6">
              <w:t>to</w:t>
            </w:r>
            <w:r w:rsidR="00CD37C6" w:rsidRPr="00CD37C6">
              <w:t xml:space="preserve"> </w:t>
            </w:r>
            <w:r w:rsidRPr="00CD37C6">
              <w:t>deliver</w:t>
            </w:r>
            <w:r w:rsidR="00CD37C6" w:rsidRPr="00CD37C6">
              <w:t xml:space="preserve"> </w:t>
            </w:r>
            <w:r w:rsidRPr="00CD37C6">
              <w:t>its</w:t>
            </w:r>
            <w:r w:rsidR="00CD37C6" w:rsidRPr="00CD37C6">
              <w:t xml:space="preserve"> </w:t>
            </w:r>
            <w:r w:rsidRPr="00CD37C6">
              <w:t>activities</w:t>
            </w:r>
            <w:r w:rsidR="00CD37C6" w:rsidRPr="00CD37C6">
              <w:t xml:space="preserve"> </w:t>
            </w:r>
            <w:r w:rsidRPr="00CD37C6">
              <w:t>and</w:t>
            </w:r>
            <w:r w:rsidR="00CD37C6" w:rsidRPr="00CD37C6">
              <w:t xml:space="preserve"> </w:t>
            </w:r>
            <w:r w:rsidRPr="00CD37C6">
              <w:t>for</w:t>
            </w:r>
            <w:r w:rsidR="00CD37C6" w:rsidRPr="00CD37C6">
              <w:t xml:space="preserve"> </w:t>
            </w:r>
            <w:r w:rsidRPr="00CD37C6">
              <w:t>project</w:t>
            </w:r>
            <w:r w:rsidR="00CD37C6" w:rsidRPr="00CD37C6">
              <w:t xml:space="preserve"> </w:t>
            </w:r>
            <w:r w:rsidRPr="00CD37C6">
              <w:t>impacts</w:t>
            </w:r>
            <w:r w:rsidR="00CD37C6" w:rsidRPr="00CD37C6">
              <w:t xml:space="preserve"> </w:t>
            </w:r>
            <w:r w:rsidRPr="00CD37C6">
              <w:t>to</w:t>
            </w:r>
            <w:r w:rsidR="00CD37C6" w:rsidRPr="00CD37C6">
              <w:t xml:space="preserve"> </w:t>
            </w:r>
            <w:r w:rsidRPr="00CD37C6">
              <w:t>reach</w:t>
            </w:r>
            <w:r w:rsidR="00CD37C6" w:rsidRPr="00CD37C6">
              <w:t xml:space="preserve"> </w:t>
            </w:r>
            <w:r w:rsidRPr="00CD37C6">
              <w:t>the</w:t>
            </w:r>
            <w:r w:rsidR="00CD37C6" w:rsidRPr="00CD37C6">
              <w:t xml:space="preserve"> </w:t>
            </w:r>
            <w:r w:rsidRPr="00CD37C6">
              <w:t>appropriate</w:t>
            </w:r>
            <w:r w:rsidR="00CD37C6" w:rsidRPr="00CD37C6">
              <w:t xml:space="preserve"> </w:t>
            </w:r>
            <w:r w:rsidRPr="00CD37C6">
              <w:t>industry</w:t>
            </w:r>
            <w:r w:rsidR="00CD37C6" w:rsidRPr="00CD37C6">
              <w:t xml:space="preserve"> </w:t>
            </w:r>
            <w:r w:rsidRPr="00CD37C6">
              <w:t>beneficiaries,</w:t>
            </w:r>
            <w:r w:rsidR="00CD37C6" w:rsidRPr="00CD37C6">
              <w:t xml:space="preserve"> </w:t>
            </w:r>
            <w:r w:rsidRPr="00CD37C6">
              <w:t>this</w:t>
            </w:r>
            <w:r w:rsidR="00CD37C6" w:rsidRPr="00CD37C6">
              <w:t xml:space="preserve"> </w:t>
            </w:r>
            <w:r w:rsidRPr="00CD37C6">
              <w:t>includes</w:t>
            </w:r>
            <w:r w:rsidR="00CD37C6" w:rsidRPr="00CD37C6">
              <w:t xml:space="preserve"> </w:t>
            </w:r>
            <w:r w:rsidRPr="00CD37C6">
              <w:t>value</w:t>
            </w:r>
            <w:r w:rsidR="00CD37C6" w:rsidRPr="00CD37C6">
              <w:t xml:space="preserve"> </w:t>
            </w:r>
            <w:r w:rsidRPr="00CD37C6">
              <w:t>for</w:t>
            </w:r>
            <w:r w:rsidR="00CD37C6" w:rsidRPr="00CD37C6">
              <w:t xml:space="preserve"> </w:t>
            </w:r>
            <w:r w:rsidRPr="00CD37C6">
              <w:t>money</w:t>
            </w:r>
            <w:r w:rsidR="00CD37C6" w:rsidRPr="00CD37C6">
              <w:t xml:space="preserve"> </w:t>
            </w:r>
            <w:r w:rsidRPr="00CD37C6">
              <w:t>considerations.</w:t>
            </w:r>
          </w:p>
          <w:p w14:paraId="65105CC1" w14:textId="16560817" w:rsidR="009F127E" w:rsidRPr="007B6A30" w:rsidRDefault="00000000" w:rsidP="007B6A30">
            <w:pPr>
              <w:pStyle w:val="TableCopy"/>
              <w:ind w:left="284"/>
              <w:rPr>
                <w:rStyle w:val="Medium"/>
                <w:b/>
                <w:bCs/>
              </w:rPr>
            </w:pPr>
            <w:r w:rsidRPr="007B6A30">
              <w:rPr>
                <w:rStyle w:val="Medium"/>
                <w:b/>
                <w:bCs/>
              </w:rPr>
              <w:t>Relevant</w:t>
            </w:r>
            <w:r w:rsidR="00CD37C6" w:rsidRPr="007B6A30">
              <w:rPr>
                <w:rStyle w:val="Medium"/>
                <w:b/>
                <w:bCs/>
              </w:rPr>
              <w:t xml:space="preserve"> </w:t>
            </w:r>
            <w:r w:rsidRPr="007B6A30">
              <w:rPr>
                <w:rStyle w:val="Medium"/>
                <w:b/>
                <w:bCs/>
              </w:rPr>
              <w:t>application</w:t>
            </w:r>
            <w:r w:rsidR="00CD37C6" w:rsidRPr="007B6A30">
              <w:rPr>
                <w:rStyle w:val="Medium"/>
                <w:b/>
                <w:bCs/>
              </w:rPr>
              <w:t xml:space="preserve"> </w:t>
            </w:r>
            <w:r w:rsidRPr="007B6A30">
              <w:rPr>
                <w:rStyle w:val="Medium"/>
                <w:b/>
                <w:bCs/>
              </w:rPr>
              <w:t>responses</w:t>
            </w:r>
            <w:r w:rsidR="00CD37C6" w:rsidRPr="007B6A30">
              <w:rPr>
                <w:rStyle w:val="Medium"/>
                <w:b/>
                <w:bCs/>
              </w:rPr>
              <w:t xml:space="preserve"> </w:t>
            </w:r>
            <w:r w:rsidRPr="007B6A30">
              <w:rPr>
                <w:rStyle w:val="Medium"/>
                <w:b/>
                <w:bCs/>
              </w:rPr>
              <w:t>must</w:t>
            </w:r>
            <w:r w:rsidR="00CD37C6" w:rsidRPr="007B6A30">
              <w:rPr>
                <w:rStyle w:val="Medium"/>
                <w:b/>
                <w:bCs/>
              </w:rPr>
              <w:t xml:space="preserve"> </w:t>
            </w:r>
            <w:r w:rsidRPr="007B6A30">
              <w:rPr>
                <w:rStyle w:val="Medium"/>
                <w:b/>
                <w:bCs/>
              </w:rPr>
              <w:t>include:</w:t>
            </w:r>
          </w:p>
          <w:p w14:paraId="3FC3491B" w14:textId="50D519E2" w:rsidR="009F127E" w:rsidRPr="00CD37C6" w:rsidRDefault="00000000" w:rsidP="00CD37C6">
            <w:pPr>
              <w:pStyle w:val="TableBullet"/>
            </w:pPr>
            <w:r w:rsidRPr="00CD37C6">
              <w:t>an</w:t>
            </w:r>
            <w:r w:rsidR="00CD37C6" w:rsidRPr="00CD37C6">
              <w:t xml:space="preserve"> </w:t>
            </w:r>
            <w:r w:rsidRPr="00CD37C6">
              <w:t>outline</w:t>
            </w:r>
            <w:r w:rsidR="00CD37C6" w:rsidRPr="00CD37C6">
              <w:t xml:space="preserve"> </w:t>
            </w:r>
            <w:r w:rsidRPr="00CD37C6">
              <w:t>of</w:t>
            </w:r>
            <w:r w:rsidR="00CD37C6" w:rsidRPr="00CD37C6">
              <w:t xml:space="preserve"> </w:t>
            </w:r>
            <w:r w:rsidRPr="00CD37C6">
              <w:t>the</w:t>
            </w:r>
            <w:r w:rsidR="00CD37C6" w:rsidRPr="00CD37C6">
              <w:t xml:space="preserve"> </w:t>
            </w:r>
            <w:r w:rsidRPr="00CD37C6">
              <w:t>scale</w:t>
            </w:r>
            <w:r w:rsidR="00CD37C6" w:rsidRPr="00CD37C6">
              <w:t xml:space="preserve"> </w:t>
            </w:r>
            <w:r w:rsidRPr="00CD37C6">
              <w:t>of</w:t>
            </w:r>
            <w:r w:rsidR="00CD37C6" w:rsidRPr="00CD37C6">
              <w:t xml:space="preserve"> </w:t>
            </w:r>
            <w:r w:rsidRPr="00CD37C6">
              <w:t>problem</w:t>
            </w:r>
            <w:r w:rsidR="00CD37C6" w:rsidRPr="00CD37C6">
              <w:t xml:space="preserve"> </w:t>
            </w:r>
            <w:r w:rsidRPr="00CD37C6">
              <w:t>being</w:t>
            </w:r>
            <w:r w:rsidR="00CD37C6" w:rsidRPr="00CD37C6">
              <w:t xml:space="preserve"> </w:t>
            </w:r>
            <w:r w:rsidRPr="00CD37C6">
              <w:t>addressed,</w:t>
            </w:r>
            <w:r w:rsidR="00CD37C6" w:rsidRPr="00CD37C6">
              <w:t xml:space="preserve"> </w:t>
            </w:r>
            <w:r w:rsidRPr="00CD37C6">
              <w:t>percentage</w:t>
            </w:r>
            <w:r w:rsidR="00CD37C6" w:rsidRPr="00CD37C6">
              <w:t xml:space="preserve"> </w:t>
            </w:r>
            <w:r w:rsidRPr="00CD37C6">
              <w:t>of</w:t>
            </w:r>
            <w:r w:rsidR="00CD37C6" w:rsidRPr="00CD37C6">
              <w:t xml:space="preserve"> </w:t>
            </w:r>
            <w:r w:rsidRPr="00CD37C6">
              <w:t>industry</w:t>
            </w:r>
            <w:r w:rsidR="00CD37C6" w:rsidRPr="00CD37C6">
              <w:t xml:space="preserve"> </w:t>
            </w:r>
            <w:r w:rsidRPr="00CD37C6">
              <w:t>affected,</w:t>
            </w:r>
            <w:r w:rsidR="00CD37C6" w:rsidRPr="00CD37C6">
              <w:t xml:space="preserve"> </w:t>
            </w:r>
            <w:r w:rsidRPr="00CD37C6">
              <w:t>monetary</w:t>
            </w:r>
            <w:r w:rsidR="00CD37C6" w:rsidRPr="00CD37C6">
              <w:t xml:space="preserve"> </w:t>
            </w:r>
            <w:r w:rsidRPr="00CD37C6">
              <w:t>impact</w:t>
            </w:r>
            <w:r w:rsidR="00CD37C6" w:rsidRPr="00CD37C6">
              <w:t xml:space="preserve"> </w:t>
            </w:r>
            <w:r w:rsidRPr="00CD37C6">
              <w:t>on</w:t>
            </w:r>
            <w:r w:rsidR="00CD37C6" w:rsidRPr="00CD37C6">
              <w:t xml:space="preserve"> </w:t>
            </w:r>
            <w:r w:rsidRPr="00CD37C6">
              <w:t>industry</w:t>
            </w:r>
            <w:r w:rsidR="00CD37C6" w:rsidRPr="00CD37C6">
              <w:t xml:space="preserve"> </w:t>
            </w:r>
            <w:r w:rsidRPr="00CD37C6">
              <w:t>or</w:t>
            </w:r>
            <w:r w:rsidR="00CD37C6" w:rsidRPr="00CD37C6">
              <w:t xml:space="preserve"> </w:t>
            </w:r>
            <w:r w:rsidRPr="00CD37C6">
              <w:t>potential</w:t>
            </w:r>
            <w:r w:rsidR="00CD37C6" w:rsidRPr="00CD37C6">
              <w:t xml:space="preserve"> </w:t>
            </w:r>
            <w:r w:rsidRPr="00CD37C6">
              <w:t>threat</w:t>
            </w:r>
            <w:r w:rsidR="00CD37C6" w:rsidRPr="00CD37C6">
              <w:t xml:space="preserve"> </w:t>
            </w:r>
            <w:r w:rsidRPr="00CD37C6">
              <w:t>to</w:t>
            </w:r>
            <w:r w:rsidR="00CD37C6" w:rsidRPr="00CD37C6">
              <w:t xml:space="preserve"> </w:t>
            </w:r>
            <w:r w:rsidRPr="00CD37C6">
              <w:t>industry</w:t>
            </w:r>
          </w:p>
          <w:p w14:paraId="41D8675A" w14:textId="540D0EB0" w:rsidR="009F127E" w:rsidRPr="00CD37C6" w:rsidRDefault="00000000" w:rsidP="00CD37C6">
            <w:pPr>
              <w:pStyle w:val="TableBullet"/>
            </w:pPr>
            <w:r w:rsidRPr="00CD37C6">
              <w:t>solution</w:t>
            </w:r>
            <w:r w:rsidR="00CD37C6" w:rsidRPr="00CD37C6">
              <w:t xml:space="preserve"> </w:t>
            </w:r>
            <w:r w:rsidRPr="00CD37C6">
              <w:t>and</w:t>
            </w:r>
            <w:r w:rsidR="00CD37C6" w:rsidRPr="00CD37C6">
              <w:t xml:space="preserve"> </w:t>
            </w:r>
            <w:r w:rsidRPr="00CD37C6">
              <w:t>proposed</w:t>
            </w:r>
            <w:r w:rsidR="00CD37C6" w:rsidRPr="00CD37C6">
              <w:t xml:space="preserve"> </w:t>
            </w:r>
            <w:r w:rsidRPr="00CD37C6">
              <w:t>methodology</w:t>
            </w:r>
            <w:r w:rsidR="00CD37C6" w:rsidRPr="00CD37C6">
              <w:t xml:space="preserve"> </w:t>
            </w:r>
            <w:r w:rsidRPr="00CD37C6">
              <w:t>and</w:t>
            </w:r>
            <w:r w:rsidR="00CD37C6" w:rsidRPr="00CD37C6">
              <w:t xml:space="preserve"> </w:t>
            </w:r>
            <w:r w:rsidRPr="00CD37C6">
              <w:t>any</w:t>
            </w:r>
            <w:r w:rsidR="00CD37C6" w:rsidRPr="00CD37C6">
              <w:t xml:space="preserve"> </w:t>
            </w:r>
            <w:r w:rsidRPr="00CD37C6">
              <w:t>evidence</w:t>
            </w:r>
            <w:r w:rsidR="00CD37C6" w:rsidRPr="00CD37C6">
              <w:t xml:space="preserve"> </w:t>
            </w:r>
            <w:r w:rsidRPr="00CD37C6">
              <w:t>that</w:t>
            </w:r>
            <w:r w:rsidR="00CD37C6" w:rsidRPr="00CD37C6">
              <w:t xml:space="preserve"> </w:t>
            </w:r>
            <w:r w:rsidRPr="00CD37C6">
              <w:t>this</w:t>
            </w:r>
            <w:r w:rsidR="00CD37C6" w:rsidRPr="00CD37C6">
              <w:t xml:space="preserve"> </w:t>
            </w:r>
            <w:r w:rsidRPr="00CD37C6">
              <w:t>solution</w:t>
            </w:r>
            <w:r w:rsidR="00CD37C6" w:rsidRPr="00CD37C6">
              <w:t xml:space="preserve"> </w:t>
            </w:r>
            <w:r w:rsidRPr="00CD37C6">
              <w:t>is</w:t>
            </w:r>
            <w:r w:rsidR="00CD37C6" w:rsidRPr="00CD37C6">
              <w:t xml:space="preserve"> </w:t>
            </w:r>
            <w:r w:rsidRPr="00CD37C6">
              <w:t>best</w:t>
            </w:r>
            <w:r w:rsidR="00CD37C6" w:rsidRPr="00CD37C6">
              <w:t xml:space="preserve"> </w:t>
            </w:r>
            <w:r w:rsidRPr="00CD37C6">
              <w:t>or</w:t>
            </w:r>
            <w:r w:rsidR="00CD37C6" w:rsidRPr="00CD37C6">
              <w:t xml:space="preserve"> </w:t>
            </w:r>
            <w:r w:rsidRPr="00CD37C6">
              <w:t>likely</w:t>
            </w:r>
            <w:r w:rsidR="00CD37C6" w:rsidRPr="00CD37C6">
              <w:t xml:space="preserve"> </w:t>
            </w:r>
            <w:r w:rsidRPr="00CD37C6">
              <w:t>to</w:t>
            </w:r>
            <w:r w:rsidR="00CD37C6" w:rsidRPr="00CD37C6">
              <w:t xml:space="preserve"> </w:t>
            </w:r>
            <w:r w:rsidRPr="00CD37C6">
              <w:t>work</w:t>
            </w:r>
          </w:p>
          <w:p w14:paraId="2601B9AB" w14:textId="50BE5B75" w:rsidR="009F127E" w:rsidRPr="00CD37C6" w:rsidRDefault="00000000" w:rsidP="00CD37C6">
            <w:pPr>
              <w:pStyle w:val="TableBullet"/>
            </w:pPr>
            <w:r w:rsidRPr="00CD37C6">
              <w:t>how</w:t>
            </w:r>
            <w:r w:rsidR="00CD37C6" w:rsidRPr="00CD37C6">
              <w:t xml:space="preserve"> </w:t>
            </w:r>
            <w:r w:rsidRPr="00CD37C6">
              <w:t>risk</w:t>
            </w:r>
            <w:r w:rsidR="00CD37C6" w:rsidRPr="00CD37C6">
              <w:t xml:space="preserve"> </w:t>
            </w:r>
            <w:r w:rsidRPr="00CD37C6">
              <w:t>is</w:t>
            </w:r>
            <w:r w:rsidR="00CD37C6" w:rsidRPr="00CD37C6">
              <w:t xml:space="preserve"> </w:t>
            </w:r>
            <w:r w:rsidRPr="00CD37C6">
              <w:t>effectively</w:t>
            </w:r>
            <w:r w:rsidR="00CD37C6" w:rsidRPr="00CD37C6">
              <w:t xml:space="preserve"> </w:t>
            </w:r>
            <w:r w:rsidRPr="00CD37C6">
              <w:t>managed</w:t>
            </w:r>
          </w:p>
          <w:p w14:paraId="2B3CA406" w14:textId="198F927F" w:rsidR="009F127E" w:rsidRPr="00CD37C6" w:rsidRDefault="00000000" w:rsidP="007B6A30">
            <w:pPr>
              <w:pStyle w:val="TableBullet"/>
            </w:pPr>
            <w:r w:rsidRPr="00CD37C6">
              <w:t>how</w:t>
            </w:r>
            <w:r w:rsidR="00CD37C6" w:rsidRPr="00CD37C6">
              <w:t xml:space="preserve"> </w:t>
            </w:r>
            <w:r w:rsidRPr="00CD37C6">
              <w:t>the</w:t>
            </w:r>
            <w:r w:rsidR="00CD37C6" w:rsidRPr="00CD37C6">
              <w:t xml:space="preserve"> </w:t>
            </w:r>
            <w:r w:rsidRPr="00CD37C6">
              <w:t>project</w:t>
            </w:r>
            <w:r w:rsidR="00CD37C6" w:rsidRPr="00CD37C6">
              <w:t xml:space="preserve"> </w:t>
            </w:r>
            <w:r w:rsidRPr="00CD37C6">
              <w:t>results</w:t>
            </w:r>
            <w:r w:rsidR="00CD37C6" w:rsidRPr="00CD37C6">
              <w:t xml:space="preserve"> </w:t>
            </w:r>
            <w:r w:rsidRPr="00CD37C6">
              <w:t>contribute</w:t>
            </w:r>
            <w:r w:rsidR="00CD37C6" w:rsidRPr="00CD37C6">
              <w:t xml:space="preserve"> </w:t>
            </w:r>
            <w:r w:rsidRPr="00CD37C6">
              <w:t>to</w:t>
            </w:r>
            <w:r w:rsidR="00CD37C6" w:rsidRPr="00CD37C6">
              <w:t xml:space="preserve"> </w:t>
            </w:r>
            <w:r w:rsidRPr="00CD37C6">
              <w:t>agricultural</w:t>
            </w:r>
            <w:r w:rsidR="00CD37C6" w:rsidRPr="00CD37C6">
              <w:t xml:space="preserve"> </w:t>
            </w:r>
            <w:r w:rsidRPr="00CD37C6">
              <w:t>extension,</w:t>
            </w:r>
            <w:r w:rsidR="00CD37C6" w:rsidRPr="00CD37C6">
              <w:t xml:space="preserve"> </w:t>
            </w:r>
            <w:proofErr w:type="spellStart"/>
            <w:proofErr w:type="gramStart"/>
            <w:r w:rsidRPr="00CD37C6">
              <w:t>ie</w:t>
            </w:r>
            <w:proofErr w:type="spellEnd"/>
            <w:proofErr w:type="gramEnd"/>
            <w:r w:rsidR="00CD37C6" w:rsidRPr="00CD37C6">
              <w:t xml:space="preserve"> </w:t>
            </w:r>
            <w:r w:rsidRPr="00CD37C6">
              <w:t>the</w:t>
            </w:r>
            <w:r w:rsidR="00CD37C6" w:rsidRPr="00CD37C6">
              <w:t xml:space="preserve"> </w:t>
            </w:r>
            <w:r w:rsidRPr="00CD37C6">
              <w:t>communication</w:t>
            </w:r>
            <w:r w:rsidR="00CD37C6" w:rsidRPr="00CD37C6">
              <w:t xml:space="preserve"> </w:t>
            </w:r>
            <w:r w:rsidRPr="00CD37C6">
              <w:t>and</w:t>
            </w:r>
            <w:r w:rsidR="00CD37C6" w:rsidRPr="00CD37C6">
              <w:t xml:space="preserve"> </w:t>
            </w:r>
            <w:r w:rsidRPr="00CD37C6">
              <w:t>delivery</w:t>
            </w:r>
            <w:r w:rsidR="00CD37C6" w:rsidRPr="00CD37C6">
              <w:t xml:space="preserve"> </w:t>
            </w:r>
            <w:r w:rsidRPr="00CD37C6">
              <w:t>of</w:t>
            </w:r>
            <w:r w:rsidR="00CD37C6" w:rsidRPr="00CD37C6">
              <w:t xml:space="preserve"> </w:t>
            </w:r>
            <w:r w:rsidRPr="00CD37C6">
              <w:t>the</w:t>
            </w:r>
            <w:r w:rsidR="00CD37C6" w:rsidRPr="00CD37C6">
              <w:t xml:space="preserve"> </w:t>
            </w:r>
            <w:r w:rsidRPr="00CD37C6">
              <w:t>information,</w:t>
            </w:r>
            <w:r w:rsidR="00CD37C6" w:rsidRPr="00CD37C6">
              <w:t xml:space="preserve"> </w:t>
            </w:r>
            <w:r w:rsidRPr="00CD37C6">
              <w:t>knowledge</w:t>
            </w:r>
            <w:r w:rsidR="00CD37C6" w:rsidRPr="00CD37C6">
              <w:t xml:space="preserve"> </w:t>
            </w:r>
            <w:r w:rsidRPr="00CD37C6">
              <w:t>and/or</w:t>
            </w:r>
            <w:r w:rsidR="00CD37C6" w:rsidRPr="00CD37C6">
              <w:t xml:space="preserve"> </w:t>
            </w:r>
            <w:r w:rsidRPr="00CD37C6">
              <w:t>technology</w:t>
            </w:r>
            <w:r w:rsidR="00CD37C6" w:rsidRPr="00CD37C6">
              <w:t xml:space="preserve"> </w:t>
            </w:r>
            <w:r w:rsidRPr="00CD37C6">
              <w:t>outcomes</w:t>
            </w:r>
            <w:r w:rsidR="00CD37C6" w:rsidRPr="00CD37C6">
              <w:t xml:space="preserve"> </w:t>
            </w:r>
            <w:r w:rsidRPr="00CD37C6">
              <w:t>of</w:t>
            </w:r>
            <w:r w:rsidR="00CD37C6" w:rsidRPr="00CD37C6">
              <w:t xml:space="preserve"> </w:t>
            </w:r>
            <w:r w:rsidRPr="00CD37C6">
              <w:t>the</w:t>
            </w:r>
            <w:r w:rsidR="00CD37C6" w:rsidRPr="00CD37C6">
              <w:t xml:space="preserve"> </w:t>
            </w:r>
            <w:r w:rsidRPr="00CD37C6">
              <w:t>project</w:t>
            </w:r>
            <w:r w:rsidR="00CD37C6" w:rsidRPr="00CD37C6">
              <w:t xml:space="preserve"> </w:t>
            </w:r>
            <w:r w:rsidRPr="00CD37C6">
              <w:t>to</w:t>
            </w:r>
            <w:r w:rsidR="00CD37C6" w:rsidRPr="00CD37C6">
              <w:t xml:space="preserve"> </w:t>
            </w:r>
            <w:r w:rsidRPr="00CD37C6">
              <w:t>industry</w:t>
            </w:r>
            <w:r w:rsidR="00CD37C6" w:rsidRPr="00CD37C6">
              <w:t xml:space="preserve"> </w:t>
            </w:r>
            <w:r w:rsidRPr="00CD37C6">
              <w:t>stakeholders</w:t>
            </w:r>
            <w:r w:rsidR="00CD37C6" w:rsidRPr="00CD37C6">
              <w:t xml:space="preserve"> </w:t>
            </w:r>
            <w:r w:rsidRPr="00CD37C6">
              <w:t>(including,</w:t>
            </w:r>
            <w:r w:rsidR="00CD37C6" w:rsidRPr="00CD37C6">
              <w:t xml:space="preserve"> </w:t>
            </w:r>
            <w:r w:rsidRPr="00CD37C6">
              <w:t>where</w:t>
            </w:r>
            <w:r w:rsidR="00CD37C6" w:rsidRPr="00CD37C6">
              <w:t xml:space="preserve"> </w:t>
            </w:r>
            <w:r w:rsidRPr="00CD37C6">
              <w:t>relevant,</w:t>
            </w:r>
            <w:r w:rsidR="00CD37C6" w:rsidRPr="00CD37C6">
              <w:t xml:space="preserve"> </w:t>
            </w:r>
            <w:r w:rsidRPr="00CD37C6">
              <w:t>beyond</w:t>
            </w:r>
            <w:r w:rsidR="00CD37C6" w:rsidRPr="00CD37C6">
              <w:t xml:space="preserve"> </w:t>
            </w:r>
            <w:r w:rsidRPr="00CD37C6">
              <w:t>the</w:t>
            </w:r>
            <w:r w:rsidR="00CD37C6" w:rsidRPr="00CD37C6">
              <w:t xml:space="preserve"> </w:t>
            </w:r>
            <w:r w:rsidRPr="00CD37C6">
              <w:t>life</w:t>
            </w:r>
            <w:r w:rsidR="00CD37C6" w:rsidRPr="00CD37C6">
              <w:t xml:space="preserve"> </w:t>
            </w:r>
            <w:r w:rsidRPr="00CD37C6">
              <w:t>of</w:t>
            </w:r>
            <w:r w:rsidR="00CD37C6" w:rsidRPr="00CD37C6">
              <w:t xml:space="preserve"> </w:t>
            </w:r>
            <w:r w:rsidRPr="00CD37C6">
              <w:t>the</w:t>
            </w:r>
            <w:r w:rsidR="00CD37C6" w:rsidRPr="00CD37C6">
              <w:t xml:space="preserve"> </w:t>
            </w:r>
            <w:r w:rsidRPr="00CD37C6">
              <w:t>grant).</w:t>
            </w:r>
          </w:p>
        </w:tc>
        <w:tc>
          <w:tcPr>
            <w:tcW w:w="1417" w:type="dxa"/>
          </w:tcPr>
          <w:p w14:paraId="506D37EC" w14:textId="77777777" w:rsidR="009F127E" w:rsidRPr="00CD37C6" w:rsidRDefault="00000000" w:rsidP="007B6A30">
            <w:pPr>
              <w:pStyle w:val="TableCopy"/>
              <w:jc w:val="center"/>
            </w:pPr>
            <w:r w:rsidRPr="00CD37C6">
              <w:t>30%</w:t>
            </w:r>
          </w:p>
        </w:tc>
      </w:tr>
    </w:tbl>
    <w:p w14:paraId="724918CC" w14:textId="77777777" w:rsidR="009F127E" w:rsidRDefault="009F127E" w:rsidP="008E4EA4"/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4673"/>
        <w:gridCol w:w="1417"/>
      </w:tblGrid>
      <w:tr w:rsidR="007B6A30" w:rsidRPr="007B6A30" w14:paraId="20411C93" w14:textId="77777777" w:rsidTr="007B6A30">
        <w:trPr>
          <w:trHeight w:val="60"/>
        </w:trPr>
        <w:tc>
          <w:tcPr>
            <w:tcW w:w="4673" w:type="dxa"/>
          </w:tcPr>
          <w:p w14:paraId="0BE86E7C" w14:textId="2D01A667" w:rsidR="009F127E" w:rsidRPr="007B6A30" w:rsidRDefault="00000000" w:rsidP="007B6A30">
            <w:pPr>
              <w:pStyle w:val="TableHeading"/>
            </w:pPr>
            <w:r w:rsidRPr="007B6A30">
              <w:lastRenderedPageBreak/>
              <w:t>Assessment</w:t>
            </w:r>
            <w:r w:rsidR="00CD37C6" w:rsidRPr="007B6A30">
              <w:t xml:space="preserve"> </w:t>
            </w:r>
            <w:r w:rsidRPr="007B6A30">
              <w:t>Criteria</w:t>
            </w:r>
          </w:p>
        </w:tc>
        <w:tc>
          <w:tcPr>
            <w:tcW w:w="1417" w:type="dxa"/>
          </w:tcPr>
          <w:p w14:paraId="6EE347A9" w14:textId="77777777" w:rsidR="009F127E" w:rsidRPr="007B6A30" w:rsidRDefault="00000000" w:rsidP="007B6A30">
            <w:pPr>
              <w:pStyle w:val="TableHeading"/>
              <w:jc w:val="center"/>
            </w:pPr>
            <w:r w:rsidRPr="007B6A30">
              <w:t>Weighting</w:t>
            </w:r>
          </w:p>
        </w:tc>
      </w:tr>
      <w:tr w:rsidR="007B6A30" w14:paraId="57A85A0F" w14:textId="77777777" w:rsidTr="007B6A30">
        <w:trPr>
          <w:trHeight w:val="60"/>
        </w:trPr>
        <w:tc>
          <w:tcPr>
            <w:tcW w:w="4673" w:type="dxa"/>
          </w:tcPr>
          <w:p w14:paraId="7CF208BE" w14:textId="0D1B4706" w:rsidR="009F127E" w:rsidRPr="005C4339" w:rsidRDefault="00000000" w:rsidP="005C4339">
            <w:pPr>
              <w:pStyle w:val="TableCopy"/>
              <w:rPr>
                <w:b/>
                <w:bCs/>
              </w:rPr>
            </w:pPr>
            <w:r w:rsidRPr="005C4339">
              <w:rPr>
                <w:b/>
                <w:bCs/>
              </w:rPr>
              <w:t>B.</w:t>
            </w:r>
            <w:r w:rsidRPr="005C4339">
              <w:rPr>
                <w:b/>
                <w:bCs/>
              </w:rPr>
              <w:tab/>
              <w:t>Project</w:t>
            </w:r>
            <w:r w:rsidR="00CD37C6" w:rsidRPr="005C4339">
              <w:rPr>
                <w:b/>
                <w:bCs/>
              </w:rPr>
              <w:t xml:space="preserve"> </w:t>
            </w:r>
            <w:r w:rsidRPr="005C4339">
              <w:rPr>
                <w:b/>
                <w:bCs/>
              </w:rPr>
              <w:t>Impact</w:t>
            </w:r>
          </w:p>
          <w:p w14:paraId="6C465CF4" w14:textId="5DEC8CCF" w:rsidR="009F127E" w:rsidRPr="007B6A30" w:rsidRDefault="00000000" w:rsidP="007B6A30">
            <w:pPr>
              <w:pStyle w:val="TableCopy"/>
              <w:ind w:left="283"/>
              <w:rPr>
                <w:rStyle w:val="Medium"/>
                <w:rFonts w:asciiTheme="minorHAnsi" w:hAnsiTheme="minorHAnsi" w:cstheme="minorHAnsi"/>
                <w:b/>
                <w:bCs/>
              </w:rPr>
            </w:pPr>
            <w:r w:rsidRPr="007B6A30">
              <w:rPr>
                <w:rStyle w:val="Medium"/>
                <w:rFonts w:asciiTheme="minorHAnsi" w:hAnsiTheme="minorHAnsi" w:cstheme="minorHAnsi"/>
                <w:b/>
                <w:bCs/>
              </w:rPr>
              <w:t>Assessed</w:t>
            </w:r>
            <w:r w:rsidR="00CD37C6" w:rsidRPr="007B6A30">
              <w:rPr>
                <w:rStyle w:val="Medium"/>
                <w:rFonts w:asciiTheme="minorHAnsi" w:hAnsiTheme="minorHAnsi" w:cstheme="minorHAnsi"/>
                <w:b/>
                <w:bCs/>
              </w:rPr>
              <w:t xml:space="preserve"> </w:t>
            </w:r>
            <w:r w:rsidRPr="007B6A30">
              <w:rPr>
                <w:rStyle w:val="Medium"/>
                <w:rFonts w:asciiTheme="minorHAnsi" w:hAnsiTheme="minorHAnsi" w:cstheme="minorHAnsi"/>
                <w:b/>
                <w:bCs/>
              </w:rPr>
              <w:t>on:</w:t>
            </w:r>
          </w:p>
          <w:p w14:paraId="6268E743" w14:textId="76A52233" w:rsidR="009F127E" w:rsidRPr="005C4339" w:rsidRDefault="00000000" w:rsidP="005C4339">
            <w:pPr>
              <w:pStyle w:val="TableBullet"/>
            </w:pPr>
            <w:r>
              <w:t>how</w:t>
            </w:r>
            <w:r w:rsidR="00CD37C6">
              <w:t xml:space="preserve"> </w:t>
            </w:r>
            <w:r>
              <w:t>well</w:t>
            </w:r>
            <w:r w:rsidR="00CD37C6">
              <w:t xml:space="preserve"> </w:t>
            </w:r>
            <w:r>
              <w:t>the</w:t>
            </w:r>
            <w:r w:rsidR="00CD37C6">
              <w:t xml:space="preserve"> </w:t>
            </w:r>
            <w:r>
              <w:t>project</w:t>
            </w:r>
            <w:r w:rsidR="00CD37C6">
              <w:t xml:space="preserve"> </w:t>
            </w:r>
            <w:r>
              <w:t>outcomes</w:t>
            </w:r>
            <w:r w:rsidR="00CD37C6">
              <w:t xml:space="preserve"> </w:t>
            </w:r>
            <w:r>
              <w:t>align</w:t>
            </w:r>
            <w:r w:rsidR="00CD37C6">
              <w:t xml:space="preserve"> </w:t>
            </w:r>
            <w:r>
              <w:t>to</w:t>
            </w:r>
            <w:r w:rsidR="00CD37C6">
              <w:t xml:space="preserve"> </w:t>
            </w:r>
            <w:r>
              <w:t>the</w:t>
            </w:r>
            <w:r w:rsidR="00CD37C6">
              <w:t xml:space="preserve"> </w:t>
            </w:r>
            <w:r w:rsidRPr="005C4339">
              <w:t>outcomes</w:t>
            </w:r>
            <w:r w:rsidR="00CD37C6" w:rsidRPr="005C4339">
              <w:t xml:space="preserve"> </w:t>
            </w:r>
            <w:r w:rsidRPr="005C4339">
              <w:t>identified</w:t>
            </w:r>
            <w:r w:rsidR="00CD37C6" w:rsidRPr="005C4339">
              <w:t xml:space="preserve"> </w:t>
            </w:r>
            <w:r w:rsidRPr="005C4339">
              <w:t>for</w:t>
            </w:r>
            <w:r w:rsidR="00CD37C6" w:rsidRPr="005C4339">
              <w:t xml:space="preserve"> </w:t>
            </w:r>
            <w:r w:rsidRPr="005C4339">
              <w:t>the</w:t>
            </w:r>
            <w:r w:rsidR="00CD37C6" w:rsidRPr="005C4339">
              <w:t xml:space="preserve"> </w:t>
            </w:r>
            <w:r w:rsidRPr="005C4339">
              <w:t>nominated</w:t>
            </w:r>
            <w:r w:rsidR="00CD37C6" w:rsidRPr="005C4339">
              <w:t xml:space="preserve"> </w:t>
            </w:r>
            <w:r w:rsidRPr="005C4339">
              <w:t>livestock</w:t>
            </w:r>
            <w:r w:rsidR="00CD37C6" w:rsidRPr="005C4339">
              <w:t xml:space="preserve"> </w:t>
            </w:r>
            <w:r w:rsidRPr="005C4339">
              <w:t>compensation</w:t>
            </w:r>
            <w:r w:rsidR="00CD37C6" w:rsidRPr="005C4339">
              <w:t xml:space="preserve"> </w:t>
            </w:r>
            <w:r w:rsidRPr="005C4339">
              <w:t>fund</w:t>
            </w:r>
            <w:r w:rsidR="00CD37C6" w:rsidRPr="005C4339">
              <w:t xml:space="preserve"> </w:t>
            </w:r>
            <w:r w:rsidRPr="005C4339">
              <w:t>(refer</w:t>
            </w:r>
            <w:r w:rsidR="00CD37C6" w:rsidRPr="005C4339">
              <w:t xml:space="preserve"> </w:t>
            </w:r>
            <w:r w:rsidRPr="005C4339">
              <w:t>to</w:t>
            </w:r>
            <w:r w:rsidR="00CD37C6" w:rsidRPr="005C4339">
              <w:t xml:space="preserve"> </w:t>
            </w:r>
            <w:r w:rsidRPr="005C4339">
              <w:t>Statement</w:t>
            </w:r>
            <w:r w:rsidR="00CD37C6" w:rsidRPr="005C4339">
              <w:t xml:space="preserve"> </w:t>
            </w:r>
            <w:r w:rsidRPr="005C4339">
              <w:t>of</w:t>
            </w:r>
            <w:r w:rsidR="00CD37C6" w:rsidRPr="005C4339">
              <w:t xml:space="preserve"> </w:t>
            </w:r>
            <w:r w:rsidRPr="005C4339">
              <w:t>Strategic</w:t>
            </w:r>
            <w:r w:rsidR="00CD37C6" w:rsidRPr="005C4339">
              <w:t xml:space="preserve"> </w:t>
            </w:r>
            <w:r w:rsidRPr="005C4339">
              <w:t>Intent,</w:t>
            </w:r>
            <w:r w:rsidR="00CD37C6" w:rsidRPr="005C4339">
              <w:t xml:space="preserve"> </w:t>
            </w:r>
            <w:r w:rsidRPr="005C4339">
              <w:t>Appendices</w:t>
            </w:r>
            <w:r w:rsidR="00CD37C6" w:rsidRPr="005C4339">
              <w:t xml:space="preserve"> </w:t>
            </w:r>
            <w:r w:rsidRPr="005C4339">
              <w:t>1</w:t>
            </w:r>
            <w:r w:rsidR="00CD37C6" w:rsidRPr="005C4339">
              <w:t xml:space="preserve"> </w:t>
            </w:r>
            <w:r w:rsidRPr="005C4339">
              <w:t>–4)</w:t>
            </w:r>
          </w:p>
          <w:p w14:paraId="6D7CE175" w14:textId="3779D94D" w:rsidR="009F127E" w:rsidRDefault="00000000" w:rsidP="005C4339">
            <w:pPr>
              <w:pStyle w:val="TableBullet"/>
            </w:pPr>
            <w:r w:rsidRPr="005C4339">
              <w:t>how</w:t>
            </w:r>
            <w:r w:rsidR="00CD37C6" w:rsidRPr="005C4339">
              <w:t xml:space="preserve"> </w:t>
            </w:r>
            <w:r w:rsidRPr="005C4339">
              <w:t>impactful</w:t>
            </w:r>
            <w:r w:rsidR="00CD37C6" w:rsidRPr="007B6A30">
              <w:t xml:space="preserve"> </w:t>
            </w:r>
            <w:r w:rsidRPr="007B6A30">
              <w:t>the</w:t>
            </w:r>
            <w:r w:rsidR="00CD37C6" w:rsidRPr="007B6A30">
              <w:t xml:space="preserve"> </w:t>
            </w:r>
            <w:r w:rsidRPr="007B6A30">
              <w:t>expected</w:t>
            </w:r>
            <w:r w:rsidR="00CD37C6" w:rsidRPr="007B6A30">
              <w:t xml:space="preserve"> </w:t>
            </w:r>
            <w:r w:rsidRPr="007B6A30">
              <w:t>longer-term</w:t>
            </w:r>
            <w:r w:rsidR="00CD37C6" w:rsidRPr="007B6A30">
              <w:t xml:space="preserve"> </w:t>
            </w:r>
            <w:r w:rsidRPr="007B6A30">
              <w:t>outcomes</w:t>
            </w:r>
            <w:r w:rsidR="00CD37C6" w:rsidRPr="007B6A30">
              <w:t xml:space="preserve"> </w:t>
            </w:r>
            <w:r w:rsidRPr="007B6A30">
              <w:t>are</w:t>
            </w:r>
            <w:r w:rsidR="00CD37C6" w:rsidRPr="007B6A30">
              <w:t xml:space="preserve"> </w:t>
            </w:r>
            <w:r w:rsidRPr="007B6A30">
              <w:t>for</w:t>
            </w:r>
            <w:r w:rsidR="00CD37C6" w:rsidRPr="007B6A30">
              <w:t xml:space="preserve"> </w:t>
            </w:r>
            <w:r w:rsidRPr="007B6A30">
              <w:t>the</w:t>
            </w:r>
            <w:r w:rsidR="00CD37C6" w:rsidRPr="007B6A30">
              <w:t xml:space="preserve"> </w:t>
            </w:r>
            <w:r w:rsidRPr="007B6A30">
              <w:t>nominated</w:t>
            </w:r>
            <w:r w:rsidR="00CD37C6">
              <w:t xml:space="preserve"> </w:t>
            </w:r>
            <w:r>
              <w:t>industry.</w:t>
            </w:r>
          </w:p>
          <w:p w14:paraId="6AE249D3" w14:textId="2D81B4A0" w:rsidR="009F127E" w:rsidRPr="007B6A30" w:rsidRDefault="00000000" w:rsidP="005C4339">
            <w:pPr>
              <w:pStyle w:val="TableCopy"/>
              <w:ind w:left="283"/>
              <w:rPr>
                <w:rStyle w:val="Medium"/>
                <w:rFonts w:asciiTheme="minorHAnsi" w:hAnsiTheme="minorHAnsi" w:cstheme="minorHAnsi"/>
                <w:b/>
                <w:bCs/>
              </w:rPr>
            </w:pPr>
            <w:r w:rsidRPr="007B6A30">
              <w:rPr>
                <w:rStyle w:val="Medium"/>
                <w:rFonts w:asciiTheme="minorHAnsi" w:hAnsiTheme="minorHAnsi" w:cstheme="minorHAnsi"/>
                <w:b/>
                <w:bCs/>
              </w:rPr>
              <w:t>Relevant</w:t>
            </w:r>
            <w:r w:rsidR="00CD37C6" w:rsidRPr="007B6A30">
              <w:rPr>
                <w:rStyle w:val="Medium"/>
                <w:rFonts w:asciiTheme="minorHAnsi" w:hAnsiTheme="minorHAnsi" w:cstheme="minorHAnsi"/>
                <w:b/>
                <w:bCs/>
              </w:rPr>
              <w:t xml:space="preserve"> </w:t>
            </w:r>
            <w:r w:rsidRPr="007B6A30">
              <w:rPr>
                <w:rStyle w:val="Medium"/>
                <w:rFonts w:asciiTheme="minorHAnsi" w:hAnsiTheme="minorHAnsi" w:cstheme="minorHAnsi"/>
                <w:b/>
                <w:bCs/>
              </w:rPr>
              <w:t>application</w:t>
            </w:r>
            <w:r w:rsidR="00CD37C6" w:rsidRPr="007B6A30">
              <w:rPr>
                <w:rStyle w:val="Medium"/>
                <w:rFonts w:asciiTheme="minorHAnsi" w:hAnsiTheme="minorHAnsi" w:cstheme="minorHAnsi"/>
                <w:b/>
                <w:bCs/>
              </w:rPr>
              <w:t xml:space="preserve"> </w:t>
            </w:r>
            <w:r w:rsidRPr="007B6A30">
              <w:rPr>
                <w:rStyle w:val="Medium"/>
                <w:rFonts w:asciiTheme="minorHAnsi" w:hAnsiTheme="minorHAnsi" w:cstheme="minorHAnsi"/>
                <w:b/>
                <w:bCs/>
              </w:rPr>
              <w:t>responses</w:t>
            </w:r>
            <w:r w:rsidR="00CD37C6" w:rsidRPr="007B6A30">
              <w:rPr>
                <w:rStyle w:val="Medium"/>
                <w:rFonts w:asciiTheme="minorHAnsi" w:hAnsiTheme="minorHAnsi" w:cstheme="minorHAnsi"/>
                <w:b/>
                <w:bCs/>
              </w:rPr>
              <w:t xml:space="preserve"> </w:t>
            </w:r>
            <w:r w:rsidRPr="007B6A30">
              <w:rPr>
                <w:rStyle w:val="Medium"/>
                <w:rFonts w:asciiTheme="minorHAnsi" w:hAnsiTheme="minorHAnsi" w:cstheme="minorHAnsi"/>
                <w:b/>
                <w:bCs/>
              </w:rPr>
              <w:t>must</w:t>
            </w:r>
            <w:r w:rsidR="00CD37C6" w:rsidRPr="007B6A30">
              <w:rPr>
                <w:rStyle w:val="Medium"/>
                <w:rFonts w:asciiTheme="minorHAnsi" w:hAnsiTheme="minorHAnsi" w:cstheme="minorHAnsi"/>
                <w:b/>
                <w:bCs/>
              </w:rPr>
              <w:t xml:space="preserve"> </w:t>
            </w:r>
            <w:r w:rsidRPr="007B6A30">
              <w:rPr>
                <w:rStyle w:val="Medium"/>
                <w:rFonts w:asciiTheme="minorHAnsi" w:hAnsiTheme="minorHAnsi" w:cstheme="minorHAnsi"/>
                <w:b/>
                <w:bCs/>
              </w:rPr>
              <w:t>include:</w:t>
            </w:r>
          </w:p>
          <w:p w14:paraId="06371B77" w14:textId="5084D150" w:rsidR="009F127E" w:rsidRDefault="00000000" w:rsidP="007B6A30">
            <w:pPr>
              <w:pStyle w:val="TableBullet"/>
            </w:pPr>
            <w:r>
              <w:t>identifying</w:t>
            </w:r>
            <w:r w:rsidR="00CD37C6">
              <w:t xml:space="preserve"> </w:t>
            </w:r>
            <w:r>
              <w:t>the</w:t>
            </w:r>
            <w:r w:rsidR="00CD37C6">
              <w:t xml:space="preserve"> </w:t>
            </w:r>
            <w:r>
              <w:t>quantifiable</w:t>
            </w:r>
            <w:r w:rsidR="00CD37C6">
              <w:t xml:space="preserve"> </w:t>
            </w:r>
            <w:r>
              <w:t>impacts</w:t>
            </w:r>
            <w:r w:rsidR="00CD37C6">
              <w:t xml:space="preserve"> </w:t>
            </w:r>
            <w:r>
              <w:t>or</w:t>
            </w:r>
            <w:r w:rsidR="00CD37C6">
              <w:t xml:space="preserve"> </w:t>
            </w:r>
            <w:r>
              <w:t>benefits</w:t>
            </w:r>
            <w:r w:rsidR="00CD37C6">
              <w:t xml:space="preserve"> </w:t>
            </w:r>
            <w:r>
              <w:t>to</w:t>
            </w:r>
            <w:r w:rsidR="00CD37C6">
              <w:t xml:space="preserve"> </w:t>
            </w:r>
            <w:r>
              <w:t>the</w:t>
            </w:r>
            <w:r w:rsidR="00CD37C6">
              <w:t xml:space="preserve"> </w:t>
            </w:r>
            <w:r>
              <w:t>industry</w:t>
            </w:r>
            <w:r w:rsidR="00CD37C6">
              <w:t xml:space="preserve"> </w:t>
            </w:r>
            <w:r>
              <w:t>as</w:t>
            </w:r>
            <w:r w:rsidR="00CD37C6">
              <w:t xml:space="preserve"> </w:t>
            </w:r>
            <w:r>
              <w:t>a</w:t>
            </w:r>
            <w:r w:rsidR="00CD37C6">
              <w:t xml:space="preserve"> </w:t>
            </w:r>
            <w:r>
              <w:t>whole</w:t>
            </w:r>
          </w:p>
          <w:p w14:paraId="0B2568CB" w14:textId="3D9ED510" w:rsidR="009F127E" w:rsidRDefault="00000000" w:rsidP="007B6A30">
            <w:pPr>
              <w:pStyle w:val="TableBullet"/>
            </w:pPr>
            <w:r>
              <w:t>how</w:t>
            </w:r>
            <w:r w:rsidR="00CD37C6">
              <w:t xml:space="preserve"> </w:t>
            </w:r>
            <w:r>
              <w:t>the</w:t>
            </w:r>
            <w:r w:rsidR="00CD37C6">
              <w:t xml:space="preserve"> </w:t>
            </w:r>
            <w:r>
              <w:t>project</w:t>
            </w:r>
            <w:r w:rsidR="00CD37C6">
              <w:t xml:space="preserve"> </w:t>
            </w:r>
            <w:r>
              <w:t>will</w:t>
            </w:r>
            <w:r w:rsidR="00CD37C6">
              <w:t xml:space="preserve"> </w:t>
            </w:r>
            <w:r>
              <w:t>be</w:t>
            </w:r>
            <w:r w:rsidR="00CD37C6">
              <w:t xml:space="preserve"> </w:t>
            </w:r>
            <w:r>
              <w:t>measured</w:t>
            </w:r>
            <w:r w:rsidR="00CD37C6">
              <w:t xml:space="preserve"> </w:t>
            </w:r>
            <w:r>
              <w:t>and</w:t>
            </w:r>
            <w:r w:rsidR="00CD37C6">
              <w:t xml:space="preserve"> </w:t>
            </w:r>
            <w:r>
              <w:t>evaluated.</w:t>
            </w:r>
          </w:p>
        </w:tc>
        <w:tc>
          <w:tcPr>
            <w:tcW w:w="1417" w:type="dxa"/>
          </w:tcPr>
          <w:p w14:paraId="3531EEF1" w14:textId="77777777" w:rsidR="009F127E" w:rsidRDefault="00000000" w:rsidP="005C4339">
            <w:pPr>
              <w:pStyle w:val="TableCopy"/>
              <w:jc w:val="center"/>
            </w:pPr>
            <w:r>
              <w:t>30%</w:t>
            </w:r>
          </w:p>
        </w:tc>
      </w:tr>
    </w:tbl>
    <w:p w14:paraId="7093C85D" w14:textId="77777777" w:rsidR="009F127E" w:rsidRDefault="009F127E" w:rsidP="008E4EA4"/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4673"/>
        <w:gridCol w:w="1417"/>
      </w:tblGrid>
      <w:tr w:rsidR="005C4339" w:rsidRPr="005C4339" w14:paraId="0542AC16" w14:textId="77777777" w:rsidTr="005C4339">
        <w:trPr>
          <w:trHeight w:val="60"/>
        </w:trPr>
        <w:tc>
          <w:tcPr>
            <w:tcW w:w="4673" w:type="dxa"/>
          </w:tcPr>
          <w:p w14:paraId="707A8C99" w14:textId="43228DCA" w:rsidR="009F127E" w:rsidRPr="005C4339" w:rsidRDefault="00000000" w:rsidP="005C4339">
            <w:pPr>
              <w:pStyle w:val="TableHeading"/>
            </w:pPr>
            <w:r w:rsidRPr="005C4339">
              <w:t>Assessment</w:t>
            </w:r>
            <w:r w:rsidR="00CD37C6" w:rsidRPr="005C4339">
              <w:t xml:space="preserve"> </w:t>
            </w:r>
            <w:r w:rsidRPr="005C4339">
              <w:t>Criteria</w:t>
            </w:r>
          </w:p>
        </w:tc>
        <w:tc>
          <w:tcPr>
            <w:tcW w:w="1417" w:type="dxa"/>
          </w:tcPr>
          <w:p w14:paraId="2870AA51" w14:textId="77777777" w:rsidR="009F127E" w:rsidRPr="005C4339" w:rsidRDefault="00000000" w:rsidP="005C4339">
            <w:pPr>
              <w:pStyle w:val="TableHeading"/>
              <w:jc w:val="center"/>
            </w:pPr>
            <w:r w:rsidRPr="005C4339">
              <w:t>Weighting</w:t>
            </w:r>
          </w:p>
        </w:tc>
      </w:tr>
      <w:tr w:rsidR="005C4339" w14:paraId="54659F2C" w14:textId="77777777" w:rsidTr="005C4339">
        <w:trPr>
          <w:trHeight w:val="60"/>
        </w:trPr>
        <w:tc>
          <w:tcPr>
            <w:tcW w:w="4673" w:type="dxa"/>
          </w:tcPr>
          <w:p w14:paraId="69D0867B" w14:textId="3CDC0E16" w:rsidR="009F127E" w:rsidRPr="005C4339" w:rsidRDefault="00000000" w:rsidP="005C4339">
            <w:pPr>
              <w:pStyle w:val="TableCopy"/>
              <w:rPr>
                <w:b/>
                <w:bCs/>
              </w:rPr>
            </w:pPr>
            <w:r w:rsidRPr="005C4339">
              <w:rPr>
                <w:b/>
                <w:bCs/>
              </w:rPr>
              <w:t>C.</w:t>
            </w:r>
            <w:r w:rsidRPr="005C4339">
              <w:rPr>
                <w:b/>
                <w:bCs/>
              </w:rPr>
              <w:tab/>
              <w:t>Organisational</w:t>
            </w:r>
            <w:r w:rsidR="00CD37C6" w:rsidRPr="005C4339">
              <w:rPr>
                <w:b/>
                <w:bCs/>
              </w:rPr>
              <w:t xml:space="preserve"> </w:t>
            </w:r>
            <w:r w:rsidRPr="005C4339">
              <w:rPr>
                <w:b/>
                <w:bCs/>
              </w:rPr>
              <w:t>Capability</w:t>
            </w:r>
            <w:r w:rsidR="00CD37C6" w:rsidRPr="005C4339">
              <w:rPr>
                <w:b/>
                <w:bCs/>
              </w:rPr>
              <w:t xml:space="preserve"> </w:t>
            </w:r>
            <w:r w:rsidRPr="005C4339">
              <w:rPr>
                <w:b/>
                <w:bCs/>
              </w:rPr>
              <w:t>and</w:t>
            </w:r>
            <w:r w:rsidR="00CD37C6" w:rsidRPr="005C4339">
              <w:rPr>
                <w:b/>
                <w:bCs/>
              </w:rPr>
              <w:t xml:space="preserve"> </w:t>
            </w:r>
            <w:r w:rsidRPr="005C4339">
              <w:rPr>
                <w:b/>
                <w:bCs/>
              </w:rPr>
              <w:t>Capacity</w:t>
            </w:r>
          </w:p>
          <w:p w14:paraId="7FC40940" w14:textId="02D22EDD" w:rsidR="009F127E" w:rsidRPr="005C4339" w:rsidRDefault="00000000" w:rsidP="005C4339">
            <w:pPr>
              <w:pStyle w:val="TableCopy"/>
              <w:ind w:left="284"/>
              <w:rPr>
                <w:rStyle w:val="Medium"/>
                <w:b/>
                <w:bCs/>
              </w:rPr>
            </w:pPr>
            <w:r w:rsidRPr="005C4339">
              <w:rPr>
                <w:rStyle w:val="Medium"/>
                <w:b/>
                <w:bCs/>
              </w:rPr>
              <w:t>Assessed</w:t>
            </w:r>
            <w:r w:rsidR="00CD37C6" w:rsidRPr="005C4339">
              <w:rPr>
                <w:rStyle w:val="Medium"/>
                <w:b/>
                <w:bCs/>
              </w:rPr>
              <w:t xml:space="preserve"> </w:t>
            </w:r>
            <w:r w:rsidRPr="005C4339">
              <w:rPr>
                <w:rStyle w:val="Medium"/>
                <w:b/>
                <w:bCs/>
              </w:rPr>
              <w:t>on:</w:t>
            </w:r>
          </w:p>
          <w:p w14:paraId="1EA3E406" w14:textId="7213046C" w:rsidR="009F127E" w:rsidRPr="005C4339" w:rsidRDefault="00000000" w:rsidP="005C4339">
            <w:pPr>
              <w:pStyle w:val="TableBullet"/>
            </w:pPr>
            <w:r>
              <w:t>industry</w:t>
            </w:r>
            <w:r w:rsidR="00CD37C6">
              <w:t xml:space="preserve"> </w:t>
            </w:r>
            <w:r>
              <w:t>knowledge</w:t>
            </w:r>
            <w:r w:rsidR="00CD37C6">
              <w:t xml:space="preserve"> </w:t>
            </w:r>
            <w:r w:rsidRPr="005C4339">
              <w:t>and</w:t>
            </w:r>
            <w:r w:rsidR="00CD37C6" w:rsidRPr="005C4339">
              <w:t xml:space="preserve"> </w:t>
            </w:r>
            <w:r w:rsidRPr="005C4339">
              <w:t>demonstrated</w:t>
            </w:r>
            <w:r w:rsidR="00CD37C6" w:rsidRPr="005C4339">
              <w:t xml:space="preserve"> </w:t>
            </w:r>
            <w:r w:rsidRPr="005C4339">
              <w:t>track</w:t>
            </w:r>
            <w:r w:rsidR="00CD37C6" w:rsidRPr="005C4339">
              <w:t xml:space="preserve"> </w:t>
            </w:r>
            <w:r w:rsidRPr="005C4339">
              <w:t>record</w:t>
            </w:r>
            <w:r w:rsidR="00CD37C6" w:rsidRPr="005C4339">
              <w:t xml:space="preserve"> </w:t>
            </w:r>
            <w:r w:rsidRPr="005C4339">
              <w:t>in</w:t>
            </w:r>
            <w:r w:rsidR="00CD37C6" w:rsidRPr="005C4339">
              <w:t xml:space="preserve"> </w:t>
            </w:r>
            <w:r w:rsidRPr="005C4339">
              <w:t>delivering</w:t>
            </w:r>
            <w:r w:rsidR="00CD37C6" w:rsidRPr="005C4339">
              <w:t xml:space="preserve"> </w:t>
            </w:r>
            <w:r w:rsidRPr="005C4339">
              <w:t>similar</w:t>
            </w:r>
            <w:r w:rsidR="00CD37C6" w:rsidRPr="005C4339">
              <w:t xml:space="preserve"> </w:t>
            </w:r>
            <w:r w:rsidRPr="005C4339">
              <w:t>projects</w:t>
            </w:r>
            <w:r w:rsidR="00CD37C6" w:rsidRPr="005C4339">
              <w:t xml:space="preserve"> </w:t>
            </w:r>
            <w:r w:rsidRPr="005C4339">
              <w:t>by</w:t>
            </w:r>
            <w:r w:rsidR="00CD37C6" w:rsidRPr="005C4339">
              <w:t xml:space="preserve"> </w:t>
            </w:r>
            <w:r w:rsidRPr="005C4339">
              <w:t>the</w:t>
            </w:r>
            <w:r w:rsidR="00CD37C6" w:rsidRPr="005C4339">
              <w:t xml:space="preserve"> </w:t>
            </w:r>
            <w:r w:rsidRPr="005C4339">
              <w:t>applicant’s</w:t>
            </w:r>
            <w:r w:rsidR="00CD37C6" w:rsidRPr="005C4339">
              <w:t xml:space="preserve"> </w:t>
            </w:r>
            <w:r w:rsidRPr="005C4339">
              <w:t>organisation</w:t>
            </w:r>
            <w:r w:rsidR="00CD37C6" w:rsidRPr="005C4339">
              <w:t xml:space="preserve"> </w:t>
            </w:r>
            <w:r w:rsidRPr="005C4339">
              <w:t>and</w:t>
            </w:r>
            <w:r w:rsidR="00CD37C6" w:rsidRPr="005C4339">
              <w:t xml:space="preserve"> </w:t>
            </w:r>
            <w:r w:rsidRPr="005C4339">
              <w:t>any</w:t>
            </w:r>
            <w:r w:rsidR="00CD37C6" w:rsidRPr="005C4339">
              <w:t xml:space="preserve"> </w:t>
            </w:r>
            <w:r w:rsidRPr="005C4339">
              <w:t>collaborative</w:t>
            </w:r>
            <w:r w:rsidR="00CD37C6" w:rsidRPr="005C4339">
              <w:t xml:space="preserve"> </w:t>
            </w:r>
            <w:r w:rsidRPr="005C4339">
              <w:t>partners</w:t>
            </w:r>
          </w:p>
          <w:p w14:paraId="106F72C1" w14:textId="2CC2019A" w:rsidR="009F127E" w:rsidRDefault="00000000" w:rsidP="005C4339">
            <w:pPr>
              <w:pStyle w:val="TableBullet"/>
            </w:pPr>
            <w:r w:rsidRPr="005C4339">
              <w:t>whether</w:t>
            </w:r>
            <w:r w:rsidR="00CD37C6" w:rsidRPr="005C4339">
              <w:t xml:space="preserve"> </w:t>
            </w:r>
            <w:r w:rsidRPr="005C4339">
              <w:t>sufficient</w:t>
            </w:r>
            <w:r w:rsidR="00CD37C6" w:rsidRPr="005C4339">
              <w:t xml:space="preserve"> </w:t>
            </w:r>
            <w:r w:rsidRPr="005C4339">
              <w:t>and</w:t>
            </w:r>
            <w:r w:rsidR="00CD37C6" w:rsidRPr="005C4339">
              <w:t xml:space="preserve"> </w:t>
            </w:r>
            <w:r w:rsidRPr="005C4339">
              <w:t>appropriate</w:t>
            </w:r>
            <w:r w:rsidR="00CD37C6" w:rsidRPr="005C4339">
              <w:t xml:space="preserve"> </w:t>
            </w:r>
            <w:r w:rsidRPr="005C4339">
              <w:t>project</w:t>
            </w:r>
            <w:r w:rsidR="00CD37C6" w:rsidRPr="005C4339">
              <w:t xml:space="preserve"> </w:t>
            </w:r>
            <w:r w:rsidRPr="005C4339">
              <w:t>resourcing</w:t>
            </w:r>
            <w:r w:rsidR="00CD37C6" w:rsidRPr="005C4339">
              <w:t xml:space="preserve"> </w:t>
            </w:r>
            <w:r w:rsidRPr="005C4339">
              <w:t>has</w:t>
            </w:r>
            <w:r w:rsidR="00CD37C6" w:rsidRPr="005C4339">
              <w:t xml:space="preserve"> </w:t>
            </w:r>
            <w:r w:rsidRPr="005C4339">
              <w:t>been</w:t>
            </w:r>
            <w:r w:rsidR="00CD37C6">
              <w:t xml:space="preserve"> </w:t>
            </w:r>
            <w:r>
              <w:t>allocated</w:t>
            </w:r>
            <w:r w:rsidR="00CD37C6">
              <w:t xml:space="preserve"> </w:t>
            </w:r>
            <w:r>
              <w:t>to</w:t>
            </w:r>
            <w:r w:rsidR="00CD37C6">
              <w:t xml:space="preserve"> </w:t>
            </w:r>
            <w:r>
              <w:t>the</w:t>
            </w:r>
            <w:r w:rsidR="00CD37C6">
              <w:t xml:space="preserve"> </w:t>
            </w:r>
            <w:r>
              <w:t>project.</w:t>
            </w:r>
          </w:p>
          <w:p w14:paraId="1E920EE9" w14:textId="339E246E" w:rsidR="009F127E" w:rsidRPr="005C4339" w:rsidRDefault="00000000" w:rsidP="005C4339">
            <w:pPr>
              <w:pStyle w:val="TableCopy"/>
              <w:ind w:left="284"/>
              <w:rPr>
                <w:rStyle w:val="Medium"/>
                <w:b/>
                <w:bCs/>
              </w:rPr>
            </w:pPr>
            <w:r w:rsidRPr="005C4339">
              <w:rPr>
                <w:rStyle w:val="Medium"/>
                <w:b/>
                <w:bCs/>
              </w:rPr>
              <w:t>Relevant</w:t>
            </w:r>
            <w:r w:rsidR="00CD37C6" w:rsidRPr="005C4339">
              <w:rPr>
                <w:rStyle w:val="Medium"/>
                <w:b/>
                <w:bCs/>
              </w:rPr>
              <w:t xml:space="preserve"> </w:t>
            </w:r>
            <w:r w:rsidRPr="005C4339">
              <w:rPr>
                <w:rStyle w:val="Medium"/>
                <w:b/>
                <w:bCs/>
              </w:rPr>
              <w:t>application</w:t>
            </w:r>
            <w:r w:rsidR="00CD37C6" w:rsidRPr="005C4339">
              <w:rPr>
                <w:rStyle w:val="Medium"/>
                <w:b/>
                <w:bCs/>
              </w:rPr>
              <w:t xml:space="preserve"> </w:t>
            </w:r>
            <w:r w:rsidRPr="005C4339">
              <w:rPr>
                <w:rStyle w:val="Medium"/>
                <w:b/>
                <w:bCs/>
              </w:rPr>
              <w:t>information</w:t>
            </w:r>
            <w:r w:rsidR="00CD37C6" w:rsidRPr="005C4339">
              <w:rPr>
                <w:rStyle w:val="Medium"/>
                <w:b/>
                <w:bCs/>
              </w:rPr>
              <w:t xml:space="preserve"> </w:t>
            </w:r>
            <w:r w:rsidRPr="005C4339">
              <w:rPr>
                <w:rStyle w:val="Medium"/>
                <w:b/>
                <w:bCs/>
              </w:rPr>
              <w:t>must</w:t>
            </w:r>
            <w:r w:rsidR="00CD37C6" w:rsidRPr="005C4339">
              <w:rPr>
                <w:rStyle w:val="Medium"/>
                <w:b/>
                <w:bCs/>
              </w:rPr>
              <w:t xml:space="preserve"> </w:t>
            </w:r>
            <w:r w:rsidRPr="005C4339">
              <w:rPr>
                <w:rStyle w:val="Medium"/>
                <w:b/>
                <w:bCs/>
              </w:rPr>
              <w:t>include:</w:t>
            </w:r>
          </w:p>
          <w:p w14:paraId="6452CE58" w14:textId="5955DA2E" w:rsidR="009F127E" w:rsidRPr="005C4339" w:rsidRDefault="00000000" w:rsidP="005C4339">
            <w:pPr>
              <w:pStyle w:val="TableBullet"/>
            </w:pPr>
            <w:r>
              <w:t>track</w:t>
            </w:r>
            <w:r w:rsidR="00CD37C6">
              <w:t xml:space="preserve"> </w:t>
            </w:r>
            <w:r>
              <w:t>record</w:t>
            </w:r>
            <w:r w:rsidR="00CD37C6">
              <w:t xml:space="preserve"> </w:t>
            </w:r>
            <w:r>
              <w:t>of</w:t>
            </w:r>
            <w:r w:rsidR="00CD37C6">
              <w:t xml:space="preserve"> </w:t>
            </w:r>
            <w:r>
              <w:t>key</w:t>
            </w:r>
            <w:r w:rsidR="00CD37C6">
              <w:t xml:space="preserve"> </w:t>
            </w:r>
            <w:r>
              <w:t>staff</w:t>
            </w:r>
            <w:r w:rsidR="00CD37C6">
              <w:t xml:space="preserve"> </w:t>
            </w:r>
            <w:r w:rsidRPr="005C4339">
              <w:t>allocated</w:t>
            </w:r>
            <w:r w:rsidR="00CD37C6" w:rsidRPr="005C4339">
              <w:t xml:space="preserve"> </w:t>
            </w:r>
            <w:r w:rsidRPr="005C4339">
              <w:t>to</w:t>
            </w:r>
            <w:r w:rsidR="00CD37C6" w:rsidRPr="005C4339">
              <w:t xml:space="preserve"> </w:t>
            </w:r>
            <w:r w:rsidRPr="005C4339">
              <w:t>the</w:t>
            </w:r>
            <w:r w:rsidR="00CD37C6" w:rsidRPr="005C4339">
              <w:t xml:space="preserve"> </w:t>
            </w:r>
            <w:r w:rsidRPr="005C4339">
              <w:t>project</w:t>
            </w:r>
          </w:p>
          <w:p w14:paraId="57C2EDAB" w14:textId="19E92E1A" w:rsidR="009F127E" w:rsidRDefault="00000000" w:rsidP="005C4339">
            <w:pPr>
              <w:pStyle w:val="TableBullet"/>
            </w:pPr>
            <w:r w:rsidRPr="005C4339">
              <w:t>a</w:t>
            </w:r>
            <w:r w:rsidR="00CD37C6" w:rsidRPr="005C4339">
              <w:t xml:space="preserve"> </w:t>
            </w:r>
            <w:r w:rsidRPr="005C4339">
              <w:t>collaborative</w:t>
            </w:r>
            <w:r w:rsidR="00CD37C6" w:rsidRPr="005C4339">
              <w:t xml:space="preserve"> </w:t>
            </w:r>
            <w:r w:rsidRPr="005C4339">
              <w:t>approach</w:t>
            </w:r>
            <w:r w:rsidR="00CD37C6" w:rsidRPr="005C4339">
              <w:t xml:space="preserve"> </w:t>
            </w:r>
            <w:r w:rsidRPr="005C4339">
              <w:t>with</w:t>
            </w:r>
            <w:r w:rsidR="00CD37C6" w:rsidRPr="005C4339">
              <w:t xml:space="preserve"> </w:t>
            </w:r>
            <w:r w:rsidRPr="005C4339">
              <w:t>a</w:t>
            </w:r>
            <w:r w:rsidR="00CD37C6" w:rsidRPr="005C4339">
              <w:t xml:space="preserve"> </w:t>
            </w:r>
            <w:r w:rsidRPr="005C4339">
              <w:t>r</w:t>
            </w:r>
            <w:r>
              <w:t>ange</w:t>
            </w:r>
            <w:r w:rsidR="00CD37C6">
              <w:t xml:space="preserve"> </w:t>
            </w:r>
            <w:r>
              <w:t>of</w:t>
            </w:r>
            <w:r w:rsidR="00CD37C6">
              <w:t xml:space="preserve"> </w:t>
            </w:r>
            <w:r>
              <w:t>partners</w:t>
            </w:r>
            <w:r w:rsidR="00CD37C6">
              <w:t xml:space="preserve"> </w:t>
            </w:r>
            <w:r>
              <w:t>and</w:t>
            </w:r>
            <w:r w:rsidR="00CD37C6">
              <w:t xml:space="preserve"> </w:t>
            </w:r>
            <w:r>
              <w:t>resources</w:t>
            </w:r>
            <w:r w:rsidR="00CD37C6">
              <w:t xml:space="preserve"> </w:t>
            </w:r>
            <w:r>
              <w:t>to</w:t>
            </w:r>
            <w:r w:rsidR="00CD37C6">
              <w:t xml:space="preserve"> </w:t>
            </w:r>
            <w:r>
              <w:t>undertake</w:t>
            </w:r>
            <w:r w:rsidR="00CD37C6">
              <w:t xml:space="preserve"> </w:t>
            </w:r>
            <w:r>
              <w:t>the</w:t>
            </w:r>
            <w:r w:rsidR="00CD37C6">
              <w:t xml:space="preserve"> </w:t>
            </w:r>
            <w:r>
              <w:t>project</w:t>
            </w:r>
            <w:r w:rsidR="00CD37C6">
              <w:t xml:space="preserve"> </w:t>
            </w:r>
            <w:r>
              <w:t>and</w:t>
            </w:r>
            <w:r w:rsidR="00CD37C6">
              <w:t xml:space="preserve"> </w:t>
            </w:r>
            <w:r>
              <w:t>extend</w:t>
            </w:r>
            <w:r w:rsidR="00CD37C6">
              <w:t xml:space="preserve"> </w:t>
            </w:r>
            <w:r>
              <w:t>the</w:t>
            </w:r>
            <w:r w:rsidR="00CD37C6">
              <w:rPr>
                <w:rFonts w:ascii="Cambria" w:hAnsi="Cambria" w:cs="Cambria"/>
              </w:rPr>
              <w:t xml:space="preserve"> </w:t>
            </w:r>
            <w:r>
              <w:t>results.</w:t>
            </w:r>
          </w:p>
        </w:tc>
        <w:tc>
          <w:tcPr>
            <w:tcW w:w="1417" w:type="dxa"/>
          </w:tcPr>
          <w:p w14:paraId="6C24A1F2" w14:textId="77777777" w:rsidR="009F127E" w:rsidRPr="005C4339" w:rsidRDefault="00000000" w:rsidP="005C4339">
            <w:pPr>
              <w:pStyle w:val="TableCopy"/>
              <w:jc w:val="center"/>
            </w:pPr>
            <w:r>
              <w:t>20%</w:t>
            </w:r>
          </w:p>
        </w:tc>
      </w:tr>
    </w:tbl>
    <w:p w14:paraId="5998484E" w14:textId="77777777" w:rsidR="009F127E" w:rsidRDefault="009F127E" w:rsidP="008E4EA4"/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4673"/>
        <w:gridCol w:w="1417"/>
      </w:tblGrid>
      <w:tr w:rsidR="005C4339" w:rsidRPr="005C4339" w14:paraId="46D59071" w14:textId="77777777" w:rsidTr="005C4339">
        <w:trPr>
          <w:cantSplit/>
        </w:trPr>
        <w:tc>
          <w:tcPr>
            <w:tcW w:w="4673" w:type="dxa"/>
          </w:tcPr>
          <w:p w14:paraId="421AB2B3" w14:textId="3AD202E0" w:rsidR="009F127E" w:rsidRPr="005C4339" w:rsidRDefault="00000000" w:rsidP="005C4339">
            <w:pPr>
              <w:pStyle w:val="TableHeading"/>
            </w:pPr>
            <w:r w:rsidRPr="005C4339">
              <w:lastRenderedPageBreak/>
              <w:t>Assessment</w:t>
            </w:r>
            <w:r w:rsidR="00CD37C6" w:rsidRPr="005C4339">
              <w:t xml:space="preserve"> </w:t>
            </w:r>
            <w:r w:rsidRPr="005C4339">
              <w:t>Criteria</w:t>
            </w:r>
          </w:p>
        </w:tc>
        <w:tc>
          <w:tcPr>
            <w:tcW w:w="1417" w:type="dxa"/>
          </w:tcPr>
          <w:p w14:paraId="1546591E" w14:textId="77777777" w:rsidR="009F127E" w:rsidRPr="005C4339" w:rsidRDefault="00000000" w:rsidP="005C4339">
            <w:pPr>
              <w:pStyle w:val="TableHeading"/>
              <w:jc w:val="center"/>
            </w:pPr>
            <w:r w:rsidRPr="005C4339">
              <w:t>Weighting</w:t>
            </w:r>
          </w:p>
        </w:tc>
      </w:tr>
      <w:tr w:rsidR="005C4339" w14:paraId="0267339F" w14:textId="77777777" w:rsidTr="005C4339">
        <w:trPr>
          <w:cantSplit/>
        </w:trPr>
        <w:tc>
          <w:tcPr>
            <w:tcW w:w="4673" w:type="dxa"/>
          </w:tcPr>
          <w:p w14:paraId="0A130FE7" w14:textId="049769D3" w:rsidR="009F127E" w:rsidRPr="005C4339" w:rsidRDefault="00000000" w:rsidP="005C4339">
            <w:pPr>
              <w:pStyle w:val="TableCopy"/>
              <w:rPr>
                <w:b/>
                <w:bCs/>
              </w:rPr>
            </w:pPr>
            <w:r w:rsidRPr="005C4339">
              <w:rPr>
                <w:b/>
                <w:bCs/>
              </w:rPr>
              <w:t>D.</w:t>
            </w:r>
            <w:r w:rsidRPr="005C4339">
              <w:rPr>
                <w:b/>
                <w:bCs/>
              </w:rPr>
              <w:tab/>
              <w:t>Need</w:t>
            </w:r>
            <w:r w:rsidR="00CD37C6" w:rsidRPr="005C4339">
              <w:rPr>
                <w:b/>
                <w:bCs/>
              </w:rPr>
              <w:t xml:space="preserve"> </w:t>
            </w:r>
            <w:r w:rsidRPr="005C4339">
              <w:rPr>
                <w:b/>
                <w:bCs/>
              </w:rPr>
              <w:t>for</w:t>
            </w:r>
            <w:r w:rsidR="00CD37C6" w:rsidRPr="005C4339">
              <w:rPr>
                <w:b/>
                <w:bCs/>
              </w:rPr>
              <w:t xml:space="preserve"> </w:t>
            </w:r>
            <w:r w:rsidRPr="005C4339">
              <w:rPr>
                <w:b/>
                <w:bCs/>
              </w:rPr>
              <w:t>expenditure</w:t>
            </w:r>
            <w:r w:rsidR="00CD37C6" w:rsidRPr="005C4339">
              <w:rPr>
                <w:b/>
                <w:bCs/>
              </w:rPr>
              <w:t xml:space="preserve"> </w:t>
            </w:r>
            <w:r w:rsidRPr="005C4339">
              <w:rPr>
                <w:b/>
                <w:bCs/>
              </w:rPr>
              <w:t>from</w:t>
            </w:r>
            <w:r w:rsidR="00CD37C6" w:rsidRPr="005C4339">
              <w:rPr>
                <w:b/>
                <w:bCs/>
              </w:rPr>
              <w:t xml:space="preserve"> </w:t>
            </w:r>
            <w:r w:rsidRPr="005C4339">
              <w:rPr>
                <w:b/>
                <w:bCs/>
              </w:rPr>
              <w:t>the</w:t>
            </w:r>
            <w:r w:rsidR="00CD37C6" w:rsidRPr="005C4339">
              <w:rPr>
                <w:b/>
                <w:bCs/>
              </w:rPr>
              <w:t xml:space="preserve"> </w:t>
            </w:r>
            <w:r w:rsidRPr="005C4339">
              <w:rPr>
                <w:b/>
                <w:bCs/>
              </w:rPr>
              <w:t>funds</w:t>
            </w:r>
          </w:p>
          <w:p w14:paraId="1855C406" w14:textId="0AB1D16C" w:rsidR="009F127E" w:rsidRPr="005C4339" w:rsidRDefault="00000000" w:rsidP="005C4339">
            <w:pPr>
              <w:pStyle w:val="TableCopy"/>
              <w:ind w:left="284"/>
              <w:rPr>
                <w:rStyle w:val="Medium"/>
                <w:b/>
                <w:bCs/>
              </w:rPr>
            </w:pPr>
            <w:r w:rsidRPr="005C4339">
              <w:rPr>
                <w:rStyle w:val="Medium"/>
                <w:b/>
                <w:bCs/>
              </w:rPr>
              <w:t>Assessed</w:t>
            </w:r>
            <w:r w:rsidR="00CD37C6" w:rsidRPr="005C4339">
              <w:rPr>
                <w:rStyle w:val="Medium"/>
                <w:b/>
                <w:bCs/>
              </w:rPr>
              <w:t xml:space="preserve"> </w:t>
            </w:r>
            <w:r w:rsidRPr="005C4339">
              <w:rPr>
                <w:rStyle w:val="Medium"/>
                <w:b/>
                <w:bCs/>
              </w:rPr>
              <w:t>on:</w:t>
            </w:r>
          </w:p>
          <w:p w14:paraId="2D4DC903" w14:textId="20EC8A57" w:rsidR="009F127E" w:rsidRPr="005C4339" w:rsidRDefault="00000000" w:rsidP="005C4339">
            <w:pPr>
              <w:pStyle w:val="TableBullet"/>
            </w:pPr>
            <w:r>
              <w:t>the</w:t>
            </w:r>
            <w:r w:rsidR="00CD37C6">
              <w:t xml:space="preserve"> </w:t>
            </w:r>
            <w:r>
              <w:t>urgency</w:t>
            </w:r>
            <w:r w:rsidR="00CD37C6">
              <w:t xml:space="preserve"> </w:t>
            </w:r>
            <w:r>
              <w:t>of</w:t>
            </w:r>
            <w:r w:rsidR="00CD37C6">
              <w:t xml:space="preserve"> </w:t>
            </w:r>
            <w:r>
              <w:t>the</w:t>
            </w:r>
            <w:r w:rsidR="00CD37C6">
              <w:t xml:space="preserve"> </w:t>
            </w:r>
            <w:r>
              <w:t>problem</w:t>
            </w:r>
            <w:r w:rsidR="00CD37C6">
              <w:t xml:space="preserve"> </w:t>
            </w:r>
            <w:r>
              <w:t>the</w:t>
            </w:r>
            <w:r w:rsidR="00CD37C6">
              <w:t xml:space="preserve"> </w:t>
            </w:r>
            <w:r>
              <w:t>project</w:t>
            </w:r>
            <w:r w:rsidR="00CD37C6">
              <w:t xml:space="preserve"> </w:t>
            </w:r>
            <w:r>
              <w:t>addresses</w:t>
            </w:r>
          </w:p>
          <w:p w14:paraId="1C253FB9" w14:textId="23DE21F6" w:rsidR="009F127E" w:rsidRPr="005C4339" w:rsidRDefault="00000000" w:rsidP="005C4339">
            <w:pPr>
              <w:pStyle w:val="TableBullet"/>
            </w:pPr>
            <w:r w:rsidRPr="005C4339">
              <w:t>whether</w:t>
            </w:r>
            <w:r w:rsidR="00CD37C6" w:rsidRPr="005C4339">
              <w:t xml:space="preserve"> </w:t>
            </w:r>
            <w:r w:rsidRPr="005C4339">
              <w:t>there</w:t>
            </w:r>
            <w:r w:rsidR="00CD37C6" w:rsidRPr="005C4339">
              <w:t xml:space="preserve"> </w:t>
            </w:r>
            <w:r w:rsidRPr="005C4339">
              <w:t>is</w:t>
            </w:r>
            <w:r w:rsidR="00CD37C6" w:rsidRPr="005C4339">
              <w:t xml:space="preserve"> </w:t>
            </w:r>
            <w:r w:rsidRPr="005C4339">
              <w:t>a</w:t>
            </w:r>
            <w:r w:rsidR="00CD37C6" w:rsidRPr="005C4339">
              <w:t xml:space="preserve"> </w:t>
            </w:r>
            <w:r w:rsidRPr="005C4339">
              <w:t>gap</w:t>
            </w:r>
            <w:r w:rsidR="00CD37C6" w:rsidRPr="005C4339">
              <w:t xml:space="preserve"> </w:t>
            </w:r>
            <w:r w:rsidRPr="005C4339">
              <w:t>in</w:t>
            </w:r>
            <w:r w:rsidR="00CD37C6" w:rsidRPr="005C4339">
              <w:t xml:space="preserve"> </w:t>
            </w:r>
            <w:r w:rsidRPr="005C4339">
              <w:t>the</w:t>
            </w:r>
            <w:r w:rsidR="00CD37C6" w:rsidRPr="005C4339">
              <w:t xml:space="preserve"> </w:t>
            </w:r>
            <w:r w:rsidRPr="005C4339">
              <w:t>provision</w:t>
            </w:r>
            <w:r w:rsidR="00CD37C6" w:rsidRPr="005C4339">
              <w:t xml:space="preserve"> </w:t>
            </w:r>
            <w:r w:rsidRPr="005C4339">
              <w:t>of</w:t>
            </w:r>
            <w:r w:rsidR="00CD37C6" w:rsidRPr="005C4339">
              <w:t xml:space="preserve"> </w:t>
            </w:r>
            <w:r w:rsidRPr="005C4339">
              <w:t>a</w:t>
            </w:r>
            <w:r w:rsidR="00CD37C6" w:rsidRPr="005C4339">
              <w:t xml:space="preserve"> </w:t>
            </w:r>
            <w:r w:rsidRPr="005C4339">
              <w:t>solution</w:t>
            </w:r>
            <w:r w:rsidR="00CD37C6" w:rsidRPr="005C4339">
              <w:t xml:space="preserve"> </w:t>
            </w:r>
            <w:r w:rsidRPr="005C4339">
              <w:t>for</w:t>
            </w:r>
            <w:r w:rsidR="00CD37C6" w:rsidRPr="005C4339">
              <w:t xml:space="preserve"> </w:t>
            </w:r>
            <w:r w:rsidRPr="005C4339">
              <w:t>the</w:t>
            </w:r>
            <w:r w:rsidR="00CD37C6" w:rsidRPr="005C4339">
              <w:t xml:space="preserve"> </w:t>
            </w:r>
            <w:r w:rsidRPr="005C4339">
              <w:t>problem</w:t>
            </w:r>
            <w:r w:rsidR="00CD37C6" w:rsidRPr="005C4339">
              <w:t xml:space="preserve"> </w:t>
            </w:r>
            <w:r w:rsidRPr="005C4339">
              <w:t>the</w:t>
            </w:r>
            <w:r w:rsidR="00CD37C6" w:rsidRPr="005C4339">
              <w:t xml:space="preserve"> </w:t>
            </w:r>
            <w:r w:rsidRPr="005C4339">
              <w:t>project</w:t>
            </w:r>
            <w:r w:rsidR="00CD37C6" w:rsidRPr="005C4339">
              <w:t xml:space="preserve"> </w:t>
            </w:r>
            <w:r w:rsidRPr="005C4339">
              <w:t>addresses</w:t>
            </w:r>
            <w:r w:rsidR="00CD37C6" w:rsidRPr="005C4339">
              <w:t xml:space="preserve"> </w:t>
            </w:r>
            <w:r w:rsidRPr="005C4339">
              <w:t>that</w:t>
            </w:r>
            <w:r w:rsidR="00CD37C6" w:rsidRPr="005C4339">
              <w:t xml:space="preserve"> </w:t>
            </w:r>
            <w:r w:rsidRPr="005C4339">
              <w:t>has</w:t>
            </w:r>
            <w:r w:rsidR="00CD37C6" w:rsidRPr="005C4339">
              <w:t xml:space="preserve"> </w:t>
            </w:r>
            <w:r w:rsidRPr="005C4339">
              <w:t>not</w:t>
            </w:r>
            <w:r w:rsidR="00CD37C6" w:rsidRPr="005C4339">
              <w:t xml:space="preserve"> </w:t>
            </w:r>
            <w:r w:rsidRPr="005C4339">
              <w:t>already</w:t>
            </w:r>
            <w:r w:rsidR="00CD37C6" w:rsidRPr="005C4339">
              <w:t xml:space="preserve"> </w:t>
            </w:r>
            <w:r w:rsidRPr="005C4339">
              <w:t>been</w:t>
            </w:r>
            <w:r w:rsidR="00CD37C6" w:rsidRPr="005C4339">
              <w:t xml:space="preserve"> </w:t>
            </w:r>
            <w:r w:rsidRPr="005C4339">
              <w:t>met</w:t>
            </w:r>
            <w:r w:rsidR="00CD37C6" w:rsidRPr="005C4339">
              <w:t xml:space="preserve"> </w:t>
            </w:r>
            <w:r w:rsidRPr="005C4339">
              <w:t>(</w:t>
            </w:r>
            <w:proofErr w:type="gramStart"/>
            <w:r w:rsidRPr="005C4339">
              <w:t>i.e.</w:t>
            </w:r>
            <w:proofErr w:type="gramEnd"/>
            <w:r w:rsidR="00CD37C6" w:rsidRPr="005C4339">
              <w:t xml:space="preserve"> </w:t>
            </w:r>
            <w:r w:rsidRPr="005C4339">
              <w:t>does</w:t>
            </w:r>
            <w:r w:rsidR="00CD37C6" w:rsidRPr="005C4339">
              <w:t xml:space="preserve"> </w:t>
            </w:r>
            <w:r w:rsidRPr="005C4339">
              <w:t>not</w:t>
            </w:r>
            <w:r w:rsidR="00CD37C6" w:rsidRPr="005C4339">
              <w:t xml:space="preserve"> </w:t>
            </w:r>
            <w:r w:rsidRPr="005C4339">
              <w:t>duplicates</w:t>
            </w:r>
            <w:r w:rsidR="00CD37C6" w:rsidRPr="005C4339">
              <w:t xml:space="preserve"> </w:t>
            </w:r>
            <w:r w:rsidRPr="005C4339">
              <w:t>services</w:t>
            </w:r>
            <w:r w:rsidR="00CD37C6" w:rsidRPr="005C4339">
              <w:t xml:space="preserve"> </w:t>
            </w:r>
            <w:r w:rsidRPr="005C4339">
              <w:t>or</w:t>
            </w:r>
            <w:r w:rsidR="00CD37C6" w:rsidRPr="005C4339">
              <w:t xml:space="preserve"> </w:t>
            </w:r>
            <w:r w:rsidRPr="005C4339">
              <w:t>activities</w:t>
            </w:r>
            <w:r w:rsidR="00CD37C6" w:rsidRPr="005C4339">
              <w:t xml:space="preserve"> </w:t>
            </w:r>
            <w:r w:rsidRPr="005C4339">
              <w:t>currently</w:t>
            </w:r>
            <w:r w:rsidR="00CD37C6" w:rsidRPr="005C4339">
              <w:t xml:space="preserve"> </w:t>
            </w:r>
            <w:r w:rsidRPr="005C4339">
              <w:t>available)</w:t>
            </w:r>
          </w:p>
          <w:p w14:paraId="5C0A688F" w14:textId="414D75DC" w:rsidR="009F127E" w:rsidRPr="005C4339" w:rsidRDefault="00000000" w:rsidP="005C4339">
            <w:pPr>
              <w:pStyle w:val="TableBullet"/>
            </w:pPr>
            <w:r w:rsidRPr="005C4339">
              <w:t>how</w:t>
            </w:r>
            <w:r w:rsidR="00CD37C6" w:rsidRPr="005C4339">
              <w:t xml:space="preserve"> </w:t>
            </w:r>
            <w:r w:rsidRPr="005C4339">
              <w:t>likely</w:t>
            </w:r>
            <w:r w:rsidR="00CD37C6" w:rsidRPr="005C4339">
              <w:t xml:space="preserve"> </w:t>
            </w:r>
            <w:r w:rsidRPr="005C4339">
              <w:t>it</w:t>
            </w:r>
            <w:r w:rsidR="00CD37C6" w:rsidRPr="005C4339">
              <w:t xml:space="preserve"> </w:t>
            </w:r>
            <w:r w:rsidRPr="005C4339">
              <w:t>would</w:t>
            </w:r>
            <w:r w:rsidR="00CD37C6" w:rsidRPr="005C4339">
              <w:t xml:space="preserve"> </w:t>
            </w:r>
            <w:r w:rsidRPr="005C4339">
              <w:t>be</w:t>
            </w:r>
            <w:r w:rsidR="00CD37C6" w:rsidRPr="005C4339">
              <w:t xml:space="preserve"> </w:t>
            </w:r>
            <w:r w:rsidRPr="005C4339">
              <w:t>for</w:t>
            </w:r>
            <w:r w:rsidR="00CD37C6" w:rsidRPr="005C4339">
              <w:t xml:space="preserve"> </w:t>
            </w:r>
            <w:r w:rsidRPr="005C4339">
              <w:t>this</w:t>
            </w:r>
            <w:r w:rsidR="00CD37C6" w:rsidRPr="005C4339">
              <w:t xml:space="preserve"> </w:t>
            </w:r>
            <w:r w:rsidRPr="005C4339">
              <w:t>project</w:t>
            </w:r>
            <w:r w:rsidR="00CD37C6" w:rsidRPr="005C4339">
              <w:t xml:space="preserve"> </w:t>
            </w:r>
            <w:r w:rsidRPr="005C4339">
              <w:t>to</w:t>
            </w:r>
            <w:r w:rsidR="00CD37C6" w:rsidRPr="005C4339">
              <w:t xml:space="preserve"> </w:t>
            </w:r>
            <w:r w:rsidRPr="005C4339">
              <w:t>occur</w:t>
            </w:r>
            <w:r w:rsidR="00CD37C6" w:rsidRPr="005C4339">
              <w:t xml:space="preserve"> </w:t>
            </w:r>
            <w:r w:rsidRPr="005C4339">
              <w:t>without</w:t>
            </w:r>
            <w:r w:rsidR="00CD37C6" w:rsidRPr="005C4339">
              <w:t xml:space="preserve"> </w:t>
            </w:r>
            <w:r w:rsidRPr="005C4339">
              <w:t>expenditure</w:t>
            </w:r>
            <w:r w:rsidR="00CD37C6" w:rsidRPr="005C4339">
              <w:t xml:space="preserve"> </w:t>
            </w:r>
            <w:r w:rsidRPr="005C4339">
              <w:t>from</w:t>
            </w:r>
            <w:r w:rsidR="00CD37C6" w:rsidRPr="005C4339">
              <w:t xml:space="preserve"> </w:t>
            </w:r>
            <w:r w:rsidRPr="005C4339">
              <w:t>the</w:t>
            </w:r>
            <w:r w:rsidR="00CD37C6" w:rsidRPr="005C4339">
              <w:t xml:space="preserve"> </w:t>
            </w:r>
            <w:r w:rsidRPr="005C4339">
              <w:t>funds,</w:t>
            </w:r>
            <w:r w:rsidR="00CD37C6" w:rsidRPr="005C4339">
              <w:t xml:space="preserve"> </w:t>
            </w:r>
            <w:r w:rsidRPr="005C4339">
              <w:t>including</w:t>
            </w:r>
            <w:r w:rsidR="00CD37C6" w:rsidRPr="005C4339">
              <w:t xml:space="preserve"> </w:t>
            </w:r>
            <w:r w:rsidRPr="005C4339">
              <w:t>impact</w:t>
            </w:r>
            <w:r w:rsidR="00CD37C6" w:rsidRPr="005C4339">
              <w:t xml:space="preserve"> </w:t>
            </w:r>
            <w:r w:rsidRPr="005C4339">
              <w:t>on</w:t>
            </w:r>
            <w:r w:rsidR="00CD37C6" w:rsidRPr="005C4339">
              <w:t xml:space="preserve"> </w:t>
            </w:r>
            <w:r w:rsidRPr="005C4339">
              <w:t>its</w:t>
            </w:r>
            <w:r w:rsidR="00CD37C6" w:rsidRPr="005C4339">
              <w:t xml:space="preserve"> </w:t>
            </w:r>
            <w:r w:rsidRPr="005C4339">
              <w:t>timing</w:t>
            </w:r>
            <w:r w:rsidR="00CD37C6" w:rsidRPr="005C4339">
              <w:t xml:space="preserve"> </w:t>
            </w:r>
            <w:r w:rsidRPr="005C4339">
              <w:t>and</w:t>
            </w:r>
            <w:r w:rsidR="00CD37C6" w:rsidRPr="005C4339">
              <w:t xml:space="preserve"> </w:t>
            </w:r>
            <w:r w:rsidRPr="005C4339">
              <w:t>ability</w:t>
            </w:r>
            <w:r w:rsidR="00CD37C6" w:rsidRPr="005C4339">
              <w:t xml:space="preserve"> </w:t>
            </w:r>
            <w:r w:rsidRPr="005C4339">
              <w:t>to</w:t>
            </w:r>
            <w:r w:rsidR="00CD37C6" w:rsidRPr="005C4339">
              <w:t xml:space="preserve"> </w:t>
            </w:r>
            <w:r w:rsidRPr="005C4339">
              <w:t>access</w:t>
            </w:r>
            <w:r w:rsidR="00CD37C6" w:rsidRPr="005C4339">
              <w:t xml:space="preserve"> </w:t>
            </w:r>
            <w:r w:rsidRPr="005C4339">
              <w:t>resources</w:t>
            </w:r>
          </w:p>
          <w:p w14:paraId="165A1350" w14:textId="2D0006FE" w:rsidR="009F127E" w:rsidRPr="005C4339" w:rsidRDefault="00000000" w:rsidP="005C4339">
            <w:pPr>
              <w:pStyle w:val="TableBullet"/>
            </w:pPr>
            <w:r w:rsidRPr="005C4339">
              <w:t>whether</w:t>
            </w:r>
            <w:r w:rsidR="00CD37C6" w:rsidRPr="005C4339">
              <w:t xml:space="preserve"> </w:t>
            </w:r>
            <w:r w:rsidRPr="005C4339">
              <w:t>the</w:t>
            </w:r>
            <w:r w:rsidR="00CD37C6" w:rsidRPr="005C4339">
              <w:t xml:space="preserve"> </w:t>
            </w:r>
            <w:r w:rsidRPr="005C4339">
              <w:t>project</w:t>
            </w:r>
            <w:r w:rsidR="00CD37C6" w:rsidRPr="005C4339">
              <w:t xml:space="preserve"> </w:t>
            </w:r>
            <w:r w:rsidRPr="005C4339">
              <w:t>is</w:t>
            </w:r>
            <w:r w:rsidR="00CD37C6" w:rsidRPr="005C4339">
              <w:t xml:space="preserve"> </w:t>
            </w:r>
            <w:r w:rsidRPr="005C4339">
              <w:t>better</w:t>
            </w:r>
            <w:r w:rsidR="00CD37C6" w:rsidRPr="005C4339">
              <w:t xml:space="preserve"> </w:t>
            </w:r>
            <w:r w:rsidRPr="005C4339">
              <w:t>implemented</w:t>
            </w:r>
            <w:r w:rsidR="00CD37C6" w:rsidRPr="005C4339">
              <w:t xml:space="preserve"> </w:t>
            </w:r>
            <w:r w:rsidRPr="005C4339">
              <w:t>through</w:t>
            </w:r>
            <w:r w:rsidR="00CD37C6" w:rsidRPr="005C4339">
              <w:t xml:space="preserve"> </w:t>
            </w:r>
            <w:r w:rsidRPr="005C4339">
              <w:t>another</w:t>
            </w:r>
            <w:r w:rsidR="00CD37C6" w:rsidRPr="005C4339">
              <w:t xml:space="preserve"> </w:t>
            </w:r>
            <w:r w:rsidRPr="005C4339">
              <w:t>government</w:t>
            </w:r>
            <w:r w:rsidR="00CD37C6" w:rsidRPr="005C4339">
              <w:t xml:space="preserve"> </w:t>
            </w:r>
            <w:r w:rsidRPr="005C4339">
              <w:t>funding</w:t>
            </w:r>
            <w:r w:rsidR="00CD37C6" w:rsidRPr="005C4339">
              <w:t xml:space="preserve"> </w:t>
            </w:r>
            <w:r w:rsidRPr="005C4339">
              <w:t>program.</w:t>
            </w:r>
          </w:p>
          <w:p w14:paraId="18A3A3FB" w14:textId="0251133C" w:rsidR="009F127E" w:rsidRPr="005C4339" w:rsidRDefault="00000000" w:rsidP="005C4339">
            <w:pPr>
              <w:pStyle w:val="TableCopy"/>
              <w:ind w:left="284"/>
              <w:rPr>
                <w:rStyle w:val="Medium"/>
                <w:b/>
                <w:bCs/>
              </w:rPr>
            </w:pPr>
            <w:r w:rsidRPr="005C4339">
              <w:rPr>
                <w:rStyle w:val="Medium"/>
                <w:b/>
                <w:bCs/>
              </w:rPr>
              <w:t>Relevant</w:t>
            </w:r>
            <w:r w:rsidR="00CD37C6" w:rsidRPr="005C4339">
              <w:rPr>
                <w:rStyle w:val="Medium"/>
                <w:b/>
                <w:bCs/>
              </w:rPr>
              <w:t xml:space="preserve"> </w:t>
            </w:r>
            <w:r w:rsidRPr="005C4339">
              <w:rPr>
                <w:rStyle w:val="Medium"/>
                <w:b/>
                <w:bCs/>
              </w:rPr>
              <w:t>application</w:t>
            </w:r>
            <w:r w:rsidR="00CD37C6" w:rsidRPr="005C4339">
              <w:rPr>
                <w:rStyle w:val="Medium"/>
                <w:b/>
                <w:bCs/>
              </w:rPr>
              <w:t xml:space="preserve"> </w:t>
            </w:r>
            <w:r w:rsidRPr="005C4339">
              <w:rPr>
                <w:rStyle w:val="Medium"/>
                <w:b/>
                <w:bCs/>
              </w:rPr>
              <w:t>responses</w:t>
            </w:r>
            <w:r w:rsidR="00CD37C6" w:rsidRPr="005C4339">
              <w:rPr>
                <w:rStyle w:val="Medium"/>
                <w:b/>
                <w:bCs/>
              </w:rPr>
              <w:t xml:space="preserve"> </w:t>
            </w:r>
            <w:r w:rsidRPr="005C4339">
              <w:rPr>
                <w:rStyle w:val="Medium"/>
                <w:b/>
                <w:bCs/>
              </w:rPr>
              <w:t>must</w:t>
            </w:r>
            <w:r w:rsidR="00CD37C6" w:rsidRPr="005C4339">
              <w:rPr>
                <w:rStyle w:val="Medium"/>
                <w:b/>
                <w:bCs/>
              </w:rPr>
              <w:t xml:space="preserve"> </w:t>
            </w:r>
            <w:r w:rsidRPr="005C4339">
              <w:rPr>
                <w:rStyle w:val="Medium"/>
                <w:b/>
                <w:bCs/>
              </w:rPr>
              <w:t>include:</w:t>
            </w:r>
          </w:p>
          <w:p w14:paraId="58D68556" w14:textId="0750E351" w:rsidR="009F127E" w:rsidRDefault="00000000" w:rsidP="005C4339">
            <w:pPr>
              <w:pStyle w:val="TableBullet"/>
            </w:pPr>
            <w:r>
              <w:t>articulation</w:t>
            </w:r>
            <w:r w:rsidR="00CD37C6">
              <w:t xml:space="preserve"> </w:t>
            </w:r>
            <w:r>
              <w:t>of</w:t>
            </w:r>
            <w:r w:rsidR="00CD37C6">
              <w:t xml:space="preserve"> </w:t>
            </w:r>
            <w:r>
              <w:t>why</w:t>
            </w:r>
            <w:r w:rsidR="00CD37C6">
              <w:t xml:space="preserve"> </w:t>
            </w:r>
            <w:r>
              <w:t>the</w:t>
            </w:r>
            <w:r w:rsidR="00CD37C6">
              <w:t xml:space="preserve"> </w:t>
            </w:r>
            <w:r>
              <w:t>project</w:t>
            </w:r>
            <w:r w:rsidR="00CD37C6">
              <w:t xml:space="preserve"> </w:t>
            </w:r>
            <w:r>
              <w:t>solves</w:t>
            </w:r>
            <w:r w:rsidR="00CD37C6">
              <w:t xml:space="preserve"> </w:t>
            </w:r>
            <w:r>
              <w:t>an</w:t>
            </w:r>
            <w:r w:rsidR="00CD37C6">
              <w:t xml:space="preserve"> </w:t>
            </w:r>
            <w:r>
              <w:t>urgent</w:t>
            </w:r>
            <w:r w:rsidR="00CD37C6">
              <w:t xml:space="preserve"> </w:t>
            </w:r>
            <w:r>
              <w:t>need</w:t>
            </w:r>
            <w:r w:rsidR="00CD37C6">
              <w:t xml:space="preserve"> </w:t>
            </w:r>
            <w:r>
              <w:t>that</w:t>
            </w:r>
            <w:r w:rsidR="00CD37C6">
              <w:t xml:space="preserve"> </w:t>
            </w:r>
            <w:r>
              <w:t>addresses</w:t>
            </w:r>
            <w:r w:rsidR="00CD37C6">
              <w:t xml:space="preserve"> </w:t>
            </w:r>
            <w:r>
              <w:t>the</w:t>
            </w:r>
            <w:r w:rsidR="00CD37C6">
              <w:t xml:space="preserve"> </w:t>
            </w:r>
            <w:r>
              <w:t>objectives</w:t>
            </w:r>
            <w:r w:rsidR="00CD37C6">
              <w:t xml:space="preserve"> </w:t>
            </w:r>
            <w:r>
              <w:t>and</w:t>
            </w:r>
            <w:r w:rsidR="00CD37C6">
              <w:t xml:space="preserve"> </w:t>
            </w:r>
            <w:r>
              <w:t>outcomes</w:t>
            </w:r>
            <w:r w:rsidR="00CD37C6">
              <w:t xml:space="preserve"> </w:t>
            </w:r>
            <w:r>
              <w:t>of</w:t>
            </w:r>
            <w:r w:rsidR="00CD37C6">
              <w:t xml:space="preserve"> </w:t>
            </w:r>
            <w:r>
              <w:t>the</w:t>
            </w:r>
            <w:r w:rsidR="00CD37C6">
              <w:t xml:space="preserve"> </w:t>
            </w:r>
            <w:r>
              <w:t>fund</w:t>
            </w:r>
            <w:r w:rsidR="00CD37C6">
              <w:t xml:space="preserve"> </w:t>
            </w:r>
          </w:p>
          <w:p w14:paraId="38C61414" w14:textId="6F87E19C" w:rsidR="009F127E" w:rsidRDefault="00000000" w:rsidP="005C4339">
            <w:pPr>
              <w:pStyle w:val="TableBullet"/>
            </w:pPr>
            <w:r>
              <w:t>identification</w:t>
            </w:r>
            <w:r w:rsidR="00CD37C6">
              <w:t xml:space="preserve"> </w:t>
            </w:r>
            <w:r>
              <w:t>of</w:t>
            </w:r>
            <w:r w:rsidR="00CD37C6">
              <w:t xml:space="preserve"> </w:t>
            </w:r>
            <w:r>
              <w:t>a</w:t>
            </w:r>
            <w:r w:rsidR="00CD37C6">
              <w:t xml:space="preserve"> </w:t>
            </w:r>
            <w:r>
              <w:t>window</w:t>
            </w:r>
            <w:r w:rsidR="00CD37C6">
              <w:t xml:space="preserve"> </w:t>
            </w:r>
            <w:r>
              <w:t>of</w:t>
            </w:r>
            <w:r w:rsidR="00CD37C6">
              <w:t xml:space="preserve"> </w:t>
            </w:r>
            <w:r>
              <w:t>opportunity</w:t>
            </w:r>
            <w:r w:rsidR="00CD37C6">
              <w:t xml:space="preserve"> </w:t>
            </w:r>
            <w:r>
              <w:t>that</w:t>
            </w:r>
            <w:r w:rsidR="00CD37C6">
              <w:t xml:space="preserve"> </w:t>
            </w:r>
            <w:r>
              <w:t>could</w:t>
            </w:r>
            <w:r w:rsidR="00CD37C6">
              <w:t xml:space="preserve"> </w:t>
            </w:r>
            <w:r>
              <w:t>be</w:t>
            </w:r>
            <w:r w:rsidR="00CD37C6">
              <w:rPr>
                <w:rFonts w:ascii="Cambria" w:hAnsi="Cambria" w:cs="Cambria"/>
              </w:rPr>
              <w:t xml:space="preserve"> </w:t>
            </w:r>
            <w:r>
              <w:t>met</w:t>
            </w:r>
            <w:r w:rsidR="00CD37C6">
              <w:t xml:space="preserve"> </w:t>
            </w:r>
            <w:r>
              <w:t>with</w:t>
            </w:r>
            <w:r w:rsidR="00CD37C6">
              <w:t xml:space="preserve"> </w:t>
            </w:r>
            <w:r>
              <w:t>grant</w:t>
            </w:r>
            <w:r w:rsidR="00CD37C6">
              <w:t xml:space="preserve"> </w:t>
            </w:r>
            <w:r>
              <w:t>funding.</w:t>
            </w:r>
          </w:p>
        </w:tc>
        <w:tc>
          <w:tcPr>
            <w:tcW w:w="1417" w:type="dxa"/>
          </w:tcPr>
          <w:p w14:paraId="21FD02F5" w14:textId="77777777" w:rsidR="009F127E" w:rsidRDefault="00000000" w:rsidP="005C4339">
            <w:pPr>
              <w:pStyle w:val="TableCopy"/>
              <w:jc w:val="center"/>
            </w:pPr>
            <w:r>
              <w:t>20%</w:t>
            </w:r>
          </w:p>
        </w:tc>
      </w:tr>
    </w:tbl>
    <w:p w14:paraId="4C33FA3B" w14:textId="77777777" w:rsidR="009F127E" w:rsidRDefault="009F127E" w:rsidP="008E4EA4"/>
    <w:p w14:paraId="01138E5E" w14:textId="7F9115CA" w:rsidR="009F127E" w:rsidRDefault="00000000" w:rsidP="008E4EA4">
      <w:pPr>
        <w:rPr>
          <w:spacing w:val="-4"/>
        </w:rPr>
      </w:pPr>
      <w:r>
        <w:rPr>
          <w:spacing w:val="-4"/>
        </w:rPr>
        <w:t>The</w:t>
      </w:r>
      <w:r w:rsidR="00CD37C6">
        <w:rPr>
          <w:spacing w:val="-4"/>
        </w:rPr>
        <w:t xml:space="preserve"> </w:t>
      </w:r>
      <w:r>
        <w:rPr>
          <w:spacing w:val="-4"/>
        </w:rPr>
        <w:t>Department</w:t>
      </w:r>
      <w:r w:rsidR="00CD37C6">
        <w:rPr>
          <w:spacing w:val="-4"/>
        </w:rPr>
        <w:t xml:space="preserve"> </w:t>
      </w:r>
      <w:r>
        <w:rPr>
          <w:spacing w:val="-4"/>
        </w:rPr>
        <w:t>reserves</w:t>
      </w:r>
      <w:r w:rsidR="00CD37C6">
        <w:rPr>
          <w:spacing w:val="-4"/>
        </w:rPr>
        <w:t xml:space="preserve"> </w:t>
      </w:r>
      <w:r>
        <w:rPr>
          <w:spacing w:val="-4"/>
        </w:rPr>
        <w:t>the</w:t>
      </w:r>
      <w:r w:rsidR="00CD37C6">
        <w:rPr>
          <w:spacing w:val="-4"/>
        </w:rPr>
        <w:t xml:space="preserve"> </w:t>
      </w:r>
      <w:r>
        <w:rPr>
          <w:spacing w:val="-4"/>
        </w:rPr>
        <w:t>right</w:t>
      </w:r>
      <w:r w:rsidR="00CD37C6">
        <w:rPr>
          <w:spacing w:val="-4"/>
        </w:rPr>
        <w:t xml:space="preserve"> </w:t>
      </w:r>
      <w:r>
        <w:rPr>
          <w:spacing w:val="-4"/>
        </w:rPr>
        <w:t>to</w:t>
      </w:r>
      <w:r w:rsidR="00CD37C6">
        <w:rPr>
          <w:spacing w:val="-4"/>
        </w:rPr>
        <w:t xml:space="preserve"> </w:t>
      </w:r>
      <w:r>
        <w:rPr>
          <w:spacing w:val="-4"/>
        </w:rPr>
        <w:t>request</w:t>
      </w:r>
      <w:r w:rsidR="00CD37C6">
        <w:rPr>
          <w:spacing w:val="-4"/>
        </w:rPr>
        <w:t xml:space="preserve"> </w:t>
      </w:r>
      <w:r>
        <w:rPr>
          <w:spacing w:val="-4"/>
        </w:rPr>
        <w:t>additional</w:t>
      </w:r>
      <w:r w:rsidR="00CD37C6">
        <w:rPr>
          <w:spacing w:val="-4"/>
        </w:rPr>
        <w:t xml:space="preserve"> </w:t>
      </w:r>
      <w:r>
        <w:rPr>
          <w:spacing w:val="-4"/>
        </w:rPr>
        <w:t>information</w:t>
      </w:r>
      <w:r w:rsidR="00CD37C6">
        <w:rPr>
          <w:spacing w:val="-4"/>
        </w:rPr>
        <w:t xml:space="preserve"> </w:t>
      </w:r>
      <w:r>
        <w:rPr>
          <w:spacing w:val="-4"/>
        </w:rPr>
        <w:t>from</w:t>
      </w:r>
      <w:r w:rsidR="00CD37C6">
        <w:rPr>
          <w:spacing w:val="-4"/>
        </w:rPr>
        <w:t xml:space="preserve"> </w:t>
      </w:r>
      <w:r>
        <w:rPr>
          <w:spacing w:val="-4"/>
        </w:rPr>
        <w:t>applicants</w:t>
      </w:r>
      <w:r w:rsidR="00CD37C6">
        <w:rPr>
          <w:spacing w:val="-4"/>
        </w:rPr>
        <w:t xml:space="preserve"> </w:t>
      </w:r>
      <w:r>
        <w:rPr>
          <w:spacing w:val="-4"/>
        </w:rPr>
        <w:t>if</w:t>
      </w:r>
      <w:r w:rsidR="00CD37C6">
        <w:rPr>
          <w:spacing w:val="-4"/>
        </w:rPr>
        <w:t xml:space="preserve"> </w:t>
      </w:r>
      <w:r>
        <w:rPr>
          <w:spacing w:val="-4"/>
        </w:rPr>
        <w:t>there</w:t>
      </w:r>
      <w:r w:rsidR="00CD37C6">
        <w:rPr>
          <w:spacing w:val="-4"/>
        </w:rPr>
        <w:t xml:space="preserve"> </w:t>
      </w:r>
      <w:r>
        <w:rPr>
          <w:spacing w:val="-4"/>
        </w:rPr>
        <w:t>are</w:t>
      </w:r>
      <w:r w:rsidR="00CD37C6">
        <w:rPr>
          <w:spacing w:val="-4"/>
        </w:rPr>
        <w:t xml:space="preserve"> </w:t>
      </w:r>
      <w:r>
        <w:rPr>
          <w:spacing w:val="-4"/>
        </w:rPr>
        <w:t>gaps</w:t>
      </w:r>
      <w:r w:rsidR="00CD37C6">
        <w:rPr>
          <w:spacing w:val="-4"/>
        </w:rPr>
        <w:t xml:space="preserve"> </w:t>
      </w:r>
      <w:r>
        <w:rPr>
          <w:spacing w:val="-4"/>
        </w:rPr>
        <w:t>in</w:t>
      </w:r>
      <w:r w:rsidR="00CD37C6">
        <w:rPr>
          <w:spacing w:val="-4"/>
        </w:rPr>
        <w:t xml:space="preserve"> </w:t>
      </w:r>
      <w:r>
        <w:rPr>
          <w:spacing w:val="-4"/>
        </w:rPr>
        <w:t>the</w:t>
      </w:r>
      <w:r w:rsidR="00CD37C6">
        <w:rPr>
          <w:spacing w:val="-4"/>
        </w:rPr>
        <w:t xml:space="preserve"> </w:t>
      </w:r>
      <w:r>
        <w:rPr>
          <w:spacing w:val="-4"/>
        </w:rPr>
        <w:t>information</w:t>
      </w:r>
      <w:r w:rsidR="00CD37C6">
        <w:rPr>
          <w:spacing w:val="-4"/>
        </w:rPr>
        <w:t xml:space="preserve"> </w:t>
      </w:r>
      <w:r>
        <w:rPr>
          <w:spacing w:val="-4"/>
        </w:rPr>
        <w:t>provided</w:t>
      </w:r>
      <w:r w:rsidR="00CD37C6">
        <w:rPr>
          <w:spacing w:val="-4"/>
        </w:rPr>
        <w:t xml:space="preserve"> </w:t>
      </w:r>
      <w:r>
        <w:rPr>
          <w:spacing w:val="-4"/>
        </w:rPr>
        <w:t>to</w:t>
      </w:r>
      <w:r w:rsidR="00CD37C6">
        <w:rPr>
          <w:spacing w:val="-4"/>
        </w:rPr>
        <w:t xml:space="preserve"> </w:t>
      </w:r>
      <w:r>
        <w:rPr>
          <w:spacing w:val="-4"/>
        </w:rPr>
        <w:t>assess</w:t>
      </w:r>
      <w:r w:rsidR="00CD37C6">
        <w:rPr>
          <w:spacing w:val="-4"/>
        </w:rPr>
        <w:t xml:space="preserve"> </w:t>
      </w:r>
      <w:r>
        <w:rPr>
          <w:spacing w:val="-4"/>
        </w:rPr>
        <w:t>the</w:t>
      </w:r>
      <w:r w:rsidR="00CD37C6">
        <w:rPr>
          <w:spacing w:val="-4"/>
        </w:rPr>
        <w:t xml:space="preserve"> </w:t>
      </w:r>
      <w:r>
        <w:rPr>
          <w:spacing w:val="-4"/>
        </w:rPr>
        <w:t>application.</w:t>
      </w:r>
      <w:r w:rsidR="00CD37C6">
        <w:rPr>
          <w:spacing w:val="-4"/>
        </w:rPr>
        <w:t xml:space="preserve"> </w:t>
      </w:r>
      <w:r>
        <w:rPr>
          <w:spacing w:val="-4"/>
        </w:rPr>
        <w:t>However,</w:t>
      </w:r>
      <w:r w:rsidR="00CD37C6">
        <w:rPr>
          <w:spacing w:val="-4"/>
        </w:rPr>
        <w:t xml:space="preserve"> </w:t>
      </w:r>
      <w:r>
        <w:rPr>
          <w:spacing w:val="-4"/>
        </w:rPr>
        <w:t>providing</w:t>
      </w:r>
      <w:r w:rsidR="00CD37C6">
        <w:rPr>
          <w:spacing w:val="-4"/>
        </w:rPr>
        <w:t xml:space="preserve"> </w:t>
      </w:r>
      <w:r>
        <w:rPr>
          <w:spacing w:val="-4"/>
        </w:rPr>
        <w:t>comprehensive</w:t>
      </w:r>
      <w:r w:rsidR="00CD37C6">
        <w:rPr>
          <w:spacing w:val="-4"/>
        </w:rPr>
        <w:t xml:space="preserve"> </w:t>
      </w:r>
      <w:r>
        <w:rPr>
          <w:spacing w:val="-4"/>
        </w:rPr>
        <w:t>responses</w:t>
      </w:r>
      <w:r w:rsidR="00CD37C6">
        <w:rPr>
          <w:spacing w:val="-4"/>
        </w:rPr>
        <w:t xml:space="preserve"> </w:t>
      </w:r>
      <w:r>
        <w:rPr>
          <w:spacing w:val="-4"/>
        </w:rPr>
        <w:t>to</w:t>
      </w:r>
      <w:r w:rsidR="00CD37C6">
        <w:rPr>
          <w:spacing w:val="-4"/>
        </w:rPr>
        <w:t xml:space="preserve"> </w:t>
      </w:r>
      <w:r>
        <w:rPr>
          <w:spacing w:val="-4"/>
        </w:rPr>
        <w:t>the</w:t>
      </w:r>
      <w:r w:rsidR="00CD37C6">
        <w:rPr>
          <w:spacing w:val="-4"/>
        </w:rPr>
        <w:t xml:space="preserve"> </w:t>
      </w:r>
      <w:r>
        <w:rPr>
          <w:spacing w:val="-4"/>
        </w:rPr>
        <w:t>assessment</w:t>
      </w:r>
      <w:r w:rsidR="00CD37C6">
        <w:rPr>
          <w:spacing w:val="-4"/>
        </w:rPr>
        <w:t xml:space="preserve"> </w:t>
      </w:r>
      <w:r>
        <w:rPr>
          <w:spacing w:val="-4"/>
        </w:rPr>
        <w:t>criteria</w:t>
      </w:r>
      <w:r w:rsidR="00CD37C6">
        <w:rPr>
          <w:spacing w:val="-4"/>
        </w:rPr>
        <w:t xml:space="preserve"> </w:t>
      </w:r>
      <w:r>
        <w:rPr>
          <w:spacing w:val="-4"/>
        </w:rPr>
        <w:t>is</w:t>
      </w:r>
      <w:r w:rsidR="00CD37C6">
        <w:rPr>
          <w:spacing w:val="-4"/>
        </w:rPr>
        <w:t xml:space="preserve"> </w:t>
      </w:r>
      <w:r>
        <w:rPr>
          <w:spacing w:val="-4"/>
        </w:rPr>
        <w:t>strongly</w:t>
      </w:r>
      <w:r w:rsidR="00CD37C6">
        <w:rPr>
          <w:spacing w:val="-4"/>
        </w:rPr>
        <w:t xml:space="preserve"> </w:t>
      </w:r>
      <w:r>
        <w:rPr>
          <w:spacing w:val="-4"/>
        </w:rPr>
        <w:t>recommended.</w:t>
      </w:r>
    </w:p>
    <w:p w14:paraId="2972FCF4" w14:textId="5D277089" w:rsidR="009F127E" w:rsidRDefault="00000000" w:rsidP="008E4EA4">
      <w:pPr>
        <w:pStyle w:val="Heading2"/>
      </w:pPr>
      <w:bookmarkStart w:id="6" w:name="_Toc116548264"/>
      <w:r>
        <w:t>6.</w:t>
      </w:r>
      <w:r>
        <w:tab/>
      </w:r>
      <w:r w:rsidR="009B4482">
        <w:t xml:space="preserve"> </w:t>
      </w:r>
      <w:r>
        <w:t>FUNDING</w:t>
      </w:r>
      <w:r w:rsidR="00CD37C6">
        <w:t xml:space="preserve"> </w:t>
      </w:r>
      <w:r>
        <w:t>AWARD</w:t>
      </w:r>
      <w:r w:rsidR="00CD37C6">
        <w:t xml:space="preserve"> </w:t>
      </w:r>
      <w:r>
        <w:t>AND</w:t>
      </w:r>
      <w:r w:rsidR="00CD37C6">
        <w:t xml:space="preserve"> </w:t>
      </w:r>
      <w:r>
        <w:t>GRANT</w:t>
      </w:r>
      <w:r w:rsidR="00CD37C6">
        <w:t xml:space="preserve"> </w:t>
      </w:r>
      <w:r>
        <w:t>AGREEMENT/</w:t>
      </w:r>
      <w:r w:rsidR="00CD37C6">
        <w:t xml:space="preserve"> </w:t>
      </w:r>
      <w:r>
        <w:t>MEMORANDUM</w:t>
      </w:r>
      <w:r w:rsidR="00CD37C6">
        <w:t xml:space="preserve"> </w:t>
      </w:r>
      <w:r>
        <w:t>OF</w:t>
      </w:r>
      <w:r w:rsidR="00CD37C6">
        <w:t xml:space="preserve"> </w:t>
      </w:r>
      <w:r>
        <w:t>UNDERSTANDING</w:t>
      </w:r>
      <w:bookmarkEnd w:id="6"/>
    </w:p>
    <w:p w14:paraId="3B5EE1E0" w14:textId="77777777" w:rsidR="009F127E" w:rsidRPr="005C4339" w:rsidRDefault="00000000" w:rsidP="005C4339">
      <w:pPr>
        <w:pStyle w:val="Normalbeforebullet"/>
        <w:rPr>
          <w:b/>
          <w:bCs/>
        </w:rPr>
      </w:pPr>
      <w:r w:rsidRPr="005C4339">
        <w:rPr>
          <w:b/>
          <w:bCs/>
        </w:rPr>
        <w:t>Overview</w:t>
      </w:r>
    </w:p>
    <w:p w14:paraId="420C21EC" w14:textId="44533600" w:rsidR="009F127E" w:rsidRDefault="00000000" w:rsidP="008E4EA4">
      <w:r>
        <w:t>Successful</w:t>
      </w:r>
      <w:r w:rsidR="00CD37C6">
        <w:t xml:space="preserve"> </w:t>
      </w:r>
      <w:r>
        <w:t>applicants</w:t>
      </w:r>
      <w:r w:rsidR="00CD37C6">
        <w:t xml:space="preserve"> </w:t>
      </w:r>
      <w:r>
        <w:t>will</w:t>
      </w:r>
      <w:r w:rsidR="00CD37C6">
        <w:t xml:space="preserve"> </w:t>
      </w:r>
      <w:r>
        <w:t>be</w:t>
      </w:r>
      <w:r w:rsidR="00CD37C6">
        <w:t xml:space="preserve"> </w:t>
      </w:r>
      <w:r>
        <w:t>sent</w:t>
      </w:r>
      <w:r w:rsidR="00CD37C6">
        <w:t xml:space="preserve"> </w:t>
      </w:r>
      <w:r>
        <w:t>a</w:t>
      </w:r>
      <w:r w:rsidR="00CD37C6">
        <w:t xml:space="preserve"> </w:t>
      </w:r>
      <w:r>
        <w:t>Letter</w:t>
      </w:r>
      <w:r w:rsidR="00CD37C6">
        <w:t xml:space="preserve"> </w:t>
      </w:r>
      <w:r>
        <w:t>of</w:t>
      </w:r>
      <w:r w:rsidR="00CD37C6">
        <w:t xml:space="preserve"> </w:t>
      </w:r>
      <w:r>
        <w:t>Offer</w:t>
      </w:r>
      <w:r w:rsidR="00CD37C6">
        <w:t xml:space="preserve"> </w:t>
      </w:r>
      <w:r>
        <w:t>inviting</w:t>
      </w:r>
      <w:r w:rsidR="00CD37C6">
        <w:t xml:space="preserve"> </w:t>
      </w:r>
      <w:r>
        <w:t>them</w:t>
      </w:r>
      <w:r w:rsidR="00CD37C6">
        <w:t xml:space="preserve"> </w:t>
      </w:r>
      <w:r>
        <w:t>to</w:t>
      </w:r>
      <w:r w:rsidR="00CD37C6">
        <w:t xml:space="preserve"> </w:t>
      </w:r>
      <w:r>
        <w:t>enter</w:t>
      </w:r>
      <w:r w:rsidR="00CD37C6">
        <w:t xml:space="preserve"> </w:t>
      </w:r>
      <w:r>
        <w:t>into</w:t>
      </w:r>
      <w:r w:rsidR="00CD37C6">
        <w:t xml:space="preserve"> </w:t>
      </w:r>
      <w:r>
        <w:t>a</w:t>
      </w:r>
      <w:r w:rsidR="00CD37C6">
        <w:t xml:space="preserve"> </w:t>
      </w:r>
      <w:r>
        <w:t>grant</w:t>
      </w:r>
      <w:r w:rsidR="00CD37C6">
        <w:t xml:space="preserve"> </w:t>
      </w:r>
      <w:r>
        <w:t>funding</w:t>
      </w:r>
      <w:r w:rsidR="00CD37C6">
        <w:t xml:space="preserve"> </w:t>
      </w:r>
      <w:r>
        <w:t>agreement</w:t>
      </w:r>
      <w:r w:rsidR="00CD37C6">
        <w:t xml:space="preserve"> </w:t>
      </w:r>
      <w:r>
        <w:t>with</w:t>
      </w:r>
      <w:r w:rsidR="00CD37C6">
        <w:t xml:space="preserve"> </w:t>
      </w:r>
      <w:r>
        <w:t>the</w:t>
      </w:r>
      <w:r w:rsidR="00CD37C6">
        <w:t xml:space="preserve"> </w:t>
      </w:r>
      <w:r>
        <w:t>Department</w:t>
      </w:r>
      <w:r w:rsidR="00CD37C6">
        <w:t xml:space="preserve"> </w:t>
      </w:r>
      <w:r>
        <w:t>detailing</w:t>
      </w:r>
      <w:r w:rsidR="00CD37C6">
        <w:t xml:space="preserve"> </w:t>
      </w:r>
      <w:r>
        <w:t>all</w:t>
      </w:r>
      <w:r w:rsidR="00CD37C6">
        <w:t xml:space="preserve"> </w:t>
      </w:r>
      <w:r>
        <w:t>funding</w:t>
      </w:r>
      <w:r w:rsidR="00CD37C6">
        <w:t xml:space="preserve"> </w:t>
      </w:r>
      <w:r>
        <w:t>obligations</w:t>
      </w:r>
      <w:r w:rsidR="00CD37C6">
        <w:t xml:space="preserve"> </w:t>
      </w:r>
      <w:r>
        <w:t>and</w:t>
      </w:r>
      <w:r w:rsidR="00CD37C6">
        <w:t xml:space="preserve"> </w:t>
      </w:r>
      <w:r>
        <w:t>conditions.</w:t>
      </w:r>
      <w:r w:rsidR="00CD37C6">
        <w:t xml:space="preserve"> </w:t>
      </w:r>
    </w:p>
    <w:p w14:paraId="667E2283" w14:textId="443E2ED6" w:rsidR="009F127E" w:rsidRDefault="00000000" w:rsidP="008E4EA4">
      <w:pPr>
        <w:rPr>
          <w:spacing w:val="-2"/>
        </w:rPr>
      </w:pPr>
      <w:r>
        <w:rPr>
          <w:spacing w:val="-2"/>
        </w:rPr>
        <w:t>The</w:t>
      </w:r>
      <w:r w:rsidR="00CD37C6">
        <w:rPr>
          <w:spacing w:val="-2"/>
        </w:rPr>
        <w:t xml:space="preserve"> </w:t>
      </w:r>
      <w:r>
        <w:rPr>
          <w:spacing w:val="-2"/>
        </w:rPr>
        <w:t>project</w:t>
      </w:r>
      <w:r w:rsidR="00CD37C6">
        <w:rPr>
          <w:spacing w:val="-2"/>
        </w:rPr>
        <w:t xml:space="preserve"> </w:t>
      </w:r>
      <w:r>
        <w:rPr>
          <w:spacing w:val="-2"/>
        </w:rPr>
        <w:t>must</w:t>
      </w:r>
      <w:r w:rsidR="00CD37C6">
        <w:rPr>
          <w:spacing w:val="-2"/>
        </w:rPr>
        <w:t xml:space="preserve"> </w:t>
      </w:r>
      <w:r>
        <w:rPr>
          <w:spacing w:val="-2"/>
        </w:rPr>
        <w:t>not</w:t>
      </w:r>
      <w:r w:rsidR="00CD37C6">
        <w:rPr>
          <w:spacing w:val="-2"/>
        </w:rPr>
        <w:t xml:space="preserve"> </w:t>
      </w:r>
      <w:r>
        <w:rPr>
          <w:spacing w:val="-2"/>
        </w:rPr>
        <w:t>commence</w:t>
      </w:r>
      <w:r w:rsidR="00CD37C6">
        <w:rPr>
          <w:spacing w:val="-2"/>
        </w:rPr>
        <w:t xml:space="preserve"> </w:t>
      </w:r>
      <w:r>
        <w:rPr>
          <w:spacing w:val="-2"/>
        </w:rPr>
        <w:t>until</w:t>
      </w:r>
      <w:r w:rsidR="00CD37C6">
        <w:rPr>
          <w:spacing w:val="-2"/>
        </w:rPr>
        <w:t xml:space="preserve"> </w:t>
      </w:r>
      <w:r>
        <w:rPr>
          <w:spacing w:val="-2"/>
        </w:rPr>
        <w:t>a</w:t>
      </w:r>
      <w:r w:rsidR="00CD37C6">
        <w:rPr>
          <w:spacing w:val="-2"/>
        </w:rPr>
        <w:t xml:space="preserve"> </w:t>
      </w:r>
      <w:r>
        <w:rPr>
          <w:spacing w:val="-2"/>
        </w:rPr>
        <w:t>grant</w:t>
      </w:r>
      <w:r w:rsidR="00CD37C6">
        <w:rPr>
          <w:spacing w:val="-2"/>
        </w:rPr>
        <w:t xml:space="preserve"> </w:t>
      </w:r>
      <w:r>
        <w:rPr>
          <w:spacing w:val="-2"/>
        </w:rPr>
        <w:t>agreement</w:t>
      </w:r>
      <w:r w:rsidR="00CD37C6">
        <w:rPr>
          <w:spacing w:val="-2"/>
        </w:rPr>
        <w:t xml:space="preserve"> </w:t>
      </w:r>
      <w:r>
        <w:rPr>
          <w:spacing w:val="-2"/>
        </w:rPr>
        <w:t>or</w:t>
      </w:r>
      <w:r w:rsidR="00CD37C6">
        <w:rPr>
          <w:spacing w:val="-2"/>
        </w:rPr>
        <w:t xml:space="preserve"> </w:t>
      </w:r>
      <w:r>
        <w:rPr>
          <w:spacing w:val="-2"/>
        </w:rPr>
        <w:t>memorandum</w:t>
      </w:r>
      <w:r w:rsidR="00CD37C6">
        <w:rPr>
          <w:spacing w:val="-2"/>
        </w:rPr>
        <w:t xml:space="preserve"> </w:t>
      </w:r>
      <w:r>
        <w:t>of</w:t>
      </w:r>
      <w:r w:rsidR="00CD37C6">
        <w:t xml:space="preserve"> </w:t>
      </w:r>
      <w:r>
        <w:t>understanding</w:t>
      </w:r>
      <w:r w:rsidR="00CD37C6">
        <w:t xml:space="preserve"> </w:t>
      </w:r>
      <w:r>
        <w:t>has</w:t>
      </w:r>
      <w:r w:rsidR="00CD37C6">
        <w:t xml:space="preserve"> </w:t>
      </w:r>
      <w:r>
        <w:t>been</w:t>
      </w:r>
      <w:r w:rsidR="00CD37C6">
        <w:t xml:space="preserve"> </w:t>
      </w:r>
      <w:r>
        <w:t>duly</w:t>
      </w:r>
      <w:r w:rsidR="00CD37C6">
        <w:t xml:space="preserve"> </w:t>
      </w:r>
      <w:r>
        <w:t>executed</w:t>
      </w:r>
      <w:r w:rsidR="00CD37C6">
        <w:t xml:space="preserve"> </w:t>
      </w:r>
      <w:r>
        <w:t>by</w:t>
      </w:r>
      <w:r w:rsidR="00CD37C6">
        <w:t xml:space="preserve"> </w:t>
      </w:r>
      <w:r>
        <w:t>both</w:t>
      </w:r>
      <w:r w:rsidR="00CD37C6">
        <w:t xml:space="preserve"> </w:t>
      </w:r>
      <w:r>
        <w:t>the</w:t>
      </w:r>
      <w:r w:rsidR="00CD37C6">
        <w:t xml:space="preserve"> </w:t>
      </w:r>
      <w:r>
        <w:t>Department</w:t>
      </w:r>
      <w:r w:rsidR="00CD37C6">
        <w:t xml:space="preserve"> </w:t>
      </w:r>
      <w:r>
        <w:t>and</w:t>
      </w:r>
      <w:r w:rsidR="00CD37C6">
        <w:t xml:space="preserve"> </w:t>
      </w:r>
      <w:r>
        <w:t>the</w:t>
      </w:r>
      <w:r w:rsidR="00CD37C6">
        <w:t xml:space="preserve"> </w:t>
      </w:r>
      <w:r>
        <w:t>recipient.</w:t>
      </w:r>
    </w:p>
    <w:p w14:paraId="0FFEFC3F" w14:textId="552F2AF4" w:rsidR="009F127E" w:rsidRDefault="00000000" w:rsidP="008E4EA4">
      <w:r>
        <w:t>Once</w:t>
      </w:r>
      <w:r w:rsidR="00CD37C6">
        <w:t xml:space="preserve"> </w:t>
      </w:r>
      <w:r>
        <w:t>the</w:t>
      </w:r>
      <w:r w:rsidR="00CD37C6">
        <w:t xml:space="preserve"> </w:t>
      </w:r>
      <w:r>
        <w:t>grant</w:t>
      </w:r>
      <w:r w:rsidR="00CD37C6">
        <w:t xml:space="preserve"> </w:t>
      </w:r>
      <w:r>
        <w:t>agreement</w:t>
      </w:r>
      <w:r w:rsidR="00CD37C6">
        <w:t xml:space="preserve"> </w:t>
      </w:r>
      <w:r>
        <w:t>or</w:t>
      </w:r>
      <w:r w:rsidR="00CD37C6">
        <w:t xml:space="preserve"> </w:t>
      </w:r>
      <w:r>
        <w:t>memorandum</w:t>
      </w:r>
      <w:r w:rsidR="00CD37C6">
        <w:t xml:space="preserve"> </w:t>
      </w:r>
      <w:r>
        <w:t>of</w:t>
      </w:r>
      <w:r w:rsidR="00CD37C6">
        <w:t xml:space="preserve"> </w:t>
      </w:r>
      <w:r>
        <w:t>understanding</w:t>
      </w:r>
      <w:r w:rsidR="00CD37C6">
        <w:t xml:space="preserve"> </w:t>
      </w:r>
      <w:r>
        <w:t>has</w:t>
      </w:r>
      <w:r w:rsidR="00CD37C6">
        <w:t xml:space="preserve"> </w:t>
      </w:r>
      <w:r>
        <w:t>been</w:t>
      </w:r>
      <w:r w:rsidR="00CD37C6">
        <w:t xml:space="preserve"> </w:t>
      </w:r>
      <w:r>
        <w:t>signed,</w:t>
      </w:r>
      <w:r w:rsidR="00CD37C6">
        <w:t xml:space="preserve"> </w:t>
      </w:r>
      <w:r>
        <w:t>the</w:t>
      </w:r>
      <w:r w:rsidR="00CD37C6">
        <w:t xml:space="preserve"> </w:t>
      </w:r>
      <w:r>
        <w:t>recipient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funds</w:t>
      </w:r>
      <w:r w:rsidR="00CD37C6">
        <w:t xml:space="preserve"> </w:t>
      </w:r>
      <w:r>
        <w:t>(the</w:t>
      </w:r>
      <w:r w:rsidR="00CD37C6">
        <w:t xml:space="preserve"> </w:t>
      </w:r>
      <w:r>
        <w:t>recipient)</w:t>
      </w:r>
      <w:r w:rsidR="00CD37C6">
        <w:t xml:space="preserve"> </w:t>
      </w:r>
      <w:r>
        <w:t>will</w:t>
      </w:r>
      <w:r w:rsidR="00CD37C6">
        <w:t xml:space="preserve"> </w:t>
      </w:r>
      <w:r>
        <w:t>be</w:t>
      </w:r>
      <w:r w:rsidR="00CD37C6">
        <w:t xml:space="preserve"> </w:t>
      </w:r>
      <w:r>
        <w:t>required</w:t>
      </w:r>
      <w:r w:rsidR="00CD37C6">
        <w:t xml:space="preserve"> </w:t>
      </w:r>
      <w:r>
        <w:t>to</w:t>
      </w:r>
      <w:r w:rsidR="00CD37C6">
        <w:t xml:space="preserve"> </w:t>
      </w:r>
      <w:r>
        <w:t>commence</w:t>
      </w:r>
      <w:r w:rsidR="00CD37C6">
        <w:t xml:space="preserve"> </w:t>
      </w:r>
      <w:r>
        <w:t>the</w:t>
      </w:r>
      <w:r w:rsidR="00CD37C6">
        <w:t xml:space="preserve"> </w:t>
      </w:r>
      <w:r>
        <w:t>project</w:t>
      </w:r>
      <w:r w:rsidR="00CD37C6">
        <w:t xml:space="preserve"> </w:t>
      </w:r>
      <w:r>
        <w:t>within</w:t>
      </w:r>
      <w:r w:rsidR="00CD37C6">
        <w:t xml:space="preserve"> </w:t>
      </w:r>
      <w:r>
        <w:t>the</w:t>
      </w:r>
      <w:r w:rsidR="00CD37C6">
        <w:t xml:space="preserve"> </w:t>
      </w:r>
      <w:r>
        <w:t>agreed</w:t>
      </w:r>
      <w:r w:rsidR="00CD37C6">
        <w:t xml:space="preserve"> </w:t>
      </w:r>
      <w:r>
        <w:t>timeframe.</w:t>
      </w:r>
      <w:r w:rsidR="00CD37C6">
        <w:t xml:space="preserve"> </w:t>
      </w:r>
      <w:r>
        <w:t>If</w:t>
      </w:r>
      <w:r w:rsidR="00CD37C6">
        <w:t xml:space="preserve"> </w:t>
      </w:r>
      <w:r>
        <w:t>a</w:t>
      </w:r>
      <w:r w:rsidR="00CD37C6">
        <w:t xml:space="preserve"> </w:t>
      </w:r>
      <w:r>
        <w:t>recipient</w:t>
      </w:r>
      <w:r w:rsidR="00CD37C6">
        <w:t xml:space="preserve"> </w:t>
      </w:r>
      <w:r>
        <w:t>does</w:t>
      </w:r>
      <w:r w:rsidR="00CD37C6">
        <w:t xml:space="preserve"> </w:t>
      </w:r>
      <w:r>
        <w:t>not</w:t>
      </w:r>
      <w:r w:rsidR="00CD37C6">
        <w:t xml:space="preserve"> </w:t>
      </w:r>
      <w:r>
        <w:t>commence</w:t>
      </w:r>
      <w:r w:rsidR="00CD37C6">
        <w:t xml:space="preserve"> </w:t>
      </w:r>
      <w:r>
        <w:t>the</w:t>
      </w:r>
      <w:r w:rsidR="00CD37C6">
        <w:t xml:space="preserve"> </w:t>
      </w:r>
      <w:r>
        <w:t>project</w:t>
      </w:r>
      <w:r w:rsidR="00CD37C6">
        <w:t xml:space="preserve"> </w:t>
      </w:r>
      <w:r>
        <w:t>by</w:t>
      </w:r>
      <w:r w:rsidR="00CD37C6">
        <w:t xml:space="preserve"> </w:t>
      </w:r>
      <w:r>
        <w:t>the</w:t>
      </w:r>
      <w:r w:rsidR="00CD37C6">
        <w:t xml:space="preserve"> </w:t>
      </w:r>
      <w:r>
        <w:t>commencement</w:t>
      </w:r>
      <w:r w:rsidR="00CD37C6">
        <w:t xml:space="preserve"> </w:t>
      </w:r>
      <w:r>
        <w:t>date,</w:t>
      </w:r>
      <w:r w:rsidR="00CD37C6">
        <w:t xml:space="preserve"> </w:t>
      </w:r>
      <w:r>
        <w:t>the</w:t>
      </w:r>
      <w:r w:rsidR="00CD37C6">
        <w:t xml:space="preserve"> </w:t>
      </w:r>
      <w:r>
        <w:t>Department</w:t>
      </w:r>
      <w:r w:rsidR="00CD37C6">
        <w:t xml:space="preserve"> </w:t>
      </w:r>
      <w:r>
        <w:t>has</w:t>
      </w:r>
      <w:r w:rsidR="00CD37C6">
        <w:t xml:space="preserve"> </w:t>
      </w:r>
      <w:r>
        <w:t>at</w:t>
      </w:r>
      <w:r w:rsidR="00CD37C6">
        <w:t xml:space="preserve"> </w:t>
      </w:r>
      <w:r>
        <w:t>its</w:t>
      </w:r>
      <w:r w:rsidR="00CD37C6">
        <w:t xml:space="preserve"> </w:t>
      </w:r>
      <w:r>
        <w:t>absolute</w:t>
      </w:r>
      <w:r w:rsidR="00CD37C6">
        <w:t xml:space="preserve"> </w:t>
      </w:r>
      <w:r>
        <w:t>discretion</w:t>
      </w:r>
      <w:r w:rsidR="00CD37C6">
        <w:t xml:space="preserve"> </w:t>
      </w:r>
      <w:r>
        <w:t>the</w:t>
      </w:r>
      <w:r w:rsidR="00CD37C6">
        <w:t xml:space="preserve"> </w:t>
      </w:r>
      <w:r>
        <w:t>option</w:t>
      </w:r>
      <w:r w:rsidR="00CD37C6">
        <w:t xml:space="preserve"> </w:t>
      </w:r>
      <w:r>
        <w:t>of</w:t>
      </w:r>
      <w:r w:rsidR="00CD37C6">
        <w:t xml:space="preserve"> </w:t>
      </w:r>
      <w:r>
        <w:t>terminating</w:t>
      </w:r>
      <w:r w:rsidR="00CD37C6">
        <w:t xml:space="preserve"> </w:t>
      </w:r>
      <w:r>
        <w:t>the</w:t>
      </w:r>
      <w:r w:rsidR="00CD37C6">
        <w:t xml:space="preserve"> </w:t>
      </w:r>
      <w:r>
        <w:t>agreement.</w:t>
      </w:r>
    </w:p>
    <w:p w14:paraId="441FABA4" w14:textId="4E660F85" w:rsidR="009F127E" w:rsidRDefault="00000000" w:rsidP="008E4EA4">
      <w:r>
        <w:t>Milestone</w:t>
      </w:r>
      <w:r w:rsidR="00CD37C6">
        <w:t xml:space="preserve"> </w:t>
      </w:r>
      <w:r>
        <w:t>deliverables</w:t>
      </w:r>
      <w:r w:rsidR="00CD37C6">
        <w:t xml:space="preserve"> </w:t>
      </w:r>
      <w:r>
        <w:t>and</w:t>
      </w:r>
      <w:r w:rsidR="00CD37C6">
        <w:t xml:space="preserve"> </w:t>
      </w:r>
      <w:r>
        <w:t>dates</w:t>
      </w:r>
      <w:r w:rsidR="00CD37C6">
        <w:t xml:space="preserve"> </w:t>
      </w:r>
      <w:r>
        <w:t>are</w:t>
      </w:r>
      <w:r w:rsidR="00CD37C6">
        <w:t xml:space="preserve"> </w:t>
      </w:r>
      <w:r>
        <w:t>finalised</w:t>
      </w:r>
      <w:r w:rsidR="00CD37C6">
        <w:t xml:space="preserve"> </w:t>
      </w:r>
      <w:r>
        <w:t>as</w:t>
      </w:r>
      <w:r w:rsidR="00CD37C6">
        <w:t xml:space="preserve"> </w:t>
      </w:r>
      <w:r>
        <w:t>a</w:t>
      </w:r>
      <w:r w:rsidR="00CD37C6">
        <w:t xml:space="preserve"> </w:t>
      </w:r>
      <w:r>
        <w:t>part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grant</w:t>
      </w:r>
      <w:r w:rsidR="00CD37C6">
        <w:t xml:space="preserve"> </w:t>
      </w:r>
      <w:r>
        <w:t>agreement</w:t>
      </w:r>
      <w:r w:rsidR="00CD37C6">
        <w:t xml:space="preserve"> </w:t>
      </w:r>
      <w:r>
        <w:t>and</w:t>
      </w:r>
      <w:r w:rsidR="00CD37C6">
        <w:t xml:space="preserve"> </w:t>
      </w:r>
      <w:r>
        <w:t>memorandum</w:t>
      </w:r>
      <w:r w:rsidR="00CD37C6">
        <w:t xml:space="preserve"> </w:t>
      </w:r>
      <w:r>
        <w:t>of</w:t>
      </w:r>
      <w:r w:rsidR="00CD37C6">
        <w:t xml:space="preserve"> </w:t>
      </w:r>
      <w:r>
        <w:t>understanding</w:t>
      </w:r>
      <w:r w:rsidR="00CD37C6">
        <w:t xml:space="preserve"> </w:t>
      </w:r>
      <w:r>
        <w:t>negotiations</w:t>
      </w:r>
      <w:r w:rsidR="00CD37C6">
        <w:t xml:space="preserve"> </w:t>
      </w:r>
      <w:r>
        <w:t>with</w:t>
      </w:r>
      <w:r w:rsidR="00CD37C6">
        <w:t xml:space="preserve"> </w:t>
      </w:r>
      <w:r>
        <w:t>the</w:t>
      </w:r>
      <w:r w:rsidR="00CD37C6">
        <w:t xml:space="preserve"> </w:t>
      </w:r>
      <w:r>
        <w:t>successful</w:t>
      </w:r>
      <w:r w:rsidR="00CD37C6">
        <w:t xml:space="preserve"> </w:t>
      </w:r>
      <w:r>
        <w:t>applicants,</w:t>
      </w:r>
      <w:r w:rsidR="00CD37C6">
        <w:t xml:space="preserve"> </w:t>
      </w:r>
      <w:proofErr w:type="gramStart"/>
      <w:r>
        <w:t>subsequent</w:t>
      </w:r>
      <w:r w:rsidR="00CD37C6">
        <w:t xml:space="preserve"> </w:t>
      </w:r>
      <w:r>
        <w:t>to</w:t>
      </w:r>
      <w:proofErr w:type="gramEnd"/>
      <w:r w:rsidR="00CD37C6">
        <w:t xml:space="preserve"> </w:t>
      </w:r>
      <w:r>
        <w:t>the</w:t>
      </w:r>
      <w:r w:rsidR="00CD37C6">
        <w:t xml:space="preserve"> </w:t>
      </w:r>
      <w:r>
        <w:t>approval</w:t>
      </w:r>
      <w:r w:rsidR="00CD37C6">
        <w:t xml:space="preserve"> </w:t>
      </w:r>
      <w:r>
        <w:t>by</w:t>
      </w:r>
      <w:r w:rsidR="00CD37C6">
        <w:t xml:space="preserve"> </w:t>
      </w:r>
      <w:r>
        <w:t>the</w:t>
      </w:r>
      <w:r w:rsidR="00CD37C6">
        <w:t xml:space="preserve"> </w:t>
      </w:r>
      <w:r>
        <w:t>Minister</w:t>
      </w:r>
      <w:r w:rsidR="00CD37C6">
        <w:t xml:space="preserve"> </w:t>
      </w:r>
      <w:r>
        <w:t>for</w:t>
      </w:r>
      <w:r w:rsidR="00CD37C6">
        <w:t xml:space="preserve"> </w:t>
      </w:r>
      <w:r>
        <w:t>Agriculture.</w:t>
      </w:r>
    </w:p>
    <w:p w14:paraId="0E08999C" w14:textId="57382A15" w:rsidR="009F127E" w:rsidRDefault="00000000" w:rsidP="008E4EA4">
      <w:r>
        <w:t>An</w:t>
      </w:r>
      <w:r w:rsidR="00CD37C6">
        <w:t xml:space="preserve"> </w:t>
      </w:r>
      <w:r>
        <w:t>example</w:t>
      </w:r>
      <w:r w:rsidR="00CD37C6">
        <w:t xml:space="preserve"> </w:t>
      </w:r>
      <w:r>
        <w:t>of</w:t>
      </w:r>
      <w:r w:rsidR="00CD37C6">
        <w:t xml:space="preserve"> </w:t>
      </w:r>
      <w:r>
        <w:t>a</w:t>
      </w:r>
      <w:r w:rsidR="00CD37C6">
        <w:t xml:space="preserve"> </w:t>
      </w:r>
      <w:r>
        <w:t>grant</w:t>
      </w:r>
      <w:r w:rsidR="00CD37C6">
        <w:t xml:space="preserve"> </w:t>
      </w:r>
      <w:r>
        <w:t>agreement</w:t>
      </w:r>
      <w:r w:rsidR="00CD37C6">
        <w:t xml:space="preserve"> </w:t>
      </w:r>
      <w:r>
        <w:t>can</w:t>
      </w:r>
      <w:r w:rsidR="00CD37C6">
        <w:t xml:space="preserve"> </w:t>
      </w:r>
      <w:r>
        <w:t>be</w:t>
      </w:r>
      <w:r w:rsidR="00CD37C6">
        <w:t xml:space="preserve"> </w:t>
      </w:r>
      <w:r>
        <w:t>found</w:t>
      </w:r>
      <w:r w:rsidR="00CD37C6">
        <w:t xml:space="preserve"> </w:t>
      </w:r>
      <w:r>
        <w:t>at</w:t>
      </w:r>
      <w:r w:rsidR="00CD37C6">
        <w:t xml:space="preserve"> </w:t>
      </w:r>
      <w:hyperlink r:id="rId10" w:history="1">
        <w:r w:rsidRPr="005C4339">
          <w:rPr>
            <w:rStyle w:val="Hyperlink"/>
          </w:rPr>
          <w:t>agriculture.vic.gov.au/</w:t>
        </w:r>
        <w:proofErr w:type="spellStart"/>
        <w:r w:rsidRPr="005C4339">
          <w:rPr>
            <w:rStyle w:val="Hyperlink"/>
          </w:rPr>
          <w:t>livestockbiosecurityfunds</w:t>
        </w:r>
        <w:proofErr w:type="spellEnd"/>
      </w:hyperlink>
      <w:r>
        <w:t>.</w:t>
      </w:r>
    </w:p>
    <w:p w14:paraId="7AF99FC7" w14:textId="0233D262" w:rsidR="009F127E" w:rsidRPr="005C4339" w:rsidRDefault="00000000" w:rsidP="005C4339">
      <w:pPr>
        <w:pStyle w:val="Normalbeforebullet"/>
        <w:rPr>
          <w:b/>
          <w:bCs/>
        </w:rPr>
      </w:pPr>
      <w:r w:rsidRPr="005C4339">
        <w:rPr>
          <w:b/>
          <w:bCs/>
        </w:rPr>
        <w:lastRenderedPageBreak/>
        <w:t>Post</w:t>
      </w:r>
      <w:r w:rsidR="00CD37C6" w:rsidRPr="005C4339">
        <w:rPr>
          <w:b/>
          <w:bCs/>
        </w:rPr>
        <w:t xml:space="preserve"> </w:t>
      </w:r>
      <w:r w:rsidRPr="005C4339">
        <w:rPr>
          <w:b/>
          <w:bCs/>
        </w:rPr>
        <w:t>Completion</w:t>
      </w:r>
      <w:r w:rsidR="00CD37C6" w:rsidRPr="005C4339">
        <w:rPr>
          <w:b/>
          <w:bCs/>
        </w:rPr>
        <w:t xml:space="preserve"> </w:t>
      </w:r>
      <w:r w:rsidRPr="005C4339">
        <w:rPr>
          <w:b/>
          <w:bCs/>
        </w:rPr>
        <w:t>Evaluation</w:t>
      </w:r>
      <w:r w:rsidR="00CD37C6" w:rsidRPr="005C4339">
        <w:rPr>
          <w:b/>
          <w:bCs/>
        </w:rPr>
        <w:t xml:space="preserve"> </w:t>
      </w:r>
      <w:r w:rsidRPr="005C4339">
        <w:rPr>
          <w:b/>
          <w:bCs/>
        </w:rPr>
        <w:t>Report</w:t>
      </w:r>
    </w:p>
    <w:p w14:paraId="557398A4" w14:textId="3C8FE17C" w:rsidR="009F127E" w:rsidRDefault="00000000" w:rsidP="005C4339">
      <w:pPr>
        <w:pStyle w:val="Normalbeforebullet"/>
      </w:pPr>
      <w:r>
        <w:t>All</w:t>
      </w:r>
      <w:r w:rsidR="00CD37C6">
        <w:t xml:space="preserve"> </w:t>
      </w:r>
      <w:r>
        <w:t>successful</w:t>
      </w:r>
      <w:r w:rsidR="00CD37C6">
        <w:t xml:space="preserve"> </w:t>
      </w:r>
      <w:r>
        <w:t>applicants</w:t>
      </w:r>
      <w:r w:rsidR="00CD37C6">
        <w:t xml:space="preserve"> </w:t>
      </w:r>
      <w:r>
        <w:t>must</w:t>
      </w:r>
      <w:r w:rsidR="00CD37C6">
        <w:t xml:space="preserve"> </w:t>
      </w:r>
      <w:r>
        <w:t>provide</w:t>
      </w:r>
      <w:r w:rsidR="00CD37C6">
        <w:t xml:space="preserve"> </w:t>
      </w:r>
      <w:r>
        <w:t>a</w:t>
      </w:r>
      <w:r w:rsidR="00CD37C6">
        <w:t xml:space="preserve"> </w:t>
      </w:r>
      <w:r>
        <w:t>Post</w:t>
      </w:r>
      <w:r w:rsidR="00CD37C6">
        <w:t xml:space="preserve"> </w:t>
      </w:r>
      <w:r>
        <w:t>Completion</w:t>
      </w:r>
      <w:r w:rsidR="00CD37C6">
        <w:t xml:space="preserve"> </w:t>
      </w:r>
      <w:r>
        <w:t>Evaluation</w:t>
      </w:r>
      <w:r w:rsidR="00CD37C6">
        <w:t xml:space="preserve"> </w:t>
      </w:r>
      <w:r>
        <w:t>Report</w:t>
      </w:r>
      <w:r w:rsidR="00CD37C6">
        <w:t xml:space="preserve"> </w:t>
      </w:r>
      <w:r>
        <w:t>at</w:t>
      </w:r>
      <w:r w:rsidR="00CD37C6">
        <w:t xml:space="preserve"> </w:t>
      </w:r>
      <w:r>
        <w:t>the</w:t>
      </w:r>
      <w:r w:rsidR="00CD37C6">
        <w:t xml:space="preserve"> </w:t>
      </w:r>
      <w:r>
        <w:t>Completion</w:t>
      </w:r>
      <w:r w:rsidR="00CD37C6">
        <w:t xml:space="preserve"> </w:t>
      </w:r>
      <w:r>
        <w:t>Date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Project</w:t>
      </w:r>
      <w:r w:rsidR="00CD37C6">
        <w:t xml:space="preserve"> </w:t>
      </w:r>
      <w:r>
        <w:t>and</w:t>
      </w:r>
      <w:r w:rsidR="00CD37C6">
        <w:t xml:space="preserve"> </w:t>
      </w:r>
      <w:r>
        <w:t>must</w:t>
      </w:r>
      <w:r w:rsidR="00CD37C6">
        <w:t xml:space="preserve"> </w:t>
      </w:r>
      <w:r>
        <w:t>include</w:t>
      </w:r>
      <w:r w:rsidR="00CD37C6">
        <w:t xml:space="preserve"> </w:t>
      </w:r>
      <w:r>
        <w:t>the</w:t>
      </w:r>
      <w:r w:rsidR="00CD37C6">
        <w:t xml:space="preserve"> </w:t>
      </w:r>
      <w:r>
        <w:t>following:</w:t>
      </w:r>
    </w:p>
    <w:p w14:paraId="4EB3B574" w14:textId="28CE2C8D" w:rsidR="009F127E" w:rsidRPr="005C4339" w:rsidRDefault="00000000" w:rsidP="005C4339">
      <w:pPr>
        <w:pStyle w:val="Bullet"/>
      </w:pPr>
      <w:r>
        <w:t>Evaluation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impact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 w:rsidRPr="005C4339">
        <w:t>completed</w:t>
      </w:r>
      <w:r w:rsidR="00CD37C6" w:rsidRPr="005C4339">
        <w:t xml:space="preserve"> </w:t>
      </w:r>
      <w:r w:rsidRPr="005C4339">
        <w:t>project.</w:t>
      </w:r>
    </w:p>
    <w:p w14:paraId="5F44EFDE" w14:textId="2C50BF37" w:rsidR="009F127E" w:rsidRDefault="00000000" w:rsidP="005C4339">
      <w:pPr>
        <w:pStyle w:val="Bullet"/>
      </w:pPr>
      <w:r w:rsidRPr="005C4339">
        <w:t>Evaluation</w:t>
      </w:r>
      <w:r w:rsidR="00CD37C6" w:rsidRPr="005C4339">
        <w:t xml:space="preserve"> </w:t>
      </w:r>
      <w:r w:rsidRPr="005C4339">
        <w:t>of</w:t>
      </w:r>
      <w:r w:rsidR="00CD37C6" w:rsidRPr="005C4339">
        <w:t xml:space="preserve"> </w:t>
      </w:r>
      <w:r w:rsidRPr="005C4339">
        <w:t>how</w:t>
      </w:r>
      <w:r w:rsidR="00CD37C6" w:rsidRPr="005C4339">
        <w:t xml:space="preserve"> </w:t>
      </w:r>
      <w:r w:rsidRPr="005C4339">
        <w:t>the</w:t>
      </w:r>
      <w:r w:rsidR="00CD37C6" w:rsidRPr="005C4339">
        <w:t xml:space="preserve"> </w:t>
      </w:r>
      <w:r w:rsidRPr="005C4339">
        <w:t>project</w:t>
      </w:r>
      <w:r w:rsidR="00CD37C6" w:rsidRPr="005C4339">
        <w:t xml:space="preserve"> </w:t>
      </w:r>
      <w:r w:rsidRPr="005C4339">
        <w:t>has</w:t>
      </w:r>
      <w:r w:rsidR="00CD37C6">
        <w:t xml:space="preserve"> </w:t>
      </w:r>
      <w:r>
        <w:t>met</w:t>
      </w:r>
      <w:r w:rsidR="00CD37C6">
        <w:t xml:space="preserve"> </w:t>
      </w:r>
      <w:r>
        <w:t>the</w:t>
      </w:r>
      <w:r w:rsidR="00CD37C6">
        <w:t xml:space="preserve"> </w:t>
      </w:r>
      <w:r>
        <w:t>objectives</w:t>
      </w:r>
      <w:r w:rsidR="00CD37C6">
        <w:t xml:space="preserve"> </w:t>
      </w:r>
      <w:r>
        <w:t>and</w:t>
      </w:r>
      <w:r w:rsidR="00CD37C6">
        <w:t xml:space="preserve"> </w:t>
      </w:r>
      <w:r>
        <w:t>provided</w:t>
      </w:r>
      <w:r w:rsidR="00CD37C6">
        <w:t xml:space="preserve"> </w:t>
      </w:r>
      <w:r>
        <w:t>benefits</w:t>
      </w:r>
      <w:r w:rsidR="00CD37C6">
        <w:t xml:space="preserve"> </w:t>
      </w:r>
      <w:r>
        <w:t>to</w:t>
      </w:r>
      <w:r w:rsidR="00CD37C6">
        <w:t xml:space="preserve"> </w:t>
      </w:r>
      <w:r>
        <w:t>industry.</w:t>
      </w:r>
    </w:p>
    <w:p w14:paraId="72B2F17C" w14:textId="2C5C244A" w:rsidR="009F127E" w:rsidRDefault="00000000" w:rsidP="005C4339">
      <w:pPr>
        <w:pStyle w:val="Bulletlast"/>
      </w:pPr>
      <w:r>
        <w:t>Evaluation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effectiveness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project</w:t>
      </w:r>
      <w:r w:rsidR="00CD37C6">
        <w:t xml:space="preserve"> </w:t>
      </w:r>
      <w:r>
        <w:t>and</w:t>
      </w:r>
      <w:r w:rsidR="00CD37C6">
        <w:t xml:space="preserve"> </w:t>
      </w:r>
      <w:r>
        <w:t>identified</w:t>
      </w:r>
      <w:r w:rsidR="00CD37C6">
        <w:t xml:space="preserve"> </w:t>
      </w:r>
      <w:r>
        <w:t>improvements.</w:t>
      </w:r>
    </w:p>
    <w:p w14:paraId="55E71A15" w14:textId="34A6BE91" w:rsidR="009F127E" w:rsidRPr="005C4339" w:rsidRDefault="00000000" w:rsidP="005C4339">
      <w:pPr>
        <w:pStyle w:val="Normalbeforebullet"/>
        <w:rPr>
          <w:b/>
          <w:bCs/>
        </w:rPr>
      </w:pPr>
      <w:r w:rsidRPr="005C4339">
        <w:rPr>
          <w:b/>
          <w:bCs/>
        </w:rPr>
        <w:t>Payment</w:t>
      </w:r>
      <w:r w:rsidR="00CD37C6" w:rsidRPr="005C4339">
        <w:rPr>
          <w:b/>
          <w:bCs/>
        </w:rPr>
        <w:t xml:space="preserve"> </w:t>
      </w:r>
      <w:r w:rsidRPr="005C4339">
        <w:rPr>
          <w:b/>
          <w:bCs/>
        </w:rPr>
        <w:t>Conditions</w:t>
      </w:r>
    </w:p>
    <w:p w14:paraId="1DE0712C" w14:textId="063DE334" w:rsidR="009F127E" w:rsidRDefault="00000000" w:rsidP="008E4EA4">
      <w:r>
        <w:t>Grant</w:t>
      </w:r>
      <w:r w:rsidR="00CD37C6">
        <w:t xml:space="preserve"> </w:t>
      </w:r>
      <w:r>
        <w:t>agreements</w:t>
      </w:r>
      <w:r w:rsidR="00CD37C6">
        <w:t xml:space="preserve"> </w:t>
      </w:r>
      <w:r>
        <w:t>are</w:t>
      </w:r>
      <w:r w:rsidR="00CD37C6">
        <w:t xml:space="preserve"> </w:t>
      </w:r>
      <w:r>
        <w:t>structured</w:t>
      </w:r>
      <w:r w:rsidR="00CD37C6">
        <w:t xml:space="preserve"> </w:t>
      </w:r>
      <w:r>
        <w:t>to</w:t>
      </w:r>
      <w:r w:rsidR="00CD37C6">
        <w:t xml:space="preserve"> </w:t>
      </w:r>
      <w:r>
        <w:t>ensure</w:t>
      </w:r>
      <w:r w:rsidR="00CD37C6">
        <w:t xml:space="preserve"> </w:t>
      </w:r>
      <w:r>
        <w:t>that</w:t>
      </w:r>
      <w:r w:rsidR="00CD37C6">
        <w:t xml:space="preserve"> </w:t>
      </w:r>
      <w:r>
        <w:t>funds</w:t>
      </w:r>
      <w:r w:rsidR="00CD37C6">
        <w:t xml:space="preserve"> </w:t>
      </w:r>
      <w:r>
        <w:t>are</w:t>
      </w:r>
      <w:r w:rsidR="00CD37C6">
        <w:t xml:space="preserve"> </w:t>
      </w:r>
      <w:r>
        <w:t>paid</w:t>
      </w:r>
      <w:r w:rsidR="00CD37C6">
        <w:t xml:space="preserve"> </w:t>
      </w:r>
      <w:r>
        <w:t>in</w:t>
      </w:r>
      <w:r w:rsidR="00CD37C6">
        <w:t xml:space="preserve"> </w:t>
      </w:r>
      <w:r>
        <w:t>instalments</w:t>
      </w:r>
      <w:r w:rsidR="00CD37C6">
        <w:t xml:space="preserve"> </w:t>
      </w:r>
      <w:r>
        <w:t>corresponding</w:t>
      </w:r>
      <w:r w:rsidR="00CD37C6">
        <w:t xml:space="preserve"> </w:t>
      </w:r>
      <w:r>
        <w:t>to</w:t>
      </w:r>
      <w:r w:rsidR="00CD37C6">
        <w:t xml:space="preserve"> </w:t>
      </w:r>
      <w:r>
        <w:t>the</w:t>
      </w:r>
      <w:r w:rsidR="00CD37C6">
        <w:t xml:space="preserve"> </w:t>
      </w:r>
      <w:r>
        <w:t>delivery</w:t>
      </w:r>
      <w:r w:rsidR="00CD37C6">
        <w:t xml:space="preserve"> </w:t>
      </w:r>
      <w:r>
        <w:t>against</w:t>
      </w:r>
      <w:r w:rsidR="00CD37C6">
        <w:t xml:space="preserve"> </w:t>
      </w:r>
      <w:r>
        <w:t>agreed</w:t>
      </w:r>
      <w:r w:rsidR="00CD37C6">
        <w:t xml:space="preserve"> </w:t>
      </w:r>
      <w:r>
        <w:t>milestones</w:t>
      </w:r>
      <w:r w:rsidR="00CD37C6">
        <w:t xml:space="preserve"> </w:t>
      </w:r>
      <w:r>
        <w:t>and</w:t>
      </w:r>
      <w:r w:rsidR="00CD37C6">
        <w:t xml:space="preserve"> </w:t>
      </w:r>
      <w:r>
        <w:t>payments</w:t>
      </w:r>
      <w:r w:rsidR="00CD37C6">
        <w:t xml:space="preserve"> </w:t>
      </w:r>
      <w:r>
        <w:t>proportional</w:t>
      </w:r>
      <w:r w:rsidR="00CD37C6">
        <w:t xml:space="preserve"> </w:t>
      </w:r>
      <w:r>
        <w:t>to</w:t>
      </w:r>
      <w:r w:rsidR="00CD37C6">
        <w:t xml:space="preserve"> </w:t>
      </w:r>
      <w:r>
        <w:t>the</w:t>
      </w:r>
      <w:r w:rsidR="00CD37C6">
        <w:t xml:space="preserve"> </w:t>
      </w:r>
      <w:r>
        <w:t>size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project</w:t>
      </w:r>
      <w:r w:rsidR="00CD37C6">
        <w:t xml:space="preserve"> </w:t>
      </w:r>
      <w:r>
        <w:t>expenditure</w:t>
      </w:r>
      <w:r w:rsidR="00CD37C6">
        <w:t xml:space="preserve"> </w:t>
      </w:r>
      <w:r>
        <w:t>or</w:t>
      </w:r>
      <w:r w:rsidR="00CD37C6">
        <w:t xml:space="preserve"> </w:t>
      </w:r>
      <w:r>
        <w:t>pro</w:t>
      </w:r>
      <w:r>
        <w:rPr>
          <w:rFonts w:ascii="Cambria Math" w:hAnsi="Cambria Math" w:cs="Cambria Math"/>
        </w:rPr>
        <w:t>‑</w:t>
      </w:r>
      <w:r>
        <w:t>rata</w:t>
      </w:r>
      <w:r w:rsidR="00CD37C6">
        <w:t xml:space="preserve"> </w:t>
      </w:r>
      <w:r>
        <w:t>against</w:t>
      </w:r>
      <w:r w:rsidR="00CD37C6">
        <w:t xml:space="preserve"> </w:t>
      </w:r>
      <w:r>
        <w:t>deliverables.</w:t>
      </w:r>
      <w:r w:rsidR="00CD37C6">
        <w:t xml:space="preserve"> </w:t>
      </w:r>
    </w:p>
    <w:p w14:paraId="46625AC8" w14:textId="6CFC3001" w:rsidR="009F127E" w:rsidRDefault="00000000" w:rsidP="008E4EA4">
      <w:r>
        <w:t>Grant</w:t>
      </w:r>
      <w:r w:rsidR="00CD37C6">
        <w:t xml:space="preserve"> </w:t>
      </w:r>
      <w:r>
        <w:t>payments</w:t>
      </w:r>
      <w:r w:rsidR="00CD37C6">
        <w:t xml:space="preserve"> </w:t>
      </w:r>
      <w:r>
        <w:t>will</w:t>
      </w:r>
      <w:r w:rsidR="00CD37C6">
        <w:t xml:space="preserve"> </w:t>
      </w:r>
      <w:r>
        <w:t>only</w:t>
      </w:r>
      <w:r w:rsidR="00CD37C6">
        <w:t xml:space="preserve"> </w:t>
      </w:r>
      <w:r>
        <w:t>be</w:t>
      </w:r>
      <w:r w:rsidR="00CD37C6">
        <w:t xml:space="preserve"> </w:t>
      </w:r>
      <w:r>
        <w:t>made</w:t>
      </w:r>
      <w:r w:rsidR="00CD37C6">
        <w:t xml:space="preserve"> </w:t>
      </w:r>
      <w:r>
        <w:t>as</w:t>
      </w:r>
      <w:r w:rsidR="00CD37C6">
        <w:t xml:space="preserve"> </w:t>
      </w:r>
      <w:r>
        <w:t>per</w:t>
      </w:r>
      <w:r w:rsidR="00CD37C6">
        <w:t xml:space="preserve"> </w:t>
      </w:r>
      <w:r>
        <w:t>the</w:t>
      </w:r>
      <w:r w:rsidR="00CD37C6">
        <w:t xml:space="preserve"> </w:t>
      </w:r>
      <w:r>
        <w:t>executed</w:t>
      </w:r>
      <w:r w:rsidR="00CD37C6">
        <w:t xml:space="preserve"> </w:t>
      </w:r>
      <w:r>
        <w:t>grant</w:t>
      </w:r>
      <w:r w:rsidR="00CD37C6">
        <w:t xml:space="preserve"> </w:t>
      </w:r>
      <w:r>
        <w:t>agreement.</w:t>
      </w:r>
    </w:p>
    <w:p w14:paraId="46419488" w14:textId="66A59C10" w:rsidR="009F127E" w:rsidRDefault="00000000" w:rsidP="008E4EA4">
      <w:r>
        <w:t>All</w:t>
      </w:r>
      <w:r w:rsidR="00CD37C6">
        <w:t xml:space="preserve"> </w:t>
      </w:r>
      <w:r>
        <w:t>project</w:t>
      </w:r>
      <w:r w:rsidR="00CD37C6">
        <w:t xml:space="preserve"> </w:t>
      </w:r>
      <w:r>
        <w:t>expenditure</w:t>
      </w:r>
      <w:r w:rsidR="00CD37C6">
        <w:t xml:space="preserve"> </w:t>
      </w:r>
      <w:r>
        <w:t>is</w:t>
      </w:r>
      <w:r w:rsidR="00CD37C6">
        <w:t xml:space="preserve"> </w:t>
      </w:r>
      <w:r>
        <w:t>to</w:t>
      </w:r>
      <w:r w:rsidR="00CD37C6">
        <w:t xml:space="preserve"> </w:t>
      </w:r>
      <w:r>
        <w:t>be</w:t>
      </w:r>
      <w:r w:rsidR="00CD37C6">
        <w:t xml:space="preserve"> </w:t>
      </w:r>
      <w:r>
        <w:t>incurred</w:t>
      </w:r>
      <w:r w:rsidR="00CD37C6">
        <w:t xml:space="preserve"> </w:t>
      </w:r>
      <w:r>
        <w:t>only</w:t>
      </w:r>
      <w:r w:rsidR="00CD37C6">
        <w:t xml:space="preserve"> </w:t>
      </w:r>
      <w:r>
        <w:t>after</w:t>
      </w:r>
      <w:r w:rsidR="00CD37C6">
        <w:t xml:space="preserve"> </w:t>
      </w:r>
      <w:r>
        <w:t>the</w:t>
      </w:r>
      <w:r w:rsidR="00CD37C6">
        <w:t xml:space="preserve"> </w:t>
      </w:r>
      <w:r>
        <w:t>grant</w:t>
      </w:r>
      <w:r w:rsidR="00CD37C6">
        <w:t xml:space="preserve"> </w:t>
      </w:r>
      <w:r>
        <w:t>agreement</w:t>
      </w:r>
      <w:r w:rsidR="00CD37C6">
        <w:t xml:space="preserve"> </w:t>
      </w:r>
      <w:r>
        <w:rPr>
          <w:spacing w:val="-2"/>
        </w:rPr>
        <w:t>has</w:t>
      </w:r>
      <w:r w:rsidR="00CD37C6">
        <w:rPr>
          <w:spacing w:val="-2"/>
        </w:rPr>
        <w:t xml:space="preserve"> </w:t>
      </w:r>
      <w:r>
        <w:rPr>
          <w:spacing w:val="-2"/>
        </w:rPr>
        <w:t>been</w:t>
      </w:r>
      <w:r w:rsidR="00CD37C6">
        <w:rPr>
          <w:spacing w:val="-2"/>
        </w:rPr>
        <w:t xml:space="preserve"> </w:t>
      </w:r>
      <w:r>
        <w:rPr>
          <w:spacing w:val="-2"/>
        </w:rPr>
        <w:t>executed.</w:t>
      </w:r>
      <w:r w:rsidR="00CD37C6">
        <w:rPr>
          <w:spacing w:val="-2"/>
        </w:rPr>
        <w:t xml:space="preserve"> </w:t>
      </w:r>
      <w:r>
        <w:rPr>
          <w:spacing w:val="-2"/>
        </w:rPr>
        <w:t>Funding</w:t>
      </w:r>
      <w:r w:rsidR="00CD37C6">
        <w:rPr>
          <w:spacing w:val="-2"/>
        </w:rPr>
        <w:t xml:space="preserve"> </w:t>
      </w:r>
      <w:r>
        <w:rPr>
          <w:spacing w:val="-2"/>
        </w:rPr>
        <w:t>will</w:t>
      </w:r>
      <w:r w:rsidR="00CD37C6">
        <w:rPr>
          <w:spacing w:val="-2"/>
        </w:rPr>
        <w:t xml:space="preserve"> </w:t>
      </w:r>
      <w:r>
        <w:rPr>
          <w:spacing w:val="-2"/>
        </w:rPr>
        <w:t>not</w:t>
      </w:r>
      <w:r w:rsidR="00CD37C6">
        <w:rPr>
          <w:spacing w:val="-2"/>
        </w:rPr>
        <w:t xml:space="preserve"> </w:t>
      </w:r>
      <w:r>
        <w:rPr>
          <w:spacing w:val="-2"/>
        </w:rPr>
        <w:t>be</w:t>
      </w:r>
      <w:r w:rsidR="00CD37C6">
        <w:rPr>
          <w:spacing w:val="-2"/>
        </w:rPr>
        <w:t xml:space="preserve"> </w:t>
      </w:r>
      <w:r>
        <w:rPr>
          <w:spacing w:val="-2"/>
        </w:rPr>
        <w:t>provided</w:t>
      </w:r>
      <w:r w:rsidR="00CD37C6">
        <w:rPr>
          <w:spacing w:val="-2"/>
        </w:rPr>
        <w:t xml:space="preserve"> </w:t>
      </w:r>
      <w:r>
        <w:rPr>
          <w:spacing w:val="-2"/>
        </w:rPr>
        <w:t>for</w:t>
      </w:r>
      <w:r w:rsidR="00CD37C6">
        <w:rPr>
          <w:spacing w:val="-2"/>
        </w:rPr>
        <w:t xml:space="preserve"> </w:t>
      </w:r>
      <w:r>
        <w:rPr>
          <w:spacing w:val="-2"/>
        </w:rPr>
        <w:t>retrospective</w:t>
      </w:r>
      <w:r w:rsidR="00CD37C6">
        <w:rPr>
          <w:spacing w:val="-2"/>
        </w:rPr>
        <w:t xml:space="preserve"> </w:t>
      </w:r>
      <w:r>
        <w:rPr>
          <w:spacing w:val="-2"/>
        </w:rPr>
        <w:t>activities</w:t>
      </w:r>
      <w:r w:rsidR="00CD37C6">
        <w:t xml:space="preserve"> </w:t>
      </w:r>
      <w:r>
        <w:t>prior</w:t>
      </w:r>
      <w:r w:rsidR="00CD37C6">
        <w:t xml:space="preserve"> </w:t>
      </w:r>
      <w:r>
        <w:t>to</w:t>
      </w:r>
      <w:r w:rsidR="00CD37C6">
        <w:t xml:space="preserve"> </w:t>
      </w:r>
      <w:r>
        <w:t>execution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grant</w:t>
      </w:r>
      <w:r w:rsidR="00CD37C6">
        <w:t xml:space="preserve"> </w:t>
      </w:r>
      <w:r>
        <w:t>agreement.</w:t>
      </w:r>
    </w:p>
    <w:p w14:paraId="5CEBF222" w14:textId="604898C8" w:rsidR="009F127E" w:rsidRDefault="00000000" w:rsidP="008E4EA4">
      <w:r>
        <w:t>Applicants</w:t>
      </w:r>
      <w:r w:rsidR="00CD37C6">
        <w:t xml:space="preserve"> </w:t>
      </w:r>
      <w:r>
        <w:t>will</w:t>
      </w:r>
      <w:r w:rsidR="00CD37C6">
        <w:t xml:space="preserve"> </w:t>
      </w:r>
      <w:r>
        <w:t>need</w:t>
      </w:r>
      <w:r w:rsidR="00CD37C6">
        <w:t xml:space="preserve"> </w:t>
      </w:r>
      <w:r>
        <w:t>to</w:t>
      </w:r>
      <w:r w:rsidR="00CD37C6">
        <w:t xml:space="preserve"> </w:t>
      </w:r>
      <w:r>
        <w:t>meet</w:t>
      </w:r>
      <w:r w:rsidR="00CD37C6">
        <w:t xml:space="preserve"> </w:t>
      </w:r>
      <w:r>
        <w:t>the</w:t>
      </w:r>
      <w:r w:rsidR="00CD37C6">
        <w:t xml:space="preserve"> </w:t>
      </w:r>
      <w:r>
        <w:t>cost</w:t>
      </w:r>
      <w:r w:rsidR="00CD37C6">
        <w:t xml:space="preserve"> </w:t>
      </w:r>
      <w:r>
        <w:t>of</w:t>
      </w:r>
      <w:r w:rsidR="00CD37C6">
        <w:t xml:space="preserve"> </w:t>
      </w:r>
      <w:r>
        <w:t>any</w:t>
      </w:r>
      <w:r w:rsidR="00CD37C6">
        <w:t xml:space="preserve"> </w:t>
      </w:r>
      <w:r>
        <w:t>ineligible</w:t>
      </w:r>
      <w:r w:rsidR="00CD37C6">
        <w:t xml:space="preserve"> </w:t>
      </w:r>
      <w:r>
        <w:t>expenditure</w:t>
      </w:r>
      <w:r w:rsidR="00CD37C6">
        <w:t xml:space="preserve"> </w:t>
      </w:r>
      <w:r>
        <w:t>associated</w:t>
      </w:r>
      <w:r w:rsidR="00CD37C6">
        <w:t xml:space="preserve"> </w:t>
      </w:r>
      <w:r>
        <w:t>with</w:t>
      </w:r>
      <w:r w:rsidR="00CD37C6">
        <w:t xml:space="preserve"> </w:t>
      </w:r>
      <w:r>
        <w:t>their</w:t>
      </w:r>
      <w:r w:rsidR="00CD37C6">
        <w:t xml:space="preserve"> </w:t>
      </w:r>
      <w:r>
        <w:t>project.</w:t>
      </w:r>
    </w:p>
    <w:p w14:paraId="62B4DC30" w14:textId="7F98F795" w:rsidR="009F127E" w:rsidRDefault="00000000" w:rsidP="008E4EA4">
      <w:r>
        <w:t>Projects</w:t>
      </w:r>
      <w:r w:rsidR="00CD37C6">
        <w:t xml:space="preserve"> </w:t>
      </w:r>
      <w:r>
        <w:t>that</w:t>
      </w:r>
      <w:r w:rsidR="00CD37C6">
        <w:t xml:space="preserve"> </w:t>
      </w:r>
      <w:r>
        <w:t>are</w:t>
      </w:r>
      <w:r w:rsidR="00CD37C6">
        <w:t xml:space="preserve"> </w:t>
      </w:r>
      <w:r>
        <w:t>completed</w:t>
      </w:r>
      <w:r w:rsidR="00CD37C6">
        <w:t xml:space="preserve"> </w:t>
      </w:r>
      <w:r>
        <w:t>for</w:t>
      </w:r>
      <w:r w:rsidR="00CD37C6">
        <w:t xml:space="preserve"> </w:t>
      </w:r>
      <w:r>
        <w:t>less</w:t>
      </w:r>
      <w:r w:rsidR="00CD37C6">
        <w:t xml:space="preserve"> </w:t>
      </w:r>
      <w:r>
        <w:t>than</w:t>
      </w:r>
      <w:r w:rsidR="00CD37C6">
        <w:t xml:space="preserve"> </w:t>
      </w:r>
      <w:r>
        <w:t>the</w:t>
      </w:r>
      <w:r w:rsidR="00CD37C6">
        <w:t xml:space="preserve"> </w:t>
      </w:r>
      <w:r>
        <w:t>expected</w:t>
      </w:r>
      <w:r w:rsidR="00CD37C6">
        <w:t xml:space="preserve"> </w:t>
      </w:r>
      <w:r>
        <w:t>budget,</w:t>
      </w:r>
      <w:r w:rsidR="00CD37C6">
        <w:t xml:space="preserve"> </w:t>
      </w:r>
      <w:r>
        <w:t>will</w:t>
      </w:r>
      <w:r w:rsidR="00CD37C6">
        <w:t xml:space="preserve"> </w:t>
      </w:r>
      <w:r>
        <w:t>be</w:t>
      </w:r>
      <w:r w:rsidR="00CD37C6">
        <w:t xml:space="preserve"> </w:t>
      </w:r>
      <w:r>
        <w:t>paid</w:t>
      </w:r>
      <w:r w:rsidR="00CD37C6">
        <w:t xml:space="preserve"> </w:t>
      </w:r>
      <w:r>
        <w:t>on</w:t>
      </w:r>
      <w:r w:rsidR="00CD37C6">
        <w:t xml:space="preserve"> </w:t>
      </w:r>
      <w:r>
        <w:t>a</w:t>
      </w:r>
      <w:r w:rsidR="00CD37C6">
        <w:t xml:space="preserve"> </w:t>
      </w:r>
      <w:r>
        <w:t>pro</w:t>
      </w:r>
      <w:r w:rsidR="00CD37C6">
        <w:t xml:space="preserve"> </w:t>
      </w:r>
      <w:r>
        <w:t>rata</w:t>
      </w:r>
      <w:r w:rsidR="00CD37C6">
        <w:t xml:space="preserve"> </w:t>
      </w:r>
      <w:r>
        <w:t>basis.</w:t>
      </w:r>
    </w:p>
    <w:p w14:paraId="4F701579" w14:textId="4D15204B" w:rsidR="009F127E" w:rsidRDefault="00000000" w:rsidP="008E4EA4">
      <w:pPr>
        <w:pStyle w:val="Heading2"/>
      </w:pPr>
      <w:bookmarkStart w:id="7" w:name="_Toc116548265"/>
      <w:r>
        <w:t>7.</w:t>
      </w:r>
      <w:r>
        <w:tab/>
      </w:r>
      <w:r w:rsidR="009B4482">
        <w:t xml:space="preserve"> </w:t>
      </w:r>
      <w:r>
        <w:t>TARGETED</w:t>
      </w:r>
      <w:r w:rsidR="00CD37C6">
        <w:t xml:space="preserve"> </w:t>
      </w:r>
      <w:r>
        <w:t>APPLICATION</w:t>
      </w:r>
      <w:r w:rsidR="00CD37C6">
        <w:t xml:space="preserve"> </w:t>
      </w:r>
      <w:r>
        <w:t>PROCESS</w:t>
      </w:r>
      <w:bookmarkEnd w:id="7"/>
    </w:p>
    <w:p w14:paraId="19F49C59" w14:textId="4BDA495F" w:rsidR="009F127E" w:rsidRDefault="00000000" w:rsidP="008E4EA4">
      <w:r>
        <w:t>If</w:t>
      </w:r>
      <w:r w:rsidR="00CD37C6">
        <w:t xml:space="preserve"> </w:t>
      </w:r>
      <w:r>
        <w:t>there</w:t>
      </w:r>
      <w:r w:rsidR="00CD37C6">
        <w:t xml:space="preserve"> </w:t>
      </w:r>
      <w:r>
        <w:t>are</w:t>
      </w:r>
      <w:r w:rsidR="00CD37C6">
        <w:t xml:space="preserve"> </w:t>
      </w:r>
      <w:r>
        <w:t>obvious</w:t>
      </w:r>
      <w:r w:rsidR="00CD37C6">
        <w:t xml:space="preserve"> </w:t>
      </w:r>
      <w:r>
        <w:t>gaps</w:t>
      </w:r>
      <w:r w:rsidR="00CD37C6">
        <w:t xml:space="preserve"> </w:t>
      </w:r>
      <w:r>
        <w:t>in</w:t>
      </w:r>
      <w:r w:rsidR="00CD37C6">
        <w:t xml:space="preserve"> </w:t>
      </w:r>
      <w:r>
        <w:t>projects</w:t>
      </w:r>
      <w:r w:rsidR="00CD37C6">
        <w:t xml:space="preserve"> </w:t>
      </w:r>
      <w:r>
        <w:t>or</w:t>
      </w:r>
      <w:r w:rsidR="00CD37C6">
        <w:t xml:space="preserve"> </w:t>
      </w:r>
      <w:r>
        <w:t>programs</w:t>
      </w:r>
      <w:r w:rsidR="00CD37C6">
        <w:t xml:space="preserve"> </w:t>
      </w:r>
      <w:r>
        <w:t>needed</w:t>
      </w:r>
      <w:r w:rsidR="00CD37C6">
        <w:t xml:space="preserve"> </w:t>
      </w:r>
      <w:r>
        <w:t>to</w:t>
      </w:r>
      <w:r w:rsidR="00CD37C6">
        <w:t xml:space="preserve"> </w:t>
      </w:r>
      <w:r>
        <w:t>meet</w:t>
      </w:r>
      <w:r w:rsidR="00CD37C6">
        <w:t xml:space="preserve"> </w:t>
      </w:r>
      <w:r>
        <w:t>the</w:t>
      </w:r>
      <w:r w:rsidR="00CD37C6">
        <w:t xml:space="preserve"> </w:t>
      </w:r>
      <w:r>
        <w:t>statement</w:t>
      </w:r>
      <w:r w:rsidR="00CD37C6">
        <w:t xml:space="preserve"> </w:t>
      </w:r>
      <w:r>
        <w:t>of</w:t>
      </w:r>
      <w:r w:rsidR="00CD37C6">
        <w:t xml:space="preserve"> </w:t>
      </w:r>
      <w:r>
        <w:t>strategic</w:t>
      </w:r>
      <w:r w:rsidR="00CD37C6">
        <w:t xml:space="preserve"> </w:t>
      </w:r>
      <w:r>
        <w:t>intent</w:t>
      </w:r>
      <w:r w:rsidR="00CD37C6">
        <w:t xml:space="preserve"> </w:t>
      </w:r>
      <w:r>
        <w:t>for</w:t>
      </w:r>
      <w:r w:rsidR="00CD37C6">
        <w:t xml:space="preserve"> </w:t>
      </w:r>
      <w:r>
        <w:t>the</w:t>
      </w:r>
      <w:r w:rsidR="00CD37C6">
        <w:t xml:space="preserve"> </w:t>
      </w:r>
      <w:r>
        <w:t>respective</w:t>
      </w:r>
      <w:r w:rsidR="00CD37C6">
        <w:t xml:space="preserve"> </w:t>
      </w:r>
      <w:r>
        <w:t>funds,</w:t>
      </w:r>
      <w:r w:rsidR="00CD37C6">
        <w:t xml:space="preserve"> </w:t>
      </w:r>
      <w:r>
        <w:t>the</w:t>
      </w:r>
      <w:r w:rsidR="00CD37C6">
        <w:t xml:space="preserve"> </w:t>
      </w:r>
      <w:r>
        <w:t>Department,</w:t>
      </w:r>
      <w:r w:rsidR="00CD37C6">
        <w:t xml:space="preserve"> </w:t>
      </w:r>
      <w:r>
        <w:t>upon</w:t>
      </w:r>
      <w:r w:rsidR="00CD37C6">
        <w:t xml:space="preserve"> </w:t>
      </w:r>
      <w:r>
        <w:t>the</w:t>
      </w:r>
      <w:r w:rsidR="00CD37C6">
        <w:t xml:space="preserve"> </w:t>
      </w:r>
      <w:r>
        <w:t>advice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advisory</w:t>
      </w:r>
      <w:r w:rsidR="00CD37C6">
        <w:t xml:space="preserve"> </w:t>
      </w:r>
      <w:r>
        <w:t>committees,</w:t>
      </w:r>
      <w:r w:rsidR="00CD37C6">
        <w:t xml:space="preserve"> </w:t>
      </w:r>
      <w:r>
        <w:t>can</w:t>
      </w:r>
      <w:r w:rsidR="00CD37C6">
        <w:t xml:space="preserve"> </w:t>
      </w:r>
      <w:r>
        <w:t>undertake</w:t>
      </w:r>
      <w:r w:rsidR="00CD37C6">
        <w:t xml:space="preserve"> </w:t>
      </w:r>
      <w:r>
        <w:t>a</w:t>
      </w:r>
      <w:r w:rsidR="00CD37C6">
        <w:t xml:space="preserve"> </w:t>
      </w:r>
      <w:r>
        <w:t>targeted</w:t>
      </w:r>
      <w:r w:rsidR="00CD37C6">
        <w:t xml:space="preserve"> </w:t>
      </w:r>
      <w:r>
        <w:t>approach,</w:t>
      </w:r>
      <w:r w:rsidR="00CD37C6">
        <w:t xml:space="preserve"> </w:t>
      </w:r>
      <w:r>
        <w:t>pending</w:t>
      </w:r>
      <w:r w:rsidR="00CD37C6">
        <w:t xml:space="preserve"> </w:t>
      </w:r>
      <w:r>
        <w:t>available</w:t>
      </w:r>
      <w:r w:rsidR="00CD37C6">
        <w:t xml:space="preserve"> </w:t>
      </w:r>
      <w:r>
        <w:t>funds.</w:t>
      </w:r>
      <w:r w:rsidR="00CD37C6">
        <w:t xml:space="preserve"> </w:t>
      </w:r>
    </w:p>
    <w:p w14:paraId="581ED08E" w14:textId="061F52D7" w:rsidR="009F127E" w:rsidRPr="009B4482" w:rsidRDefault="00000000" w:rsidP="008E4EA4">
      <w:pPr>
        <w:rPr>
          <w:spacing w:val="-2"/>
        </w:rPr>
      </w:pPr>
      <w:r w:rsidRPr="009B4482">
        <w:rPr>
          <w:spacing w:val="-2"/>
        </w:rPr>
        <w:t>A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targeted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process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will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be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used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where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there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are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few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providers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available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in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the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market,</w:t>
      </w:r>
      <w:r w:rsidR="00CD37C6" w:rsidRPr="009B4482">
        <w:rPr>
          <w:spacing w:val="-2"/>
        </w:rPr>
        <w:t xml:space="preserve"> </w:t>
      </w:r>
      <w:proofErr w:type="gramStart"/>
      <w:r w:rsidRPr="009B4482">
        <w:rPr>
          <w:spacing w:val="-2"/>
        </w:rPr>
        <w:t>as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a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result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of</w:t>
      </w:r>
      <w:proofErr w:type="gramEnd"/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the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highly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specialised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service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or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expertise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required,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geographical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consideration,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or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time</w:t>
      </w:r>
      <w:r w:rsidR="00CD37C6" w:rsidRPr="009B4482">
        <w:rPr>
          <w:spacing w:val="-2"/>
        </w:rPr>
        <w:t xml:space="preserve"> </w:t>
      </w:r>
      <w:r w:rsidRPr="009B4482">
        <w:rPr>
          <w:spacing w:val="-2"/>
        </w:rPr>
        <w:t>constraints.</w:t>
      </w:r>
      <w:r w:rsidR="00CD37C6" w:rsidRPr="009B4482">
        <w:rPr>
          <w:spacing w:val="-2"/>
        </w:rPr>
        <w:t xml:space="preserve"> </w:t>
      </w:r>
    </w:p>
    <w:p w14:paraId="3133C9B4" w14:textId="176AD8AE" w:rsidR="009F127E" w:rsidRDefault="00000000" w:rsidP="008E4EA4">
      <w:r>
        <w:t>Targeted</w:t>
      </w:r>
      <w:r w:rsidR="00CD37C6">
        <w:t xml:space="preserve"> </w:t>
      </w:r>
      <w:r>
        <w:t>projects</w:t>
      </w:r>
      <w:r w:rsidR="00CD37C6">
        <w:t xml:space="preserve"> </w:t>
      </w:r>
      <w:r>
        <w:t>will</w:t>
      </w:r>
      <w:r w:rsidR="00CD37C6">
        <w:t xml:space="preserve"> </w:t>
      </w:r>
      <w:r>
        <w:t>be</w:t>
      </w:r>
      <w:r w:rsidR="00CD37C6">
        <w:t xml:space="preserve"> </w:t>
      </w:r>
      <w:r>
        <w:t>required</w:t>
      </w:r>
      <w:r w:rsidR="00CD37C6">
        <w:t xml:space="preserve"> </w:t>
      </w:r>
      <w:r>
        <w:t>to</w:t>
      </w:r>
      <w:r w:rsidR="00CD37C6">
        <w:t xml:space="preserve"> </w:t>
      </w:r>
      <w:r>
        <w:t>complete</w:t>
      </w:r>
      <w:r w:rsidR="00CD37C6">
        <w:t xml:space="preserve"> </w:t>
      </w:r>
      <w:r>
        <w:t>the</w:t>
      </w:r>
      <w:r w:rsidR="00CD37C6">
        <w:t xml:space="preserve"> </w:t>
      </w:r>
      <w:r>
        <w:t>same</w:t>
      </w:r>
      <w:r w:rsidR="00CD37C6">
        <w:t xml:space="preserve"> </w:t>
      </w:r>
      <w:r>
        <w:t>assessment</w:t>
      </w:r>
      <w:r w:rsidR="00CD37C6">
        <w:t xml:space="preserve"> </w:t>
      </w:r>
      <w:r>
        <w:t>criteria</w:t>
      </w:r>
      <w:r w:rsidR="00CD37C6">
        <w:t xml:space="preserve"> </w:t>
      </w:r>
      <w:r>
        <w:t>and</w:t>
      </w:r>
      <w:r w:rsidR="00CD37C6">
        <w:t xml:space="preserve"> </w:t>
      </w:r>
      <w:r>
        <w:t>selection</w:t>
      </w:r>
      <w:r w:rsidR="00CD37C6">
        <w:t xml:space="preserve"> </w:t>
      </w:r>
      <w:r>
        <w:t>process</w:t>
      </w:r>
      <w:r w:rsidR="00CD37C6">
        <w:t xml:space="preserve"> </w:t>
      </w:r>
      <w:r>
        <w:t>as</w:t>
      </w:r>
      <w:r w:rsidR="00CD37C6">
        <w:t xml:space="preserve"> </w:t>
      </w:r>
      <w:r>
        <w:t>the</w:t>
      </w:r>
      <w:r w:rsidR="00CD37C6">
        <w:t xml:space="preserve"> </w:t>
      </w:r>
      <w:r>
        <w:t>competitive</w:t>
      </w:r>
      <w:r w:rsidR="00CD37C6">
        <w:t xml:space="preserve"> </w:t>
      </w:r>
      <w:r>
        <w:t>funding</w:t>
      </w:r>
      <w:r w:rsidR="00CD37C6">
        <w:t xml:space="preserve"> </w:t>
      </w:r>
      <w:r>
        <w:t>round.</w:t>
      </w:r>
    </w:p>
    <w:p w14:paraId="2ACDCA5F" w14:textId="246108E4" w:rsidR="009F127E" w:rsidRDefault="00000000" w:rsidP="008E4EA4">
      <w:pPr>
        <w:pStyle w:val="Heading2"/>
      </w:pPr>
      <w:bookmarkStart w:id="8" w:name="_Toc116548266"/>
      <w:r>
        <w:t>8.</w:t>
      </w:r>
      <w:r>
        <w:tab/>
      </w:r>
      <w:r w:rsidR="009B4482">
        <w:t xml:space="preserve"> </w:t>
      </w:r>
      <w:r>
        <w:t>TERMS</w:t>
      </w:r>
      <w:r w:rsidR="00CD37C6">
        <w:t xml:space="preserve"> </w:t>
      </w:r>
      <w:r>
        <w:t>AND</w:t>
      </w:r>
      <w:r w:rsidR="00CD37C6">
        <w:t xml:space="preserve"> </w:t>
      </w:r>
      <w:r>
        <w:t>CONDITIONS</w:t>
      </w:r>
      <w:bookmarkEnd w:id="8"/>
    </w:p>
    <w:p w14:paraId="33D95908" w14:textId="1A85E424" w:rsidR="009F127E" w:rsidRPr="005C4339" w:rsidRDefault="00000000" w:rsidP="005C4339">
      <w:pPr>
        <w:pStyle w:val="Normalbeforebullet"/>
        <w:rPr>
          <w:b/>
          <w:bCs/>
        </w:rPr>
      </w:pPr>
      <w:r w:rsidRPr="005C4339">
        <w:rPr>
          <w:b/>
          <w:bCs/>
        </w:rPr>
        <w:t>Commercially</w:t>
      </w:r>
      <w:r w:rsidR="00CD37C6" w:rsidRPr="005C4339">
        <w:rPr>
          <w:b/>
          <w:bCs/>
        </w:rPr>
        <w:t xml:space="preserve"> </w:t>
      </w:r>
      <w:r w:rsidRPr="005C4339">
        <w:rPr>
          <w:b/>
          <w:bCs/>
        </w:rPr>
        <w:t>sensitive</w:t>
      </w:r>
      <w:r w:rsidR="00CD37C6" w:rsidRPr="005C4339">
        <w:rPr>
          <w:b/>
          <w:bCs/>
        </w:rPr>
        <w:t xml:space="preserve"> </w:t>
      </w:r>
      <w:r w:rsidRPr="005C4339">
        <w:rPr>
          <w:b/>
          <w:bCs/>
        </w:rPr>
        <w:t>information</w:t>
      </w:r>
    </w:p>
    <w:p w14:paraId="34395C6D" w14:textId="541F3CEC" w:rsidR="009F127E" w:rsidRDefault="00000000" w:rsidP="008E4EA4">
      <w:r>
        <w:t>If</w:t>
      </w:r>
      <w:r w:rsidR="00CD37C6">
        <w:t xml:space="preserve"> </w:t>
      </w:r>
      <w:r>
        <w:t>an</w:t>
      </w:r>
      <w:r w:rsidR="00CD37C6">
        <w:t xml:space="preserve"> </w:t>
      </w:r>
      <w:r>
        <w:t>applicant</w:t>
      </w:r>
      <w:r w:rsidR="00CD37C6">
        <w:t xml:space="preserve"> </w:t>
      </w:r>
      <w:r>
        <w:t>wishes</w:t>
      </w:r>
      <w:r w:rsidR="00CD37C6">
        <w:t xml:space="preserve"> </w:t>
      </w:r>
      <w:r>
        <w:t>to</w:t>
      </w:r>
      <w:r w:rsidR="00CD37C6">
        <w:t xml:space="preserve"> </w:t>
      </w:r>
      <w:r>
        <w:t>provide</w:t>
      </w:r>
      <w:r w:rsidR="00CD37C6">
        <w:t xml:space="preserve"> </w:t>
      </w:r>
      <w:r>
        <w:t>information</w:t>
      </w:r>
      <w:r w:rsidR="00CD37C6">
        <w:t xml:space="preserve"> </w:t>
      </w:r>
      <w:r>
        <w:t>that</w:t>
      </w:r>
      <w:r w:rsidR="00CD37C6">
        <w:t xml:space="preserve"> </w:t>
      </w:r>
      <w:r>
        <w:t>it</w:t>
      </w:r>
      <w:r w:rsidR="00CD37C6">
        <w:t xml:space="preserve"> </w:t>
      </w:r>
      <w:r>
        <w:t>regards</w:t>
      </w:r>
      <w:r w:rsidR="00CD37C6">
        <w:t xml:space="preserve"> </w:t>
      </w:r>
      <w:r>
        <w:t>as</w:t>
      </w:r>
      <w:r w:rsidR="00CD37C6">
        <w:t xml:space="preserve"> </w:t>
      </w:r>
      <w:r>
        <w:t>commercially</w:t>
      </w:r>
      <w:r w:rsidR="00CD37C6">
        <w:t xml:space="preserve"> </w:t>
      </w:r>
      <w:r>
        <w:t>sensitive,</w:t>
      </w:r>
      <w:r w:rsidR="00CD37C6">
        <w:t xml:space="preserve"> </w:t>
      </w:r>
      <w:r>
        <w:t>it</w:t>
      </w:r>
      <w:r w:rsidR="00CD37C6">
        <w:t xml:space="preserve"> </w:t>
      </w:r>
      <w:r>
        <w:t>should</w:t>
      </w:r>
      <w:r w:rsidR="00CD37C6">
        <w:t xml:space="preserve"> </w:t>
      </w:r>
      <w:r>
        <w:t>nominate</w:t>
      </w:r>
      <w:r w:rsidR="00CD37C6">
        <w:t xml:space="preserve"> </w:t>
      </w:r>
      <w:r>
        <w:t>that</w:t>
      </w:r>
      <w:r w:rsidR="00CD37C6">
        <w:t xml:space="preserve"> </w:t>
      </w:r>
      <w:r>
        <w:t>information</w:t>
      </w:r>
      <w:r w:rsidR="00CD37C6">
        <w:t xml:space="preserve"> </w:t>
      </w:r>
      <w:r>
        <w:t>as</w:t>
      </w:r>
      <w:r w:rsidR="00CD37C6">
        <w:t xml:space="preserve"> </w:t>
      </w:r>
      <w:r>
        <w:t>being</w:t>
      </w:r>
      <w:r w:rsidR="00CD37C6">
        <w:t xml:space="preserve"> </w:t>
      </w:r>
      <w:r>
        <w:t>commercially</w:t>
      </w:r>
      <w:r w:rsidR="00CD37C6">
        <w:t xml:space="preserve"> </w:t>
      </w:r>
      <w:r>
        <w:t>sensitive.</w:t>
      </w:r>
    </w:p>
    <w:p w14:paraId="179B973E" w14:textId="2F6DEAAD" w:rsidR="009F127E" w:rsidRDefault="00000000" w:rsidP="008E4EA4">
      <w:r>
        <w:t>The</w:t>
      </w:r>
      <w:r w:rsidR="00CD37C6">
        <w:t xml:space="preserve"> </w:t>
      </w:r>
      <w:r>
        <w:t>Program,</w:t>
      </w:r>
      <w:r w:rsidR="00CD37C6">
        <w:t xml:space="preserve"> </w:t>
      </w:r>
      <w:r>
        <w:t>and</w:t>
      </w:r>
      <w:r w:rsidR="00CD37C6">
        <w:t xml:space="preserve"> </w:t>
      </w:r>
      <w:r>
        <w:t>any</w:t>
      </w:r>
      <w:r w:rsidR="00CD37C6">
        <w:t xml:space="preserve"> </w:t>
      </w:r>
      <w:r>
        <w:t>persons</w:t>
      </w:r>
      <w:r w:rsidR="00CD37C6">
        <w:t xml:space="preserve"> </w:t>
      </w:r>
      <w:r>
        <w:t>engaging</w:t>
      </w:r>
      <w:r w:rsidR="00CD37C6">
        <w:t xml:space="preserve"> </w:t>
      </w:r>
      <w:r>
        <w:t>with</w:t>
      </w:r>
      <w:r w:rsidR="00CD37C6">
        <w:t xml:space="preserve"> </w:t>
      </w:r>
      <w:r>
        <w:t>applicants,</w:t>
      </w:r>
      <w:r w:rsidR="00CD37C6">
        <w:t xml:space="preserve"> </w:t>
      </w:r>
      <w:r>
        <w:t>will</w:t>
      </w:r>
      <w:r w:rsidR="00CD37C6">
        <w:t xml:space="preserve"> </w:t>
      </w:r>
      <w:r>
        <w:t>respect</w:t>
      </w:r>
      <w:r w:rsidR="00CD37C6">
        <w:t xml:space="preserve"> </w:t>
      </w:r>
      <w:r>
        <w:t>all</w:t>
      </w:r>
      <w:r w:rsidR="00CD37C6">
        <w:t xml:space="preserve"> </w:t>
      </w:r>
      <w:r>
        <w:t>reasonable</w:t>
      </w:r>
      <w:r w:rsidR="00CD37C6">
        <w:t xml:space="preserve"> </w:t>
      </w:r>
      <w:r>
        <w:t>nominations</w:t>
      </w:r>
      <w:r w:rsidR="00CD37C6">
        <w:t xml:space="preserve"> </w:t>
      </w:r>
      <w:r>
        <w:t>and</w:t>
      </w:r>
      <w:r w:rsidR="00CD37C6">
        <w:t xml:space="preserve"> </w:t>
      </w:r>
      <w:r>
        <w:t>maintain</w:t>
      </w:r>
      <w:r w:rsidR="00CD37C6">
        <w:t xml:space="preserve"> </w:t>
      </w:r>
      <w:r>
        <w:t>security</w:t>
      </w:r>
      <w:r w:rsidR="00CD37C6">
        <w:t xml:space="preserve"> </w:t>
      </w:r>
      <w:r>
        <w:t>and</w:t>
      </w:r>
      <w:r w:rsidR="00CD37C6">
        <w:t xml:space="preserve"> </w:t>
      </w:r>
      <w:r>
        <w:t>information</w:t>
      </w:r>
      <w:r w:rsidR="00CD37C6">
        <w:t xml:space="preserve"> </w:t>
      </w:r>
      <w:r>
        <w:t>handling</w:t>
      </w:r>
      <w:r w:rsidR="00CD37C6">
        <w:t xml:space="preserve"> </w:t>
      </w:r>
      <w:r>
        <w:t>procedures</w:t>
      </w:r>
      <w:r w:rsidR="00CD37C6">
        <w:t xml:space="preserve"> </w:t>
      </w:r>
      <w:r>
        <w:t>appropriate</w:t>
      </w:r>
      <w:r w:rsidR="00CD37C6">
        <w:t xml:space="preserve"> </w:t>
      </w:r>
      <w:r>
        <w:t>to</w:t>
      </w:r>
      <w:r w:rsidR="00CD37C6">
        <w:t xml:space="preserve"> </w:t>
      </w:r>
      <w:r>
        <w:t>the</w:t>
      </w:r>
      <w:r w:rsidR="00CD37C6">
        <w:t xml:space="preserve"> </w:t>
      </w:r>
      <w:r>
        <w:t>nature,</w:t>
      </w:r>
      <w:r w:rsidR="00CD37C6">
        <w:t xml:space="preserve"> </w:t>
      </w:r>
      <w:r>
        <w:t>content</w:t>
      </w:r>
      <w:r w:rsidR="00CD37C6">
        <w:t xml:space="preserve"> </w:t>
      </w:r>
      <w:r>
        <w:t>and</w:t>
      </w:r>
      <w:r w:rsidR="00CD37C6">
        <w:t xml:space="preserve"> </w:t>
      </w:r>
      <w:r>
        <w:t>volume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information</w:t>
      </w:r>
      <w:r w:rsidR="00CD37C6">
        <w:t xml:space="preserve"> </w:t>
      </w:r>
      <w:r>
        <w:t>provided.</w:t>
      </w:r>
    </w:p>
    <w:p w14:paraId="4705F09A" w14:textId="77777777" w:rsidR="009F127E" w:rsidRPr="005C4339" w:rsidRDefault="00000000" w:rsidP="005C4339">
      <w:pPr>
        <w:pStyle w:val="Normalbeforebullet"/>
        <w:rPr>
          <w:b/>
          <w:bCs/>
        </w:rPr>
      </w:pPr>
      <w:r w:rsidRPr="005C4339">
        <w:rPr>
          <w:b/>
          <w:bCs/>
        </w:rPr>
        <w:t>Confidentiality</w:t>
      </w:r>
    </w:p>
    <w:p w14:paraId="49EC1DEF" w14:textId="12EE295D" w:rsidR="009F127E" w:rsidRDefault="00000000" w:rsidP="008E4EA4">
      <w:r>
        <w:t>Any</w:t>
      </w:r>
      <w:r w:rsidR="00CD37C6">
        <w:t xml:space="preserve"> </w:t>
      </w:r>
      <w:r>
        <w:t>personal</w:t>
      </w:r>
      <w:r w:rsidR="00CD37C6">
        <w:t xml:space="preserve"> </w:t>
      </w:r>
      <w:r>
        <w:t>information</w:t>
      </w:r>
      <w:r w:rsidR="00CD37C6">
        <w:t xml:space="preserve"> </w:t>
      </w:r>
      <w:r>
        <w:t>about</w:t>
      </w:r>
      <w:r w:rsidR="00CD37C6">
        <w:t xml:space="preserve"> </w:t>
      </w:r>
      <w:r>
        <w:t>the</w:t>
      </w:r>
      <w:r w:rsidR="00CD37C6">
        <w:t xml:space="preserve"> </w:t>
      </w:r>
      <w:r>
        <w:t>applicant</w:t>
      </w:r>
      <w:r w:rsidR="00CD37C6">
        <w:t xml:space="preserve"> </w:t>
      </w:r>
      <w:r>
        <w:t>or</w:t>
      </w:r>
      <w:r w:rsidR="00CD37C6">
        <w:t xml:space="preserve"> </w:t>
      </w:r>
      <w:r>
        <w:t>a</w:t>
      </w:r>
      <w:r w:rsidR="00CD37C6">
        <w:t xml:space="preserve"> </w:t>
      </w:r>
      <w:r>
        <w:t>third</w:t>
      </w:r>
      <w:r w:rsidR="00CD37C6">
        <w:t xml:space="preserve"> </w:t>
      </w:r>
      <w:r>
        <w:t>party</w:t>
      </w:r>
      <w:r w:rsidR="00CD37C6">
        <w:t xml:space="preserve"> </w:t>
      </w:r>
      <w:r>
        <w:t>in</w:t>
      </w:r>
      <w:r w:rsidR="00CD37C6">
        <w:t xml:space="preserve"> </w:t>
      </w:r>
      <w:r>
        <w:t>the</w:t>
      </w:r>
      <w:r w:rsidR="00CD37C6">
        <w:t xml:space="preserve"> </w:t>
      </w:r>
      <w:r>
        <w:t>application</w:t>
      </w:r>
      <w:r w:rsidR="00CD37C6">
        <w:t xml:space="preserve"> </w:t>
      </w:r>
      <w:r>
        <w:t>will</w:t>
      </w:r>
      <w:r w:rsidR="00CD37C6">
        <w:t xml:space="preserve"> </w:t>
      </w:r>
      <w:r>
        <w:t>be</w:t>
      </w:r>
      <w:r w:rsidR="00CD37C6">
        <w:t xml:space="preserve"> </w:t>
      </w:r>
      <w:r>
        <w:t>collected</w:t>
      </w:r>
      <w:r w:rsidR="00CD37C6">
        <w:t xml:space="preserve"> </w:t>
      </w:r>
      <w:r>
        <w:t>by</w:t>
      </w:r>
      <w:r w:rsidR="00CD37C6">
        <w:t xml:space="preserve"> </w:t>
      </w:r>
      <w:r>
        <w:t>the</w:t>
      </w:r>
      <w:r w:rsidR="00CD37C6">
        <w:t xml:space="preserve"> </w:t>
      </w:r>
      <w:r>
        <w:t>Department</w:t>
      </w:r>
      <w:r w:rsidR="00CD37C6">
        <w:t xml:space="preserve"> </w:t>
      </w:r>
      <w:r>
        <w:t>for</w:t>
      </w:r>
      <w:r w:rsidR="00CD37C6">
        <w:t xml:space="preserve"> </w:t>
      </w:r>
      <w:r>
        <w:t>the</w:t>
      </w:r>
      <w:r w:rsidR="00CD37C6">
        <w:t xml:space="preserve"> </w:t>
      </w:r>
      <w:r>
        <w:t>purpose</w:t>
      </w:r>
      <w:r w:rsidR="00CD37C6">
        <w:t xml:space="preserve"> </w:t>
      </w:r>
      <w:r>
        <w:t>of</w:t>
      </w:r>
      <w:r w:rsidR="00CD37C6">
        <w:t xml:space="preserve"> </w:t>
      </w:r>
      <w:r>
        <w:t>grant</w:t>
      </w:r>
      <w:r w:rsidR="00CD37C6">
        <w:t xml:space="preserve"> </w:t>
      </w:r>
      <w:r>
        <w:t>administration.</w:t>
      </w:r>
      <w:r w:rsidR="00CD37C6">
        <w:t xml:space="preserve"> </w:t>
      </w:r>
    </w:p>
    <w:p w14:paraId="02453970" w14:textId="3B26A76A" w:rsidR="009F127E" w:rsidRDefault="00000000" w:rsidP="008E4EA4">
      <w:r>
        <w:t>This</w:t>
      </w:r>
      <w:r w:rsidR="00CD37C6">
        <w:t xml:space="preserve"> </w:t>
      </w:r>
      <w:r>
        <w:t>information</w:t>
      </w:r>
      <w:r w:rsidR="00CD37C6">
        <w:t xml:space="preserve"> </w:t>
      </w:r>
      <w:r>
        <w:t>may</w:t>
      </w:r>
      <w:r w:rsidR="00CD37C6">
        <w:t xml:space="preserve"> </w:t>
      </w:r>
      <w:r>
        <w:t>be</w:t>
      </w:r>
      <w:r w:rsidR="00CD37C6">
        <w:t xml:space="preserve"> </w:t>
      </w:r>
      <w:r>
        <w:t>provided</w:t>
      </w:r>
      <w:r w:rsidR="00CD37C6">
        <w:t xml:space="preserve"> </w:t>
      </w:r>
      <w:r>
        <w:t>to</w:t>
      </w:r>
      <w:r w:rsidR="00CD37C6">
        <w:t xml:space="preserve"> </w:t>
      </w:r>
      <w:r>
        <w:t>other</w:t>
      </w:r>
      <w:r w:rsidR="00CD37C6">
        <w:t xml:space="preserve"> </w:t>
      </w:r>
      <w:r>
        <w:t>Victorian</w:t>
      </w:r>
      <w:r w:rsidR="00CD37C6">
        <w:t xml:space="preserve"> </w:t>
      </w:r>
      <w:r>
        <w:t>Government</w:t>
      </w:r>
      <w:r w:rsidR="00CD37C6">
        <w:t xml:space="preserve"> </w:t>
      </w:r>
      <w:r>
        <w:t>agencies</w:t>
      </w:r>
      <w:r w:rsidR="00CD37C6">
        <w:t xml:space="preserve"> </w:t>
      </w:r>
      <w:r>
        <w:t>for</w:t>
      </w:r>
      <w:r w:rsidR="00CD37C6">
        <w:t xml:space="preserve"> </w:t>
      </w:r>
      <w:r>
        <w:t>the</w:t>
      </w:r>
      <w:r w:rsidR="00CD37C6">
        <w:t xml:space="preserve"> </w:t>
      </w:r>
      <w:r>
        <w:t>purposes</w:t>
      </w:r>
      <w:r w:rsidR="00CD37C6">
        <w:t xml:space="preserve"> </w:t>
      </w:r>
      <w:r>
        <w:t>of</w:t>
      </w:r>
      <w:r w:rsidR="00CD37C6">
        <w:t xml:space="preserve"> </w:t>
      </w:r>
      <w:r>
        <w:t>assessing</w:t>
      </w:r>
      <w:r w:rsidR="00CD37C6">
        <w:t xml:space="preserve"> </w:t>
      </w:r>
      <w:r>
        <w:t>the</w:t>
      </w:r>
      <w:r w:rsidR="00CD37C6">
        <w:t xml:space="preserve"> </w:t>
      </w:r>
      <w:r>
        <w:t>application.</w:t>
      </w:r>
    </w:p>
    <w:p w14:paraId="34B92879" w14:textId="1FA89399" w:rsidR="009F127E" w:rsidRDefault="00000000" w:rsidP="008E4EA4">
      <w:r>
        <w:t>If</w:t>
      </w:r>
      <w:r w:rsidR="00CD37C6">
        <w:t xml:space="preserve"> </w:t>
      </w:r>
      <w:r>
        <w:t>personal</w:t>
      </w:r>
      <w:r w:rsidR="00CD37C6">
        <w:t xml:space="preserve"> </w:t>
      </w:r>
      <w:r>
        <w:t>information</w:t>
      </w:r>
      <w:r w:rsidR="00CD37C6">
        <w:t xml:space="preserve"> </w:t>
      </w:r>
      <w:r>
        <w:t>about</w:t>
      </w:r>
      <w:r w:rsidR="00CD37C6">
        <w:t xml:space="preserve"> </w:t>
      </w:r>
      <w:r>
        <w:t>third</w:t>
      </w:r>
      <w:r w:rsidR="00CD37C6">
        <w:t xml:space="preserve"> </w:t>
      </w:r>
      <w:r>
        <w:t>parties</w:t>
      </w:r>
      <w:r w:rsidR="00CD37C6">
        <w:t xml:space="preserve"> </w:t>
      </w:r>
      <w:r>
        <w:t>is</w:t>
      </w:r>
      <w:r w:rsidR="00CD37C6">
        <w:t xml:space="preserve"> </w:t>
      </w:r>
      <w:r>
        <w:t>included</w:t>
      </w:r>
      <w:r w:rsidR="00CD37C6">
        <w:t xml:space="preserve"> </w:t>
      </w:r>
      <w:r>
        <w:t>in</w:t>
      </w:r>
      <w:r w:rsidR="00CD37C6">
        <w:t xml:space="preserve"> </w:t>
      </w:r>
      <w:r>
        <w:t>the</w:t>
      </w:r>
      <w:r w:rsidR="00CD37C6">
        <w:t xml:space="preserve"> </w:t>
      </w:r>
      <w:r>
        <w:t>application,</w:t>
      </w:r>
      <w:r w:rsidR="00CD37C6">
        <w:t xml:space="preserve"> </w:t>
      </w:r>
      <w:r>
        <w:t>those</w:t>
      </w:r>
      <w:r w:rsidR="00CD37C6">
        <w:t xml:space="preserve"> </w:t>
      </w:r>
      <w:r>
        <w:t>third</w:t>
      </w:r>
      <w:r w:rsidR="00CD37C6">
        <w:t xml:space="preserve"> </w:t>
      </w:r>
      <w:r>
        <w:t>parties</w:t>
      </w:r>
      <w:r w:rsidR="00CD37C6">
        <w:t xml:space="preserve"> </w:t>
      </w:r>
      <w:r>
        <w:t>must</w:t>
      </w:r>
      <w:r w:rsidR="00CD37C6">
        <w:t xml:space="preserve"> </w:t>
      </w:r>
      <w:r>
        <w:t>be</w:t>
      </w:r>
      <w:r w:rsidR="00CD37C6">
        <w:t xml:space="preserve"> </w:t>
      </w:r>
      <w:r>
        <w:t>made</w:t>
      </w:r>
      <w:r w:rsidR="00CD37C6">
        <w:t xml:space="preserve"> </w:t>
      </w:r>
      <w:r>
        <w:t>aware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contents</w:t>
      </w:r>
      <w:r w:rsidR="00CD37C6">
        <w:t xml:space="preserve"> </w:t>
      </w:r>
      <w:r>
        <w:t>of</w:t>
      </w:r>
      <w:r w:rsidR="00CD37C6">
        <w:t xml:space="preserve"> </w:t>
      </w:r>
      <w:r>
        <w:t>this</w:t>
      </w:r>
      <w:r w:rsidR="00CD37C6">
        <w:t xml:space="preserve"> </w:t>
      </w:r>
      <w:r>
        <w:t>privacy</w:t>
      </w:r>
      <w:r w:rsidR="00CD37C6">
        <w:t xml:space="preserve"> </w:t>
      </w:r>
      <w:r>
        <w:t>statement.</w:t>
      </w:r>
      <w:r w:rsidR="00CD37C6">
        <w:t xml:space="preserve"> </w:t>
      </w:r>
      <w:r>
        <w:t>The</w:t>
      </w:r>
      <w:r w:rsidR="00CD37C6">
        <w:t xml:space="preserve"> </w:t>
      </w:r>
      <w:r>
        <w:t>Department’s</w:t>
      </w:r>
      <w:r w:rsidR="00CD37C6">
        <w:t xml:space="preserve"> </w:t>
      </w:r>
      <w:r>
        <w:t>privacy</w:t>
      </w:r>
      <w:r w:rsidR="00CD37C6">
        <w:t xml:space="preserve"> </w:t>
      </w:r>
      <w:r>
        <w:t>policy</w:t>
      </w:r>
      <w:r w:rsidR="00CD37C6">
        <w:t xml:space="preserve"> </w:t>
      </w:r>
      <w:r>
        <w:t>is</w:t>
      </w:r>
      <w:r w:rsidR="00CD37C6">
        <w:t xml:space="preserve"> </w:t>
      </w:r>
      <w:r>
        <w:t>available</w:t>
      </w:r>
      <w:r w:rsidR="00CD37C6">
        <w:t xml:space="preserve"> </w:t>
      </w:r>
      <w:r>
        <w:t>at</w:t>
      </w:r>
      <w:r w:rsidR="005C4339">
        <w:t xml:space="preserve"> </w:t>
      </w:r>
      <w:hyperlink r:id="rId11" w:history="1">
        <w:r>
          <w:rPr>
            <w:rStyle w:val="Hyperlink3"/>
          </w:rPr>
          <w:t>economicdevelopment.vic.gov.au/privacy</w:t>
        </w:r>
      </w:hyperlink>
      <w:r>
        <w:t>.</w:t>
      </w:r>
    </w:p>
    <w:p w14:paraId="3E5278EF" w14:textId="2E8C55A5" w:rsidR="009F127E" w:rsidRDefault="00000000" w:rsidP="008E4EA4">
      <w:r>
        <w:lastRenderedPageBreak/>
        <w:t>Any</w:t>
      </w:r>
      <w:r w:rsidR="00CD37C6">
        <w:t xml:space="preserve"> </w:t>
      </w:r>
      <w:r>
        <w:t>personal</w:t>
      </w:r>
      <w:r w:rsidR="00CD37C6">
        <w:t xml:space="preserve"> </w:t>
      </w:r>
      <w:r>
        <w:t>information</w:t>
      </w:r>
      <w:r w:rsidR="00CD37C6">
        <w:t xml:space="preserve"> </w:t>
      </w:r>
      <w:r>
        <w:t>about</w:t>
      </w:r>
      <w:r w:rsidR="00CD37C6">
        <w:t xml:space="preserve"> </w:t>
      </w:r>
      <w:r>
        <w:t>the</w:t>
      </w:r>
      <w:r w:rsidR="00CD37C6">
        <w:t xml:space="preserve"> </w:t>
      </w:r>
      <w:r>
        <w:t>applicant</w:t>
      </w:r>
      <w:r w:rsidR="00CD37C6">
        <w:t xml:space="preserve"> </w:t>
      </w:r>
      <w:r>
        <w:t>or</w:t>
      </w:r>
      <w:r w:rsidR="00CD37C6">
        <w:t xml:space="preserve"> </w:t>
      </w:r>
      <w:r>
        <w:t>a</w:t>
      </w:r>
      <w:r w:rsidR="00CD37C6">
        <w:t xml:space="preserve"> </w:t>
      </w:r>
      <w:r>
        <w:t>third</w:t>
      </w:r>
      <w:r w:rsidR="00CD37C6">
        <w:t xml:space="preserve"> </w:t>
      </w:r>
      <w:r>
        <w:t>party</w:t>
      </w:r>
      <w:r w:rsidR="00CD37C6">
        <w:t xml:space="preserve"> </w:t>
      </w:r>
      <w:r>
        <w:t>obtained</w:t>
      </w:r>
      <w:r w:rsidR="00CD37C6">
        <w:t xml:space="preserve"> </w:t>
      </w:r>
      <w:r>
        <w:t>through</w:t>
      </w:r>
      <w:r w:rsidR="00CD37C6">
        <w:t xml:space="preserve"> </w:t>
      </w:r>
      <w:r>
        <w:t>correspondence</w:t>
      </w:r>
      <w:r w:rsidR="00CD37C6">
        <w:t xml:space="preserve"> </w:t>
      </w:r>
      <w:r>
        <w:t>will</w:t>
      </w:r>
      <w:r w:rsidR="00CD37C6">
        <w:t xml:space="preserve"> </w:t>
      </w:r>
      <w:r>
        <w:t>be</w:t>
      </w:r>
      <w:r w:rsidR="00CD37C6">
        <w:t xml:space="preserve"> </w:t>
      </w:r>
      <w:r>
        <w:t>collected,</w:t>
      </w:r>
      <w:r w:rsidR="00CD37C6">
        <w:t xml:space="preserve"> </w:t>
      </w:r>
      <w:r>
        <w:t>held,</w:t>
      </w:r>
      <w:r w:rsidR="00CD37C6">
        <w:t xml:space="preserve"> </w:t>
      </w:r>
      <w:r>
        <w:t>managed,</w:t>
      </w:r>
      <w:r w:rsidR="00CD37C6">
        <w:t xml:space="preserve"> </w:t>
      </w:r>
      <w:r>
        <w:t>used,</w:t>
      </w:r>
      <w:r w:rsidR="00CD37C6">
        <w:t xml:space="preserve"> </w:t>
      </w:r>
      <w:proofErr w:type="gramStart"/>
      <w:r>
        <w:t>disclosed</w:t>
      </w:r>
      <w:proofErr w:type="gramEnd"/>
      <w:r w:rsidR="00CD37C6">
        <w:t xml:space="preserve"> </w:t>
      </w:r>
      <w:r>
        <w:t>or</w:t>
      </w:r>
      <w:r w:rsidR="00CD37C6">
        <w:t xml:space="preserve"> </w:t>
      </w:r>
      <w:r>
        <w:t>transferred</w:t>
      </w:r>
      <w:r w:rsidR="00CD37C6">
        <w:t xml:space="preserve"> </w:t>
      </w:r>
      <w:r>
        <w:t>in</w:t>
      </w:r>
      <w:r w:rsidR="00CD37C6">
        <w:t xml:space="preserve"> </w:t>
      </w:r>
      <w:r>
        <w:t>accordance</w:t>
      </w:r>
      <w:r w:rsidR="00CD37C6">
        <w:t xml:space="preserve"> </w:t>
      </w:r>
      <w:r>
        <w:t>with</w:t>
      </w:r>
      <w:r w:rsidR="00CD37C6">
        <w:t xml:space="preserve"> </w:t>
      </w:r>
      <w:r>
        <w:t>the</w:t>
      </w:r>
      <w:r w:rsidR="00CD37C6">
        <w:t xml:space="preserve"> </w:t>
      </w:r>
      <w:r>
        <w:t>provisions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Privacy</w:t>
      </w:r>
      <w:r w:rsidR="00CD37C6">
        <w:t xml:space="preserve"> </w:t>
      </w:r>
      <w:r>
        <w:t>and</w:t>
      </w:r>
      <w:r w:rsidR="00CD37C6">
        <w:t xml:space="preserve"> </w:t>
      </w:r>
      <w:r>
        <w:t>Data</w:t>
      </w:r>
      <w:r w:rsidR="00CD37C6">
        <w:t xml:space="preserve"> </w:t>
      </w:r>
      <w:r>
        <w:t>Protection</w:t>
      </w:r>
      <w:r w:rsidR="00CD37C6">
        <w:t xml:space="preserve"> </w:t>
      </w:r>
      <w:r>
        <w:t>Act</w:t>
      </w:r>
      <w:r w:rsidR="00CD37C6">
        <w:t xml:space="preserve"> </w:t>
      </w:r>
      <w:r>
        <w:t>2014</w:t>
      </w:r>
      <w:r w:rsidR="00CD37C6">
        <w:t xml:space="preserve"> </w:t>
      </w:r>
      <w:r>
        <w:t>and</w:t>
      </w:r>
      <w:r w:rsidR="00CD37C6">
        <w:t xml:space="preserve"> </w:t>
      </w:r>
      <w:r>
        <w:t>other</w:t>
      </w:r>
      <w:r w:rsidR="00CD37C6">
        <w:t xml:space="preserve"> </w:t>
      </w:r>
      <w:r>
        <w:t>applicable</w:t>
      </w:r>
      <w:r w:rsidR="00CD37C6">
        <w:t xml:space="preserve"> </w:t>
      </w:r>
      <w:r>
        <w:t>laws.</w:t>
      </w:r>
    </w:p>
    <w:p w14:paraId="7CF64488" w14:textId="04DF64AF" w:rsidR="009F127E" w:rsidRDefault="00000000" w:rsidP="008E4EA4">
      <w:r>
        <w:t>The</w:t>
      </w:r>
      <w:r w:rsidR="00CD37C6">
        <w:t xml:space="preserve"> </w:t>
      </w:r>
      <w:r>
        <w:t>Department</w:t>
      </w:r>
      <w:r w:rsidR="00CD37C6">
        <w:t xml:space="preserve"> </w:t>
      </w:r>
      <w:r>
        <w:t>is</w:t>
      </w:r>
      <w:r w:rsidR="00CD37C6">
        <w:t xml:space="preserve"> </w:t>
      </w:r>
      <w:r>
        <w:t>committed</w:t>
      </w:r>
      <w:r w:rsidR="00CD37C6">
        <w:t xml:space="preserve"> </w:t>
      </w:r>
      <w:r>
        <w:t>to</w:t>
      </w:r>
      <w:r w:rsidR="00CD37C6">
        <w:t xml:space="preserve"> </w:t>
      </w:r>
      <w:r>
        <w:t>protecting</w:t>
      </w:r>
      <w:r w:rsidR="00CD37C6">
        <w:t xml:space="preserve"> </w:t>
      </w:r>
      <w:r>
        <w:t>the</w:t>
      </w:r>
      <w:r w:rsidR="00CD37C6">
        <w:t xml:space="preserve"> </w:t>
      </w:r>
      <w:r>
        <w:t>privacy</w:t>
      </w:r>
      <w:r w:rsidR="00CD37C6">
        <w:t xml:space="preserve"> </w:t>
      </w:r>
      <w:r>
        <w:t>of</w:t>
      </w:r>
      <w:r w:rsidR="00CD37C6">
        <w:t xml:space="preserve"> </w:t>
      </w:r>
      <w:r>
        <w:t>personal</w:t>
      </w:r>
      <w:r w:rsidR="00CD37C6">
        <w:t xml:space="preserve"> </w:t>
      </w:r>
      <w:r>
        <w:t>information.</w:t>
      </w:r>
      <w:r w:rsidR="00CD37C6">
        <w:t xml:space="preserve"> </w:t>
      </w:r>
      <w:r>
        <w:t>Enquiries</w:t>
      </w:r>
      <w:r w:rsidR="00CD37C6">
        <w:t xml:space="preserve"> </w:t>
      </w:r>
      <w:r>
        <w:t>about</w:t>
      </w:r>
      <w:r w:rsidR="00CD37C6">
        <w:t xml:space="preserve"> </w:t>
      </w:r>
      <w:r>
        <w:t>access</w:t>
      </w:r>
      <w:r w:rsidR="00CD37C6">
        <w:t xml:space="preserve"> </w:t>
      </w:r>
      <w:r>
        <w:t>to</w:t>
      </w:r>
      <w:r w:rsidR="00CD37C6">
        <w:t xml:space="preserve"> </w:t>
      </w:r>
      <w:r>
        <w:t>information</w:t>
      </w:r>
      <w:r w:rsidR="00CD37C6">
        <w:t xml:space="preserve"> </w:t>
      </w:r>
      <w:r>
        <w:t>should</w:t>
      </w:r>
      <w:r w:rsidR="00CD37C6">
        <w:t xml:space="preserve"> </w:t>
      </w:r>
      <w:r>
        <w:t>be</w:t>
      </w:r>
      <w:r w:rsidR="00CD37C6">
        <w:t xml:space="preserve"> </w:t>
      </w:r>
      <w:r>
        <w:t>directed</w:t>
      </w:r>
      <w:r w:rsidR="00CD37C6">
        <w:t xml:space="preserve"> </w:t>
      </w:r>
      <w:r>
        <w:t>to</w:t>
      </w:r>
      <w:r w:rsidR="00CD37C6">
        <w:t xml:space="preserve"> </w:t>
      </w:r>
      <w:hyperlink r:id="rId12" w:history="1">
        <w:r w:rsidRPr="005C4339">
          <w:rPr>
            <w:rStyle w:val="Hyperlink"/>
          </w:rPr>
          <w:t>privacy@ecodev.vic.gov.au</w:t>
        </w:r>
      </w:hyperlink>
      <w:r>
        <w:t>.</w:t>
      </w:r>
    </w:p>
    <w:p w14:paraId="0EB02233" w14:textId="4AD5418C" w:rsidR="009F127E" w:rsidRPr="005C4339" w:rsidRDefault="00000000" w:rsidP="005C4339">
      <w:pPr>
        <w:pStyle w:val="Normalbeforebullet"/>
        <w:rPr>
          <w:b/>
          <w:bCs/>
        </w:rPr>
      </w:pPr>
      <w:r w:rsidRPr="005C4339">
        <w:rPr>
          <w:b/>
          <w:bCs/>
        </w:rPr>
        <w:t>Local</w:t>
      </w:r>
      <w:r w:rsidR="00CD37C6" w:rsidRPr="005C4339">
        <w:rPr>
          <w:b/>
          <w:bCs/>
        </w:rPr>
        <w:t xml:space="preserve"> </w:t>
      </w:r>
      <w:r w:rsidRPr="005C4339">
        <w:rPr>
          <w:b/>
          <w:bCs/>
        </w:rPr>
        <w:t>Jobs</w:t>
      </w:r>
      <w:r w:rsidR="00CD37C6" w:rsidRPr="005C4339">
        <w:rPr>
          <w:b/>
          <w:bCs/>
        </w:rPr>
        <w:t xml:space="preserve"> </w:t>
      </w:r>
      <w:r w:rsidRPr="005C4339">
        <w:rPr>
          <w:b/>
          <w:bCs/>
        </w:rPr>
        <w:t>First</w:t>
      </w:r>
      <w:r w:rsidR="00CD37C6" w:rsidRPr="005C4339">
        <w:rPr>
          <w:b/>
          <w:bCs/>
        </w:rPr>
        <w:t xml:space="preserve"> </w:t>
      </w:r>
      <w:r w:rsidRPr="005C4339">
        <w:rPr>
          <w:b/>
          <w:bCs/>
        </w:rPr>
        <w:t>Policy</w:t>
      </w:r>
      <w:r w:rsidR="00CD37C6" w:rsidRPr="005C4339">
        <w:rPr>
          <w:b/>
          <w:bCs/>
        </w:rPr>
        <w:t xml:space="preserve"> </w:t>
      </w:r>
    </w:p>
    <w:p w14:paraId="161CBDB2" w14:textId="3AD73C03" w:rsidR="009F127E" w:rsidRDefault="00000000" w:rsidP="008E4EA4">
      <w:r>
        <w:t>The</w:t>
      </w:r>
      <w:r w:rsidR="00CD37C6">
        <w:t xml:space="preserve"> </w:t>
      </w:r>
      <w:r>
        <w:t>Local</w:t>
      </w:r>
      <w:r w:rsidR="00CD37C6">
        <w:t xml:space="preserve"> </w:t>
      </w:r>
      <w:r>
        <w:t>Jobs</w:t>
      </w:r>
      <w:r w:rsidR="00CD37C6">
        <w:t xml:space="preserve"> </w:t>
      </w:r>
      <w:r>
        <w:t>First</w:t>
      </w:r>
      <w:r w:rsidR="00CD37C6">
        <w:t xml:space="preserve"> </w:t>
      </w:r>
      <w:r>
        <w:t>(LJF)</w:t>
      </w:r>
      <w:r w:rsidR="00CD37C6">
        <w:t xml:space="preserve"> </w:t>
      </w:r>
      <w:r>
        <w:t>Policy</w:t>
      </w:r>
      <w:r w:rsidR="00CD37C6">
        <w:t xml:space="preserve"> </w:t>
      </w:r>
      <w:r>
        <w:t>is</w:t>
      </w:r>
      <w:r w:rsidR="00CD37C6">
        <w:t xml:space="preserve"> </w:t>
      </w:r>
      <w:r>
        <w:t>a</w:t>
      </w:r>
      <w:r w:rsidR="00CD37C6">
        <w:t xml:space="preserve"> </w:t>
      </w:r>
      <w:r>
        <w:t>procurement</w:t>
      </w:r>
      <w:r w:rsidR="00CD37C6">
        <w:t xml:space="preserve"> </w:t>
      </w:r>
      <w:r>
        <w:t>policy</w:t>
      </w:r>
      <w:r w:rsidR="00CD37C6">
        <w:t xml:space="preserve"> </w:t>
      </w:r>
      <w:r>
        <w:t>that</w:t>
      </w:r>
      <w:r w:rsidR="00CD37C6">
        <w:t xml:space="preserve"> </w:t>
      </w:r>
      <w:r>
        <w:t>ensures</w:t>
      </w:r>
      <w:r w:rsidR="00CD37C6">
        <w:t xml:space="preserve"> </w:t>
      </w:r>
      <w:r>
        <w:t>that</w:t>
      </w:r>
      <w:r w:rsidR="00CD37C6">
        <w:t xml:space="preserve"> </w:t>
      </w:r>
      <w:r>
        <w:t>small</w:t>
      </w:r>
      <w:r w:rsidR="00CD37C6">
        <w:t xml:space="preserve"> </w:t>
      </w:r>
      <w:r>
        <w:t>and</w:t>
      </w:r>
      <w:r w:rsidR="00CD37C6">
        <w:t xml:space="preserve"> </w:t>
      </w:r>
      <w:r>
        <w:t>medium</w:t>
      </w:r>
      <w:r w:rsidR="00CD37C6">
        <w:t xml:space="preserve"> </w:t>
      </w:r>
      <w:r>
        <w:t>size</w:t>
      </w:r>
      <w:r w:rsidR="00CD37C6">
        <w:t xml:space="preserve"> </w:t>
      </w:r>
      <w:r>
        <w:t>enterprises</w:t>
      </w:r>
      <w:r w:rsidR="00CD37C6">
        <w:t xml:space="preserve"> </w:t>
      </w:r>
      <w:r>
        <w:t>are</w:t>
      </w:r>
      <w:r w:rsidR="00CD37C6">
        <w:t xml:space="preserve"> </w:t>
      </w:r>
      <w:r>
        <w:t>given</w:t>
      </w:r>
      <w:r w:rsidR="00CD37C6">
        <w:t xml:space="preserve"> </w:t>
      </w:r>
      <w:r>
        <w:t>full</w:t>
      </w:r>
      <w:r w:rsidR="00CD37C6">
        <w:t xml:space="preserve"> </w:t>
      </w:r>
      <w:r>
        <w:t>and</w:t>
      </w:r>
      <w:r w:rsidR="00CD37C6">
        <w:t xml:space="preserve"> </w:t>
      </w:r>
      <w:r>
        <w:t>fair</w:t>
      </w:r>
      <w:r w:rsidR="00CD37C6">
        <w:t xml:space="preserve"> </w:t>
      </w:r>
      <w:r>
        <w:t>opportunity</w:t>
      </w:r>
      <w:r w:rsidR="00CD37C6">
        <w:t xml:space="preserve"> </w:t>
      </w:r>
      <w:r>
        <w:t>to</w:t>
      </w:r>
      <w:r w:rsidR="00CD37C6">
        <w:t xml:space="preserve"> </w:t>
      </w:r>
      <w:r>
        <w:t>compete</w:t>
      </w:r>
      <w:r w:rsidR="00CD37C6">
        <w:t xml:space="preserve"> </w:t>
      </w:r>
      <w:r>
        <w:t>for</w:t>
      </w:r>
      <w:r w:rsidR="00CD37C6">
        <w:t xml:space="preserve"> </w:t>
      </w:r>
      <w:r>
        <w:t>both</w:t>
      </w:r>
      <w:r w:rsidR="00CD37C6">
        <w:t xml:space="preserve"> </w:t>
      </w:r>
      <w:r>
        <w:t>large</w:t>
      </w:r>
      <w:r w:rsidR="00CD37C6">
        <w:t xml:space="preserve"> </w:t>
      </w:r>
      <w:r>
        <w:t>and</w:t>
      </w:r>
      <w:r w:rsidR="00CD37C6">
        <w:t xml:space="preserve"> </w:t>
      </w:r>
      <w:r>
        <w:t>small</w:t>
      </w:r>
      <w:r w:rsidR="00CD37C6">
        <w:t xml:space="preserve"> </w:t>
      </w:r>
      <w:r>
        <w:t>government</w:t>
      </w:r>
      <w:r w:rsidR="00CD37C6">
        <w:t xml:space="preserve"> </w:t>
      </w:r>
      <w:r>
        <w:t>contracts,</w:t>
      </w:r>
      <w:r w:rsidR="00CD37C6">
        <w:t xml:space="preserve"> </w:t>
      </w:r>
      <w:r>
        <w:t>helping</w:t>
      </w:r>
      <w:r w:rsidR="00CD37C6">
        <w:t xml:space="preserve"> </w:t>
      </w:r>
      <w:r>
        <w:rPr>
          <w:spacing w:val="-2"/>
        </w:rPr>
        <w:t>to</w:t>
      </w:r>
      <w:r w:rsidR="00CD37C6">
        <w:rPr>
          <w:spacing w:val="-2"/>
        </w:rPr>
        <w:t xml:space="preserve"> </w:t>
      </w:r>
      <w:r>
        <w:rPr>
          <w:spacing w:val="-2"/>
        </w:rPr>
        <w:t>create</w:t>
      </w:r>
      <w:r w:rsidR="00CD37C6">
        <w:rPr>
          <w:spacing w:val="-2"/>
        </w:rPr>
        <w:t xml:space="preserve"> </w:t>
      </w:r>
      <w:r>
        <w:rPr>
          <w:spacing w:val="-2"/>
        </w:rPr>
        <w:t>job</w:t>
      </w:r>
      <w:r w:rsidR="00CD37C6">
        <w:rPr>
          <w:spacing w:val="-2"/>
        </w:rPr>
        <w:t xml:space="preserve"> </w:t>
      </w:r>
      <w:r>
        <w:rPr>
          <w:spacing w:val="-2"/>
        </w:rPr>
        <w:t>opportunities,</w:t>
      </w:r>
      <w:r w:rsidR="00CD37C6">
        <w:rPr>
          <w:spacing w:val="-2"/>
        </w:rPr>
        <w:t xml:space="preserve"> </w:t>
      </w:r>
      <w:r>
        <w:rPr>
          <w:spacing w:val="-2"/>
        </w:rPr>
        <w:t>including</w:t>
      </w:r>
      <w:r w:rsidR="00CD37C6">
        <w:rPr>
          <w:spacing w:val="-2"/>
        </w:rPr>
        <w:t xml:space="preserve"> </w:t>
      </w:r>
      <w:r>
        <w:rPr>
          <w:spacing w:val="-2"/>
        </w:rPr>
        <w:t>for</w:t>
      </w:r>
      <w:r w:rsidR="00CD37C6">
        <w:rPr>
          <w:spacing w:val="-2"/>
        </w:rPr>
        <w:t xml:space="preserve"> </w:t>
      </w:r>
      <w:r>
        <w:rPr>
          <w:spacing w:val="-2"/>
        </w:rPr>
        <w:t>apprentices,</w:t>
      </w:r>
      <w:r w:rsidR="00CD37C6">
        <w:rPr>
          <w:spacing w:val="-2"/>
        </w:rPr>
        <w:t xml:space="preserve"> </w:t>
      </w:r>
      <w:proofErr w:type="gramStart"/>
      <w:r>
        <w:rPr>
          <w:spacing w:val="-2"/>
        </w:rPr>
        <w:t>trainees</w:t>
      </w:r>
      <w:proofErr w:type="gramEnd"/>
      <w:r w:rsidR="00CD37C6">
        <w:rPr>
          <w:spacing w:val="-2"/>
        </w:rPr>
        <w:t xml:space="preserve"> </w:t>
      </w:r>
      <w:r>
        <w:rPr>
          <w:spacing w:val="-2"/>
        </w:rPr>
        <w:t>and</w:t>
      </w:r>
      <w:r w:rsidR="00CD37C6">
        <w:rPr>
          <w:spacing w:val="-2"/>
        </w:rPr>
        <w:t xml:space="preserve"> </w:t>
      </w:r>
      <w:r>
        <w:rPr>
          <w:spacing w:val="-2"/>
        </w:rPr>
        <w:t>cadets</w:t>
      </w:r>
      <w:r>
        <w:t>.</w:t>
      </w:r>
      <w:r w:rsidR="00CD37C6">
        <w:t xml:space="preserve"> </w:t>
      </w:r>
      <w:r>
        <w:t>This</w:t>
      </w:r>
      <w:r w:rsidR="00CD37C6">
        <w:t xml:space="preserve"> </w:t>
      </w:r>
      <w:r>
        <w:t>means</w:t>
      </w:r>
      <w:r w:rsidR="00CD37C6">
        <w:t xml:space="preserve"> </w:t>
      </w:r>
      <w:r>
        <w:t>that</w:t>
      </w:r>
      <w:r w:rsidR="00CD37C6">
        <w:t xml:space="preserve"> </w:t>
      </w:r>
      <w:r>
        <w:t>grant</w:t>
      </w:r>
      <w:r w:rsidR="00CD37C6">
        <w:t xml:space="preserve"> </w:t>
      </w:r>
      <w:r>
        <w:t>recipients</w:t>
      </w:r>
      <w:r w:rsidR="00CD37C6">
        <w:t xml:space="preserve"> </w:t>
      </w:r>
      <w:r>
        <w:t>using</w:t>
      </w:r>
      <w:r w:rsidR="00CD37C6">
        <w:t xml:space="preserve"> </w:t>
      </w:r>
      <w:r>
        <w:t>grant</w:t>
      </w:r>
      <w:r w:rsidR="00CD37C6">
        <w:t xml:space="preserve"> </w:t>
      </w:r>
      <w:r>
        <w:t>funding</w:t>
      </w:r>
      <w:r w:rsidR="00CD37C6">
        <w:t xml:space="preserve"> </w:t>
      </w:r>
      <w:r>
        <w:t>to</w:t>
      </w:r>
      <w:r w:rsidR="00CD37C6">
        <w:t xml:space="preserve"> </w:t>
      </w:r>
      <w:r>
        <w:t>procure</w:t>
      </w:r>
      <w:r w:rsidR="00CD37C6">
        <w:t xml:space="preserve"> </w:t>
      </w:r>
      <w:r>
        <w:t>goods</w:t>
      </w:r>
      <w:r w:rsidR="00CD37C6">
        <w:t xml:space="preserve"> </w:t>
      </w:r>
      <w:r>
        <w:t>and</w:t>
      </w:r>
      <w:r w:rsidR="00CD37C6">
        <w:t xml:space="preserve"> </w:t>
      </w:r>
      <w:r>
        <w:t>services</w:t>
      </w:r>
      <w:r w:rsidR="00CD37C6">
        <w:t xml:space="preserve"> </w:t>
      </w:r>
      <w:r>
        <w:t>must</w:t>
      </w:r>
      <w:r w:rsidR="00CD37C6">
        <w:t xml:space="preserve"> </w:t>
      </w:r>
      <w:r>
        <w:t>comply</w:t>
      </w:r>
      <w:r w:rsidR="00CD37C6">
        <w:t xml:space="preserve"> </w:t>
      </w:r>
      <w:r>
        <w:t>with</w:t>
      </w:r>
      <w:r w:rsidR="00CD37C6">
        <w:t xml:space="preserve"> </w:t>
      </w:r>
      <w:r>
        <w:t>LJF</w:t>
      </w:r>
      <w:r w:rsidR="00CD37C6">
        <w:t xml:space="preserve"> </w:t>
      </w:r>
      <w:r>
        <w:t>Policy.</w:t>
      </w:r>
    </w:p>
    <w:p w14:paraId="67A60DDC" w14:textId="1D11A16B" w:rsidR="009F127E" w:rsidRDefault="00000000" w:rsidP="008E4EA4">
      <w:r>
        <w:t>Grant</w:t>
      </w:r>
      <w:r w:rsidR="00CD37C6">
        <w:t xml:space="preserve"> </w:t>
      </w:r>
      <w:r>
        <w:t>programs</w:t>
      </w:r>
      <w:r w:rsidR="00CD37C6">
        <w:t xml:space="preserve"> </w:t>
      </w:r>
      <w:r>
        <w:t>greater</w:t>
      </w:r>
      <w:r w:rsidR="00CD37C6">
        <w:t xml:space="preserve"> </w:t>
      </w:r>
      <w:r>
        <w:t>than</w:t>
      </w:r>
      <w:r w:rsidR="00CD37C6">
        <w:t xml:space="preserve"> </w:t>
      </w:r>
      <w:r>
        <w:t>$1</w:t>
      </w:r>
      <w:r w:rsidR="00CD37C6">
        <w:t xml:space="preserve"> </w:t>
      </w:r>
      <w:r>
        <w:t>million</w:t>
      </w:r>
      <w:r w:rsidR="00CD37C6">
        <w:t xml:space="preserve"> </w:t>
      </w:r>
      <w:r>
        <w:t>for</w:t>
      </w:r>
      <w:r w:rsidR="00CD37C6">
        <w:t xml:space="preserve"> </w:t>
      </w:r>
      <w:r>
        <w:t>regional</w:t>
      </w:r>
      <w:r w:rsidR="00CD37C6">
        <w:t xml:space="preserve"> </w:t>
      </w:r>
      <w:r>
        <w:t>projects,</w:t>
      </w:r>
      <w:r w:rsidR="00CD37C6">
        <w:t xml:space="preserve"> </w:t>
      </w:r>
      <w:r>
        <w:t>and</w:t>
      </w:r>
      <w:r w:rsidR="00CD37C6">
        <w:t xml:space="preserve"> </w:t>
      </w:r>
      <w:r>
        <w:t>$3</w:t>
      </w:r>
      <w:r w:rsidR="00CD37C6">
        <w:t xml:space="preserve"> </w:t>
      </w:r>
      <w:r>
        <w:t>million</w:t>
      </w:r>
      <w:r w:rsidR="00CD37C6">
        <w:t xml:space="preserve"> </w:t>
      </w:r>
      <w:r>
        <w:t>for</w:t>
      </w:r>
      <w:r w:rsidR="00CD37C6">
        <w:t xml:space="preserve"> </w:t>
      </w:r>
      <w:r>
        <w:t>metropolitan</w:t>
      </w:r>
      <w:r w:rsidR="00CD37C6">
        <w:t xml:space="preserve"> </w:t>
      </w:r>
      <w:r>
        <w:t>Melbourne</w:t>
      </w:r>
      <w:r w:rsidR="00CD37C6">
        <w:t xml:space="preserve"> </w:t>
      </w:r>
      <w:r>
        <w:t>or</w:t>
      </w:r>
      <w:r w:rsidR="00CD37C6">
        <w:t xml:space="preserve"> </w:t>
      </w:r>
      <w:proofErr w:type="spellStart"/>
      <w:r>
        <w:t>statewide</w:t>
      </w:r>
      <w:proofErr w:type="spellEnd"/>
      <w:r w:rsidR="00CD37C6">
        <w:t xml:space="preserve"> </w:t>
      </w:r>
      <w:r>
        <w:t>projects</w:t>
      </w:r>
      <w:r w:rsidR="00CD37C6">
        <w:t xml:space="preserve"> </w:t>
      </w:r>
      <w:r>
        <w:t>are</w:t>
      </w:r>
      <w:r w:rsidR="00CD37C6">
        <w:t xml:space="preserve"> </w:t>
      </w:r>
      <w:r>
        <w:t>subject</w:t>
      </w:r>
      <w:r w:rsidR="00CD37C6">
        <w:t xml:space="preserve"> </w:t>
      </w:r>
      <w:r>
        <w:t>to</w:t>
      </w:r>
      <w:r w:rsidR="00CD37C6">
        <w:t xml:space="preserve"> </w:t>
      </w:r>
      <w:r>
        <w:t>LJF.</w:t>
      </w:r>
      <w:r w:rsidR="00CD37C6">
        <w:t xml:space="preserve"> </w:t>
      </w:r>
      <w:r>
        <w:t>Please</w:t>
      </w:r>
      <w:r w:rsidR="00CD37C6">
        <w:t xml:space="preserve"> </w:t>
      </w:r>
      <w:r>
        <w:t>refer</w:t>
      </w:r>
      <w:r w:rsidR="00CD37C6">
        <w:t xml:space="preserve"> </w:t>
      </w:r>
      <w:r>
        <w:t>to</w:t>
      </w:r>
      <w:r w:rsidR="00CD37C6">
        <w:t xml:space="preserve"> </w:t>
      </w:r>
      <w:hyperlink r:id="rId13" w:history="1">
        <w:r>
          <w:rPr>
            <w:rStyle w:val="Hyperlink3"/>
          </w:rPr>
          <w:t>localjobsfirst.vic.gov.au</w:t>
        </w:r>
      </w:hyperlink>
      <w:r w:rsidR="00CD37C6">
        <w:t xml:space="preserve"> </w:t>
      </w:r>
      <w:r>
        <w:t>for</w:t>
      </w:r>
      <w:r w:rsidR="00CD37C6">
        <w:t xml:space="preserve"> </w:t>
      </w:r>
      <w:r>
        <w:t>more</w:t>
      </w:r>
      <w:r w:rsidR="00CD37C6">
        <w:t xml:space="preserve"> </w:t>
      </w:r>
      <w:r>
        <w:t>details.</w:t>
      </w:r>
    </w:p>
    <w:p w14:paraId="686E939A" w14:textId="6EF5A5F9" w:rsidR="009F127E" w:rsidRDefault="00000000" w:rsidP="008E4EA4">
      <w:r>
        <w:t>Potential</w:t>
      </w:r>
      <w:r w:rsidR="00CD37C6">
        <w:t xml:space="preserve"> </w:t>
      </w:r>
      <w:r>
        <w:t>recipients</w:t>
      </w:r>
      <w:r w:rsidR="00CD37C6">
        <w:t xml:space="preserve"> </w:t>
      </w:r>
      <w:r>
        <w:t>are</w:t>
      </w:r>
      <w:r w:rsidR="00CD37C6">
        <w:t xml:space="preserve"> </w:t>
      </w:r>
      <w:r>
        <w:t>also</w:t>
      </w:r>
      <w:r w:rsidR="00CD37C6">
        <w:t xml:space="preserve"> </w:t>
      </w:r>
      <w:r>
        <w:t>encouraged</w:t>
      </w:r>
      <w:r w:rsidR="00CD37C6">
        <w:t xml:space="preserve"> </w:t>
      </w:r>
      <w:r>
        <w:t>to</w:t>
      </w:r>
      <w:r w:rsidR="00CD37C6">
        <w:t xml:space="preserve"> </w:t>
      </w:r>
      <w:r>
        <w:t>engage</w:t>
      </w:r>
      <w:r w:rsidR="00CD37C6">
        <w:t xml:space="preserve"> </w:t>
      </w:r>
      <w:r>
        <w:t>with</w:t>
      </w:r>
      <w:r w:rsidR="00CD37C6">
        <w:t xml:space="preserve"> </w:t>
      </w:r>
      <w:r>
        <w:t>the</w:t>
      </w:r>
      <w:r w:rsidR="00CD37C6">
        <w:t xml:space="preserve"> </w:t>
      </w:r>
      <w:r>
        <w:t>Industry</w:t>
      </w:r>
      <w:r w:rsidR="00CD37C6">
        <w:t xml:space="preserve"> </w:t>
      </w:r>
      <w:r>
        <w:t>Capability</w:t>
      </w:r>
      <w:r w:rsidR="00CD37C6">
        <w:t xml:space="preserve"> </w:t>
      </w:r>
      <w:r>
        <w:t>Network</w:t>
      </w:r>
      <w:r w:rsidR="00CD37C6">
        <w:t xml:space="preserve"> </w:t>
      </w:r>
      <w:r>
        <w:t>(ICN)</w:t>
      </w:r>
      <w:r w:rsidR="00CD37C6">
        <w:t xml:space="preserve"> </w:t>
      </w:r>
      <w:r>
        <w:t>at</w:t>
      </w:r>
      <w:r w:rsidR="00CD37C6">
        <w:t xml:space="preserve"> </w:t>
      </w:r>
      <w:r>
        <w:t>the</w:t>
      </w:r>
      <w:r w:rsidR="00CD37C6">
        <w:t xml:space="preserve"> </w:t>
      </w:r>
      <w:r>
        <w:t>time</w:t>
      </w:r>
      <w:r w:rsidR="00CD37C6">
        <w:t xml:space="preserve"> </w:t>
      </w:r>
      <w:r>
        <w:t>of</w:t>
      </w:r>
      <w:r w:rsidR="00CD37C6">
        <w:t xml:space="preserve"> </w:t>
      </w:r>
      <w:r>
        <w:t>their</w:t>
      </w:r>
      <w:r w:rsidR="00CD37C6">
        <w:t xml:space="preserve"> </w:t>
      </w:r>
      <w:r>
        <w:t>application.</w:t>
      </w:r>
      <w:r w:rsidR="00CD37C6">
        <w:t xml:space="preserve"> </w:t>
      </w:r>
      <w:r>
        <w:t>Please</w:t>
      </w:r>
      <w:r w:rsidR="00CD37C6">
        <w:t xml:space="preserve"> </w:t>
      </w:r>
      <w:r>
        <w:t>refer</w:t>
      </w:r>
      <w:r w:rsidR="00CD37C6">
        <w:t xml:space="preserve"> </w:t>
      </w:r>
      <w:r>
        <w:t>to</w:t>
      </w:r>
      <w:r w:rsidR="00CD37C6">
        <w:t xml:space="preserve"> </w:t>
      </w:r>
      <w:hyperlink r:id="rId14" w:history="1">
        <w:r>
          <w:rPr>
            <w:rStyle w:val="Hyperlink3"/>
          </w:rPr>
          <w:t>icn.org.au</w:t>
        </w:r>
      </w:hyperlink>
      <w:r w:rsidR="00CD37C6">
        <w:t xml:space="preserve"> </w:t>
      </w:r>
      <w:r>
        <w:t>for</w:t>
      </w:r>
      <w:r w:rsidR="00CD37C6">
        <w:t xml:space="preserve"> </w:t>
      </w:r>
      <w:r>
        <w:t>more</w:t>
      </w:r>
      <w:r w:rsidR="00CD37C6">
        <w:t xml:space="preserve"> </w:t>
      </w:r>
      <w:r>
        <w:t>details.</w:t>
      </w:r>
    </w:p>
    <w:p w14:paraId="75215D40" w14:textId="77777777" w:rsidR="009F127E" w:rsidRPr="005C4339" w:rsidRDefault="00000000" w:rsidP="005C4339">
      <w:pPr>
        <w:pStyle w:val="Normalbeforebullet"/>
        <w:rPr>
          <w:b/>
          <w:bCs/>
        </w:rPr>
      </w:pPr>
      <w:r w:rsidRPr="005C4339">
        <w:rPr>
          <w:b/>
          <w:bCs/>
        </w:rPr>
        <w:t>Publicity</w:t>
      </w:r>
    </w:p>
    <w:p w14:paraId="1C034614" w14:textId="40E34C64" w:rsidR="009F127E" w:rsidRDefault="00000000" w:rsidP="008E4EA4">
      <w:r>
        <w:t>Recipients</w:t>
      </w:r>
      <w:r w:rsidR="00CD37C6">
        <w:t xml:space="preserve"> </w:t>
      </w:r>
      <w:r>
        <w:t>must</w:t>
      </w:r>
      <w:r w:rsidR="00CD37C6">
        <w:t xml:space="preserve"> </w:t>
      </w:r>
      <w:r>
        <w:t>agree</w:t>
      </w:r>
      <w:r w:rsidR="00CD37C6">
        <w:t xml:space="preserve"> </w:t>
      </w:r>
      <w:r>
        <w:t>to</w:t>
      </w:r>
      <w:r w:rsidR="00CD37C6">
        <w:t xml:space="preserve"> </w:t>
      </w:r>
      <w:r>
        <w:t>cooperate</w:t>
      </w:r>
      <w:r w:rsidR="00CD37C6">
        <w:t xml:space="preserve"> </w:t>
      </w:r>
      <w:r>
        <w:t>with</w:t>
      </w:r>
      <w:r w:rsidR="00CD37C6">
        <w:t xml:space="preserve"> </w:t>
      </w:r>
      <w:r>
        <w:t>the</w:t>
      </w:r>
      <w:r w:rsidR="00CD37C6">
        <w:t xml:space="preserve"> </w:t>
      </w:r>
      <w:r>
        <w:t>Department</w:t>
      </w:r>
      <w:r w:rsidR="00CD37C6">
        <w:t xml:space="preserve"> </w:t>
      </w:r>
      <w:r>
        <w:t>in</w:t>
      </w:r>
      <w:r w:rsidR="00CD37C6">
        <w:t xml:space="preserve"> </w:t>
      </w:r>
      <w:r>
        <w:t>the</w:t>
      </w:r>
      <w:r w:rsidR="00CD37C6">
        <w:t xml:space="preserve"> </w:t>
      </w:r>
      <w:r>
        <w:t>promotion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Program.</w:t>
      </w:r>
      <w:r w:rsidR="00CD37C6">
        <w:t xml:space="preserve"> </w:t>
      </w:r>
      <w:r>
        <w:t>This</w:t>
      </w:r>
      <w:r w:rsidR="00CD37C6">
        <w:t xml:space="preserve"> </w:t>
      </w:r>
      <w:r>
        <w:t>may</w:t>
      </w:r>
      <w:r w:rsidR="00CD37C6">
        <w:t xml:space="preserve"> </w:t>
      </w:r>
      <w:r>
        <w:t>include</w:t>
      </w:r>
      <w:r w:rsidR="00CD37C6">
        <w:t xml:space="preserve"> </w:t>
      </w:r>
      <w:r>
        <w:t>involvement</w:t>
      </w:r>
      <w:r w:rsidR="00CD37C6">
        <w:t xml:space="preserve"> </w:t>
      </w:r>
      <w:r>
        <w:t>in</w:t>
      </w:r>
      <w:r w:rsidR="00CD37C6">
        <w:t xml:space="preserve"> </w:t>
      </w:r>
      <w:r>
        <w:t>media</w:t>
      </w:r>
      <w:r w:rsidR="00CD37C6">
        <w:t xml:space="preserve"> </w:t>
      </w:r>
      <w:r>
        <w:t>releases,</w:t>
      </w:r>
      <w:r w:rsidR="00CD37C6">
        <w:t xml:space="preserve"> </w:t>
      </w:r>
      <w:r>
        <w:t>case</w:t>
      </w:r>
      <w:r w:rsidR="00CD37C6">
        <w:t xml:space="preserve"> </w:t>
      </w:r>
      <w:r>
        <w:t>studies</w:t>
      </w:r>
      <w:r w:rsidR="00CD37C6">
        <w:t xml:space="preserve"> </w:t>
      </w:r>
      <w:r>
        <w:t>or</w:t>
      </w:r>
      <w:r w:rsidR="00CD37C6">
        <w:t xml:space="preserve"> </w:t>
      </w:r>
      <w:r>
        <w:t>promotional</w:t>
      </w:r>
      <w:r w:rsidR="00CD37C6">
        <w:t xml:space="preserve"> </w:t>
      </w:r>
      <w:r>
        <w:t>events</w:t>
      </w:r>
      <w:r w:rsidR="00CD37C6">
        <w:t xml:space="preserve"> </w:t>
      </w:r>
      <w:r>
        <w:t>and</w:t>
      </w:r>
      <w:r w:rsidR="00CD37C6">
        <w:t xml:space="preserve"> </w:t>
      </w:r>
      <w:r>
        <w:t>activities.</w:t>
      </w:r>
    </w:p>
    <w:p w14:paraId="44A44169" w14:textId="04BBED6F" w:rsidR="009F127E" w:rsidRDefault="00000000" w:rsidP="008E4EA4">
      <w:r>
        <w:t>The</w:t>
      </w:r>
      <w:r w:rsidR="00CD37C6">
        <w:t xml:space="preserve"> </w:t>
      </w:r>
      <w:r>
        <w:t>Department</w:t>
      </w:r>
      <w:r w:rsidR="00CD37C6">
        <w:t xml:space="preserve"> </w:t>
      </w:r>
      <w:r>
        <w:t>may</w:t>
      </w:r>
      <w:r w:rsidR="00CD37C6">
        <w:t xml:space="preserve"> </w:t>
      </w:r>
      <w:r>
        <w:t>request</w:t>
      </w:r>
      <w:r w:rsidR="00CD37C6">
        <w:t xml:space="preserve"> </w:t>
      </w:r>
      <w:r>
        <w:t>recipients</w:t>
      </w:r>
      <w:r w:rsidR="00CD37C6">
        <w:t xml:space="preserve"> </w:t>
      </w:r>
      <w:r>
        <w:t>to</w:t>
      </w:r>
      <w:r w:rsidR="00CD37C6">
        <w:t xml:space="preserve"> </w:t>
      </w:r>
      <w:r>
        <w:t>fact</w:t>
      </w:r>
      <w:r w:rsidR="00CD37C6">
        <w:t xml:space="preserve"> </w:t>
      </w:r>
      <w:r>
        <w:t>check</w:t>
      </w:r>
      <w:r w:rsidR="00CD37C6">
        <w:t xml:space="preserve"> </w:t>
      </w:r>
      <w:r>
        <w:t>any</w:t>
      </w:r>
      <w:r w:rsidR="00CD37C6">
        <w:t xml:space="preserve"> </w:t>
      </w:r>
      <w:r>
        <w:t>text</w:t>
      </w:r>
      <w:r w:rsidR="00CD37C6">
        <w:t xml:space="preserve"> </w:t>
      </w:r>
      <w:r>
        <w:t>and</w:t>
      </w:r>
      <w:r w:rsidR="00CD37C6">
        <w:t xml:space="preserve"> </w:t>
      </w:r>
      <w:r>
        <w:t>seek</w:t>
      </w:r>
      <w:r w:rsidR="00CD37C6">
        <w:t xml:space="preserve"> </w:t>
      </w:r>
      <w:r>
        <w:t>approval</w:t>
      </w:r>
      <w:r w:rsidR="00CD37C6">
        <w:t xml:space="preserve"> </w:t>
      </w:r>
      <w:r>
        <w:t>to</w:t>
      </w:r>
      <w:r w:rsidR="00CD37C6">
        <w:t xml:space="preserve"> </w:t>
      </w:r>
      <w:r>
        <w:t>use</w:t>
      </w:r>
      <w:r w:rsidR="00CD37C6">
        <w:t xml:space="preserve"> </w:t>
      </w:r>
      <w:r>
        <w:t>any</w:t>
      </w:r>
      <w:r w:rsidR="00CD37C6">
        <w:t xml:space="preserve"> </w:t>
      </w:r>
      <w:r>
        <w:t>owned</w:t>
      </w:r>
      <w:r w:rsidR="00CD37C6">
        <w:t xml:space="preserve"> </w:t>
      </w:r>
      <w:r>
        <w:t>imagery</w:t>
      </w:r>
      <w:r w:rsidR="00CD37C6">
        <w:t xml:space="preserve"> </w:t>
      </w:r>
      <w:r>
        <w:t>associated</w:t>
      </w:r>
      <w:r w:rsidR="00CD37C6">
        <w:t xml:space="preserve"> </w:t>
      </w:r>
      <w:r>
        <w:t>with</w:t>
      </w:r>
      <w:r w:rsidR="00CD37C6">
        <w:t xml:space="preserve"> </w:t>
      </w:r>
      <w:r>
        <w:t>the</w:t>
      </w:r>
      <w:r w:rsidR="00CD37C6">
        <w:t xml:space="preserve"> </w:t>
      </w:r>
      <w:r>
        <w:t>activity</w:t>
      </w:r>
      <w:r w:rsidR="00CD37C6">
        <w:t xml:space="preserve"> </w:t>
      </w:r>
      <w:r>
        <w:t>prior</w:t>
      </w:r>
      <w:r w:rsidR="00CD37C6">
        <w:t xml:space="preserve"> </w:t>
      </w:r>
      <w:r>
        <w:t>to</w:t>
      </w:r>
      <w:r w:rsidR="00CD37C6">
        <w:t xml:space="preserve"> </w:t>
      </w:r>
      <w:r>
        <w:t>the</w:t>
      </w:r>
      <w:r w:rsidR="00CD37C6">
        <w:t xml:space="preserve"> </w:t>
      </w:r>
      <w:r>
        <w:t>publication</w:t>
      </w:r>
      <w:r w:rsidR="00CD37C6">
        <w:t xml:space="preserve"> </w:t>
      </w:r>
      <w:r>
        <w:t>of</w:t>
      </w:r>
      <w:r w:rsidR="00CD37C6">
        <w:t xml:space="preserve"> </w:t>
      </w:r>
      <w:r>
        <w:t>any</w:t>
      </w:r>
      <w:r w:rsidR="00CD37C6">
        <w:t xml:space="preserve"> </w:t>
      </w:r>
      <w:r>
        <w:t>such</w:t>
      </w:r>
      <w:r w:rsidR="00CD37C6">
        <w:t xml:space="preserve"> </w:t>
      </w:r>
      <w:r>
        <w:t>promotional</w:t>
      </w:r>
      <w:r w:rsidR="00CD37C6">
        <w:t xml:space="preserve"> </w:t>
      </w:r>
      <w:r>
        <w:t>materials.</w:t>
      </w:r>
    </w:p>
    <w:p w14:paraId="6C6E324F" w14:textId="3A766580" w:rsidR="009F127E" w:rsidRDefault="00000000" w:rsidP="008E4EA4">
      <w:r>
        <w:t>Details</w:t>
      </w:r>
      <w:r w:rsidR="00CD37C6">
        <w:t xml:space="preserve"> </w:t>
      </w:r>
      <w:r>
        <w:t>of</w:t>
      </w:r>
      <w:r w:rsidR="00CD37C6">
        <w:t xml:space="preserve"> </w:t>
      </w:r>
      <w:r>
        <w:t>successful</w:t>
      </w:r>
      <w:r w:rsidR="00CD37C6">
        <w:t xml:space="preserve"> </w:t>
      </w:r>
      <w:r>
        <w:t>grants</w:t>
      </w:r>
      <w:r w:rsidR="00CD37C6">
        <w:t xml:space="preserve"> </w:t>
      </w:r>
      <w:r>
        <w:t>are</w:t>
      </w:r>
      <w:r w:rsidR="00CD37C6">
        <w:t xml:space="preserve"> </w:t>
      </w:r>
      <w:r>
        <w:t>to</w:t>
      </w:r>
      <w:r w:rsidR="00CD37C6">
        <w:t xml:space="preserve"> </w:t>
      </w:r>
      <w:r>
        <w:t>remain</w:t>
      </w:r>
      <w:r w:rsidR="00CD37C6">
        <w:t xml:space="preserve"> </w:t>
      </w:r>
      <w:r>
        <w:t>confidential</w:t>
      </w:r>
      <w:r w:rsidR="00CD37C6">
        <w:t xml:space="preserve"> </w:t>
      </w:r>
      <w:r>
        <w:t>until</w:t>
      </w:r>
      <w:r w:rsidR="00CD37C6">
        <w:t xml:space="preserve"> </w:t>
      </w:r>
      <w:r>
        <w:t>formally</w:t>
      </w:r>
      <w:r w:rsidR="00CD37C6">
        <w:t xml:space="preserve"> </w:t>
      </w:r>
      <w:r>
        <w:t>announced</w:t>
      </w:r>
      <w:r w:rsidR="00CD37C6">
        <w:t xml:space="preserve"> </w:t>
      </w:r>
      <w:r>
        <w:t>by</w:t>
      </w:r>
      <w:r w:rsidR="00CD37C6">
        <w:t xml:space="preserve"> </w:t>
      </w:r>
      <w:r>
        <w:t>the</w:t>
      </w:r>
      <w:r w:rsidR="00CD37C6">
        <w:t xml:space="preserve"> </w:t>
      </w:r>
      <w:r>
        <w:t>Victorian</w:t>
      </w:r>
      <w:r w:rsidR="00CD37C6">
        <w:t xml:space="preserve"> </w:t>
      </w:r>
      <w:r>
        <w:t>Government.</w:t>
      </w:r>
    </w:p>
    <w:p w14:paraId="5A8CE062" w14:textId="28C53EE3" w:rsidR="009F127E" w:rsidRDefault="00000000" w:rsidP="008E4EA4">
      <w:r>
        <w:t>All</w:t>
      </w:r>
      <w:r w:rsidR="00CD37C6">
        <w:t xml:space="preserve"> </w:t>
      </w:r>
      <w:r>
        <w:t>funded</w:t>
      </w:r>
      <w:r w:rsidR="00CD37C6">
        <w:t xml:space="preserve"> </w:t>
      </w:r>
      <w:r>
        <w:t>projects</w:t>
      </w:r>
      <w:r w:rsidR="00CD37C6">
        <w:t xml:space="preserve"> </w:t>
      </w:r>
      <w:r>
        <w:t>will</w:t>
      </w:r>
      <w:r w:rsidR="00CD37C6">
        <w:t xml:space="preserve"> </w:t>
      </w:r>
      <w:r>
        <w:t>be</w:t>
      </w:r>
      <w:r w:rsidR="00CD37C6">
        <w:t xml:space="preserve"> </w:t>
      </w:r>
      <w:r>
        <w:t>publicly</w:t>
      </w:r>
      <w:r w:rsidR="00CD37C6">
        <w:t xml:space="preserve"> </w:t>
      </w:r>
      <w:r>
        <w:t>listed</w:t>
      </w:r>
      <w:r w:rsidR="00CD37C6">
        <w:t xml:space="preserve"> </w:t>
      </w:r>
      <w:r>
        <w:t>in</w:t>
      </w:r>
      <w:r w:rsidR="00CD37C6">
        <w:t xml:space="preserve"> </w:t>
      </w:r>
      <w:r>
        <w:t>an</w:t>
      </w:r>
      <w:r w:rsidR="00CD37C6">
        <w:t xml:space="preserve"> </w:t>
      </w:r>
      <w:r>
        <w:t>annual</w:t>
      </w:r>
      <w:r w:rsidR="00CD37C6">
        <w:t xml:space="preserve"> </w:t>
      </w:r>
      <w:r>
        <w:t>report</w:t>
      </w:r>
      <w:r w:rsidR="00CD37C6">
        <w:t xml:space="preserve"> </w:t>
      </w:r>
      <w:r>
        <w:t>which</w:t>
      </w:r>
      <w:r w:rsidR="00CD37C6">
        <w:t xml:space="preserve"> </w:t>
      </w:r>
      <w:r>
        <w:t>is</w:t>
      </w:r>
      <w:r w:rsidR="00CD37C6">
        <w:t xml:space="preserve"> </w:t>
      </w:r>
      <w:r>
        <w:t>published</w:t>
      </w:r>
      <w:r w:rsidR="00CD37C6">
        <w:t xml:space="preserve"> </w:t>
      </w:r>
      <w:r>
        <w:t>on</w:t>
      </w:r>
      <w:r w:rsidR="00CD37C6">
        <w:t xml:space="preserve"> </w:t>
      </w:r>
      <w:r>
        <w:t>Agriculture</w:t>
      </w:r>
      <w:r w:rsidR="00CD37C6">
        <w:t xml:space="preserve"> </w:t>
      </w:r>
      <w:r>
        <w:t>Victoria’s</w:t>
      </w:r>
      <w:r w:rsidR="00CD37C6">
        <w:t xml:space="preserve"> </w:t>
      </w:r>
      <w:r>
        <w:t>website.</w:t>
      </w:r>
    </w:p>
    <w:p w14:paraId="6988E7CA" w14:textId="1E3B0FDA" w:rsidR="009F127E" w:rsidRDefault="00000000" w:rsidP="008E4EA4">
      <w:r>
        <w:t>Recipients</w:t>
      </w:r>
      <w:r w:rsidR="00CD37C6">
        <w:t xml:space="preserve"> </w:t>
      </w:r>
      <w:r>
        <w:t>must</w:t>
      </w:r>
      <w:r w:rsidR="00CD37C6">
        <w:t xml:space="preserve"> </w:t>
      </w:r>
      <w:r>
        <w:t>ensure</w:t>
      </w:r>
      <w:r w:rsidR="00CD37C6">
        <w:t xml:space="preserve"> </w:t>
      </w:r>
      <w:r>
        <w:t>that</w:t>
      </w:r>
      <w:r w:rsidR="00CD37C6">
        <w:t xml:space="preserve"> </w:t>
      </w:r>
      <w:r>
        <w:t>when</w:t>
      </w:r>
      <w:r w:rsidR="00CD37C6">
        <w:t xml:space="preserve"> </w:t>
      </w:r>
      <w:r>
        <w:t>publishing</w:t>
      </w:r>
      <w:r w:rsidR="00CD37C6">
        <w:t xml:space="preserve"> </w:t>
      </w:r>
      <w:r>
        <w:t>any</w:t>
      </w:r>
      <w:r w:rsidR="00CD37C6">
        <w:t xml:space="preserve"> </w:t>
      </w:r>
      <w:r>
        <w:t>documents</w:t>
      </w:r>
      <w:r w:rsidR="00CD37C6">
        <w:t xml:space="preserve"> </w:t>
      </w:r>
      <w:r>
        <w:t>related</w:t>
      </w:r>
      <w:r w:rsidR="00CD37C6">
        <w:t xml:space="preserve"> </w:t>
      </w:r>
      <w:r>
        <w:t>to</w:t>
      </w:r>
      <w:r w:rsidR="00CD37C6">
        <w:t xml:space="preserve"> </w:t>
      </w:r>
      <w:r>
        <w:t>the</w:t>
      </w:r>
      <w:r w:rsidR="00CD37C6">
        <w:t xml:space="preserve"> </w:t>
      </w:r>
      <w:r>
        <w:t>project</w:t>
      </w:r>
      <w:r w:rsidR="00CD37C6">
        <w:t xml:space="preserve"> </w:t>
      </w:r>
      <w:r>
        <w:t>that</w:t>
      </w:r>
      <w:r w:rsidR="00CD37C6">
        <w:t xml:space="preserve"> </w:t>
      </w:r>
      <w:r>
        <w:t>the</w:t>
      </w:r>
      <w:r w:rsidR="00CD37C6">
        <w:t xml:space="preserve"> </w:t>
      </w:r>
      <w:r>
        <w:t>relevant</w:t>
      </w:r>
      <w:r w:rsidR="00CD37C6">
        <w:t xml:space="preserve"> </w:t>
      </w:r>
      <w:r>
        <w:t>compensation</w:t>
      </w:r>
      <w:r w:rsidR="00CD37C6">
        <w:t xml:space="preserve"> </w:t>
      </w:r>
      <w:r>
        <w:t>fund</w:t>
      </w:r>
      <w:r w:rsidR="00CD37C6">
        <w:t xml:space="preserve"> </w:t>
      </w:r>
      <w:r>
        <w:t>is</w:t>
      </w:r>
      <w:r w:rsidR="00CD37C6">
        <w:t xml:space="preserve"> </w:t>
      </w:r>
      <w:r>
        <w:t>attributed</w:t>
      </w:r>
      <w:r w:rsidR="00CD37C6">
        <w:t xml:space="preserve"> </w:t>
      </w:r>
      <w:r>
        <w:t>as</w:t>
      </w:r>
      <w:r w:rsidR="00CD37C6">
        <w:t xml:space="preserve"> </w:t>
      </w:r>
      <w:r>
        <w:t>the</w:t>
      </w:r>
      <w:r w:rsidR="00CD37C6">
        <w:t xml:space="preserve"> </w:t>
      </w:r>
      <w:r>
        <w:t>source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project’s</w:t>
      </w:r>
      <w:r w:rsidR="00CD37C6">
        <w:t xml:space="preserve"> </w:t>
      </w:r>
      <w:r>
        <w:t>funding.</w:t>
      </w:r>
    </w:p>
    <w:p w14:paraId="44312891" w14:textId="31D1DBA6" w:rsidR="009F127E" w:rsidRPr="005C4339" w:rsidRDefault="00000000" w:rsidP="005C4339">
      <w:pPr>
        <w:pStyle w:val="Normalbeforebullet"/>
        <w:rPr>
          <w:b/>
          <w:bCs/>
        </w:rPr>
      </w:pPr>
      <w:r w:rsidRPr="005C4339">
        <w:rPr>
          <w:b/>
          <w:bCs/>
        </w:rPr>
        <w:t>Post</w:t>
      </w:r>
      <w:r w:rsidR="00CD37C6" w:rsidRPr="005C4339">
        <w:rPr>
          <w:b/>
          <w:bCs/>
        </w:rPr>
        <w:t xml:space="preserve"> </w:t>
      </w:r>
      <w:r w:rsidRPr="005C4339">
        <w:rPr>
          <w:b/>
          <w:bCs/>
        </w:rPr>
        <w:t>Project</w:t>
      </w:r>
      <w:r w:rsidR="00CD37C6" w:rsidRPr="005C4339">
        <w:rPr>
          <w:b/>
          <w:bCs/>
        </w:rPr>
        <w:t xml:space="preserve"> </w:t>
      </w:r>
      <w:r w:rsidRPr="005C4339">
        <w:rPr>
          <w:b/>
          <w:bCs/>
        </w:rPr>
        <w:t>Evaluation</w:t>
      </w:r>
    </w:p>
    <w:p w14:paraId="2CEE2A01" w14:textId="7BDC32C3" w:rsidR="009F127E" w:rsidRDefault="00000000" w:rsidP="008E4EA4">
      <w:r>
        <w:t>As</w:t>
      </w:r>
      <w:r w:rsidR="00CD37C6">
        <w:t xml:space="preserve"> </w:t>
      </w:r>
      <w:r>
        <w:t>a</w:t>
      </w:r>
      <w:r w:rsidR="00CD37C6">
        <w:t xml:space="preserve"> </w:t>
      </w:r>
      <w:r>
        <w:t>condition</w:t>
      </w:r>
      <w:r w:rsidR="00CD37C6">
        <w:t xml:space="preserve"> </w:t>
      </w:r>
      <w:r>
        <w:t>of</w:t>
      </w:r>
      <w:r w:rsidR="00CD37C6">
        <w:t xml:space="preserve"> </w:t>
      </w:r>
      <w:r>
        <w:t>funding,</w:t>
      </w:r>
      <w:r w:rsidR="00CD37C6">
        <w:t xml:space="preserve"> </w:t>
      </w:r>
      <w:r>
        <w:t>recipients</w:t>
      </w:r>
      <w:r w:rsidR="00CD37C6">
        <w:t xml:space="preserve"> </w:t>
      </w:r>
      <w:r>
        <w:t>agree</w:t>
      </w:r>
      <w:r w:rsidR="00CD37C6">
        <w:t xml:space="preserve"> </w:t>
      </w:r>
      <w:r>
        <w:t>to</w:t>
      </w:r>
      <w:r w:rsidR="00CD37C6">
        <w:t xml:space="preserve"> </w:t>
      </w:r>
      <w:r>
        <w:t>participate</w:t>
      </w:r>
      <w:r w:rsidR="00CD37C6">
        <w:t xml:space="preserve"> </w:t>
      </w:r>
      <w:r>
        <w:t>in</w:t>
      </w:r>
      <w:r w:rsidR="00CD37C6">
        <w:t xml:space="preserve"> </w:t>
      </w:r>
      <w:r>
        <w:t>any</w:t>
      </w:r>
      <w:r w:rsidR="00CD37C6">
        <w:t xml:space="preserve"> </w:t>
      </w:r>
      <w:r>
        <w:t>evaluation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Program.</w:t>
      </w:r>
      <w:r w:rsidR="00CD37C6">
        <w:t xml:space="preserve"> </w:t>
      </w:r>
      <w:r>
        <w:t>This</w:t>
      </w:r>
      <w:r w:rsidR="00CD37C6">
        <w:t xml:space="preserve"> </w:t>
      </w:r>
      <w:r>
        <w:t>may</w:t>
      </w:r>
      <w:r w:rsidR="00CD37C6">
        <w:t xml:space="preserve"> </w:t>
      </w:r>
      <w:r>
        <w:t>be</w:t>
      </w:r>
      <w:r w:rsidR="00CD37C6">
        <w:t xml:space="preserve"> </w:t>
      </w:r>
      <w:r>
        <w:t>a</w:t>
      </w:r>
      <w:r w:rsidR="00CD37C6">
        <w:t xml:space="preserve"> </w:t>
      </w:r>
      <w:r>
        <w:t>small</w:t>
      </w:r>
      <w:r w:rsidR="00CD37C6">
        <w:t xml:space="preserve"> </w:t>
      </w:r>
      <w:r>
        <w:t>end</w:t>
      </w:r>
      <w:r w:rsidR="00CD37C6">
        <w:t xml:space="preserve"> </w:t>
      </w:r>
      <w:r>
        <w:t>of</w:t>
      </w:r>
      <w:r w:rsidR="00CD37C6">
        <w:t xml:space="preserve"> </w:t>
      </w:r>
      <w:r>
        <w:t>grant</w:t>
      </w:r>
      <w:r w:rsidR="00CD37C6">
        <w:t xml:space="preserve"> </w:t>
      </w:r>
      <w:r>
        <w:t>survey</w:t>
      </w:r>
      <w:r w:rsidR="00CD37C6">
        <w:t xml:space="preserve"> </w:t>
      </w:r>
      <w:r>
        <w:t>or</w:t>
      </w:r>
      <w:r w:rsidR="00CD37C6">
        <w:t xml:space="preserve"> </w:t>
      </w:r>
      <w:r>
        <w:t>a</w:t>
      </w:r>
      <w:r w:rsidR="00CD37C6">
        <w:t xml:space="preserve"> </w:t>
      </w:r>
      <w:r>
        <w:t>short</w:t>
      </w:r>
      <w:r w:rsidR="00CD37C6">
        <w:t xml:space="preserve"> </w:t>
      </w:r>
      <w:r>
        <w:t>interview</w:t>
      </w:r>
      <w:r w:rsidR="00CD37C6">
        <w:t xml:space="preserve"> </w:t>
      </w:r>
      <w:r>
        <w:t>case-study.</w:t>
      </w:r>
      <w:r w:rsidR="00CD37C6">
        <w:t xml:space="preserve"> </w:t>
      </w:r>
    </w:p>
    <w:p w14:paraId="47CE2E59" w14:textId="6137341B" w:rsidR="009F127E" w:rsidRDefault="00000000" w:rsidP="008E4EA4">
      <w:r>
        <w:t>This</w:t>
      </w:r>
      <w:r w:rsidR="00CD37C6">
        <w:t xml:space="preserve"> </w:t>
      </w:r>
      <w:r>
        <w:t>evaluation</w:t>
      </w:r>
      <w:r w:rsidR="00CD37C6">
        <w:t xml:space="preserve"> </w:t>
      </w:r>
      <w:r>
        <w:t>survey</w:t>
      </w:r>
      <w:r w:rsidR="00CD37C6">
        <w:t xml:space="preserve"> </w:t>
      </w:r>
      <w:r>
        <w:t>is</w:t>
      </w:r>
      <w:r w:rsidR="00CD37C6">
        <w:t xml:space="preserve"> </w:t>
      </w:r>
      <w:r>
        <w:t>important</w:t>
      </w:r>
      <w:r w:rsidR="00CD37C6">
        <w:t xml:space="preserve"> </w:t>
      </w:r>
      <w:r>
        <w:t>for</w:t>
      </w:r>
      <w:r w:rsidR="00CD37C6">
        <w:t xml:space="preserve"> </w:t>
      </w:r>
      <w:r>
        <w:t>the</w:t>
      </w:r>
      <w:r w:rsidR="00CD37C6">
        <w:t xml:space="preserve"> </w:t>
      </w:r>
      <w:r>
        <w:t>Department</w:t>
      </w:r>
      <w:r w:rsidR="00CD37C6">
        <w:t xml:space="preserve"> </w:t>
      </w:r>
      <w:r>
        <w:t>to</w:t>
      </w:r>
      <w:r w:rsidR="00CD37C6">
        <w:t xml:space="preserve"> </w:t>
      </w:r>
      <w:r>
        <w:t>be</w:t>
      </w:r>
      <w:r w:rsidR="00CD37C6">
        <w:t xml:space="preserve"> </w:t>
      </w:r>
      <w:r>
        <w:t>able</w:t>
      </w:r>
      <w:r w:rsidR="00CD37C6">
        <w:t xml:space="preserve"> </w:t>
      </w:r>
      <w:r>
        <w:t>to</w:t>
      </w:r>
      <w:r w:rsidR="00CD37C6">
        <w:t xml:space="preserve"> </w:t>
      </w:r>
      <w:r>
        <w:t>assess</w:t>
      </w:r>
      <w:r w:rsidR="00CD37C6">
        <w:t xml:space="preserve"> </w:t>
      </w:r>
      <w:r>
        <w:t>the</w:t>
      </w:r>
      <w:r w:rsidR="00CD37C6">
        <w:t xml:space="preserve"> </w:t>
      </w:r>
      <w:r>
        <w:t>effectiveness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successful</w:t>
      </w:r>
      <w:r w:rsidR="00CD37C6">
        <w:t xml:space="preserve"> </w:t>
      </w:r>
      <w:r>
        <w:t>projects</w:t>
      </w:r>
      <w:r w:rsidR="00CD37C6">
        <w:t xml:space="preserve"> </w:t>
      </w:r>
      <w:r>
        <w:t>in</w:t>
      </w:r>
      <w:r w:rsidR="00CD37C6">
        <w:t xml:space="preserve"> </w:t>
      </w:r>
      <w:r>
        <w:t>providing</w:t>
      </w:r>
      <w:r w:rsidR="00CD37C6">
        <w:t xml:space="preserve"> </w:t>
      </w:r>
      <w:r>
        <w:t>improvements</w:t>
      </w:r>
      <w:r w:rsidR="00CD37C6">
        <w:t xml:space="preserve"> </w:t>
      </w:r>
      <w:r>
        <w:t>to</w:t>
      </w:r>
      <w:r w:rsidR="00CD37C6">
        <w:t xml:space="preserve"> </w:t>
      </w:r>
      <w:r>
        <w:t>the</w:t>
      </w:r>
      <w:r w:rsidR="00CD37C6">
        <w:t xml:space="preserve"> </w:t>
      </w:r>
      <w:r>
        <w:t>industries</w:t>
      </w:r>
      <w:r w:rsidR="00CD37C6">
        <w:t xml:space="preserve"> </w:t>
      </w:r>
      <w:r>
        <w:t>to</w:t>
      </w:r>
      <w:r w:rsidR="00CD37C6">
        <w:t xml:space="preserve"> </w:t>
      </w:r>
      <w:r>
        <w:t>ensure</w:t>
      </w:r>
      <w:r w:rsidR="00CD37C6">
        <w:t xml:space="preserve"> </w:t>
      </w:r>
      <w:r>
        <w:t>the</w:t>
      </w:r>
      <w:r w:rsidR="00CD37C6">
        <w:t xml:space="preserve"> </w:t>
      </w:r>
      <w:r>
        <w:t>Program</w:t>
      </w:r>
      <w:r w:rsidR="00CD37C6">
        <w:t xml:space="preserve"> </w:t>
      </w:r>
      <w:r>
        <w:t>is</w:t>
      </w:r>
      <w:r w:rsidR="00CD37C6">
        <w:t xml:space="preserve"> </w:t>
      </w:r>
      <w:r>
        <w:t>being</w:t>
      </w:r>
      <w:r w:rsidR="00CD37C6">
        <w:t xml:space="preserve"> </w:t>
      </w:r>
      <w:r>
        <w:t>utilised</w:t>
      </w:r>
      <w:r w:rsidR="00CD37C6">
        <w:t xml:space="preserve"> </w:t>
      </w:r>
      <w:r>
        <w:t>to</w:t>
      </w:r>
      <w:r w:rsidR="00CD37C6">
        <w:t xml:space="preserve"> </w:t>
      </w:r>
      <w:r>
        <w:t>provide</w:t>
      </w:r>
      <w:r w:rsidR="00CD37C6">
        <w:t xml:space="preserve"> </w:t>
      </w:r>
      <w:r>
        <w:t>the</w:t>
      </w:r>
      <w:r w:rsidR="00CD37C6">
        <w:t xml:space="preserve"> </w:t>
      </w:r>
      <w:r>
        <w:t>best</w:t>
      </w:r>
      <w:r w:rsidR="00CD37C6">
        <w:t xml:space="preserve"> </w:t>
      </w:r>
      <w:r>
        <w:t>outcomes</w:t>
      </w:r>
      <w:r w:rsidR="00CD37C6">
        <w:t xml:space="preserve"> </w:t>
      </w:r>
      <w:r>
        <w:t>for</w:t>
      </w:r>
      <w:r w:rsidR="00CD37C6">
        <w:t xml:space="preserve"> </w:t>
      </w:r>
      <w:r>
        <w:t>Victorian</w:t>
      </w:r>
      <w:r w:rsidR="00CD37C6">
        <w:t xml:space="preserve"> </w:t>
      </w:r>
      <w:r>
        <w:t>producers.</w:t>
      </w:r>
      <w:r w:rsidR="00CD37C6">
        <w:t xml:space="preserve"> </w:t>
      </w:r>
      <w:r>
        <w:t>It</w:t>
      </w:r>
      <w:r w:rsidR="00CD37C6">
        <w:t xml:space="preserve"> </w:t>
      </w:r>
      <w:r>
        <w:t>is</w:t>
      </w:r>
      <w:r w:rsidR="00CD37C6">
        <w:t xml:space="preserve"> </w:t>
      </w:r>
      <w:r>
        <w:t>also</w:t>
      </w:r>
      <w:r w:rsidR="00CD37C6">
        <w:t xml:space="preserve"> </w:t>
      </w:r>
      <w:r>
        <w:t>important</w:t>
      </w:r>
      <w:r w:rsidR="00CD37C6">
        <w:t xml:space="preserve"> </w:t>
      </w:r>
      <w:r>
        <w:t>for</w:t>
      </w:r>
      <w:r w:rsidR="00CD37C6">
        <w:t xml:space="preserve"> </w:t>
      </w:r>
      <w:r>
        <w:t>the</w:t>
      </w:r>
      <w:r w:rsidR="00CD37C6">
        <w:t xml:space="preserve"> </w:t>
      </w:r>
      <w:r>
        <w:t>Department</w:t>
      </w:r>
      <w:r w:rsidR="00CD37C6">
        <w:t xml:space="preserve"> </w:t>
      </w:r>
      <w:r>
        <w:t>to</w:t>
      </w:r>
      <w:r w:rsidR="00CD37C6">
        <w:t xml:space="preserve"> </w:t>
      </w:r>
      <w:r>
        <w:t>improve</w:t>
      </w:r>
      <w:r w:rsidR="00CD37C6">
        <w:t xml:space="preserve"> </w:t>
      </w:r>
      <w:r>
        <w:t>its</w:t>
      </w:r>
      <w:r w:rsidR="00CD37C6">
        <w:t xml:space="preserve"> </w:t>
      </w:r>
      <w:r>
        <w:t>support</w:t>
      </w:r>
      <w:r w:rsidR="00CD37C6">
        <w:t xml:space="preserve"> </w:t>
      </w:r>
      <w:r>
        <w:t>to</w:t>
      </w:r>
      <w:r w:rsidR="00CD37C6">
        <w:t xml:space="preserve"> </w:t>
      </w:r>
      <w:r>
        <w:t>Victorian</w:t>
      </w:r>
      <w:r w:rsidR="00CD37C6">
        <w:t xml:space="preserve"> </w:t>
      </w:r>
      <w:r>
        <w:t>businesses</w:t>
      </w:r>
      <w:r w:rsidR="00CD37C6">
        <w:t xml:space="preserve"> </w:t>
      </w:r>
      <w:r>
        <w:t>and</w:t>
      </w:r>
      <w:r w:rsidR="00CD37C6">
        <w:t xml:space="preserve"> </w:t>
      </w:r>
      <w:r>
        <w:t>to</w:t>
      </w:r>
      <w:r w:rsidR="00CD37C6">
        <w:t xml:space="preserve"> </w:t>
      </w:r>
      <w:r>
        <w:t>ensure</w:t>
      </w:r>
      <w:r w:rsidR="00CD37C6">
        <w:t xml:space="preserve"> </w:t>
      </w:r>
      <w:r>
        <w:t>that</w:t>
      </w:r>
      <w:r w:rsidR="00CD37C6">
        <w:t xml:space="preserve"> </w:t>
      </w:r>
      <w:r>
        <w:t>grants</w:t>
      </w:r>
      <w:r w:rsidR="00CD37C6">
        <w:t xml:space="preserve"> </w:t>
      </w:r>
      <w:r>
        <w:t>under</w:t>
      </w:r>
      <w:r w:rsidR="00CD37C6">
        <w:t xml:space="preserve"> </w:t>
      </w:r>
      <w:r>
        <w:t>the</w:t>
      </w:r>
      <w:r w:rsidR="00CD37C6">
        <w:t xml:space="preserve"> </w:t>
      </w:r>
      <w:r>
        <w:t>Program</w:t>
      </w:r>
      <w:r w:rsidR="00CD37C6">
        <w:t xml:space="preserve"> </w:t>
      </w:r>
      <w:r>
        <w:t>can</w:t>
      </w:r>
      <w:r w:rsidR="00CD37C6">
        <w:t xml:space="preserve"> </w:t>
      </w:r>
      <w:r>
        <w:t>be</w:t>
      </w:r>
      <w:r w:rsidR="00CD37C6">
        <w:t xml:space="preserve"> </w:t>
      </w:r>
      <w:r>
        <w:t>better</w:t>
      </w:r>
      <w:r w:rsidR="00CD37C6">
        <w:t xml:space="preserve"> </w:t>
      </w:r>
      <w:r>
        <w:t>tailored</w:t>
      </w:r>
      <w:r w:rsidR="00CD37C6">
        <w:t xml:space="preserve"> </w:t>
      </w:r>
      <w:r>
        <w:t>to</w:t>
      </w:r>
      <w:r w:rsidR="00CD37C6">
        <w:t xml:space="preserve"> </w:t>
      </w:r>
      <w:r>
        <w:t>meet</w:t>
      </w:r>
      <w:r w:rsidR="00CD37C6">
        <w:t xml:space="preserve"> </w:t>
      </w:r>
      <w:r>
        <w:t>the</w:t>
      </w:r>
      <w:r w:rsidR="00CD37C6">
        <w:t xml:space="preserve"> </w:t>
      </w:r>
      <w:r>
        <w:t>needs</w:t>
      </w:r>
      <w:r w:rsidR="00CD37C6">
        <w:t xml:space="preserve"> </w:t>
      </w:r>
      <w:r>
        <w:t>of</w:t>
      </w:r>
      <w:r w:rsidR="00CD37C6">
        <w:t xml:space="preserve"> </w:t>
      </w:r>
      <w:r>
        <w:t>Victorian</w:t>
      </w:r>
      <w:r w:rsidR="00CD37C6">
        <w:t xml:space="preserve"> </w:t>
      </w:r>
      <w:r>
        <w:t>businesses</w:t>
      </w:r>
      <w:r w:rsidR="00CD37C6">
        <w:t xml:space="preserve"> </w:t>
      </w:r>
      <w:r>
        <w:t>in</w:t>
      </w:r>
      <w:r w:rsidR="00CD37C6">
        <w:t xml:space="preserve"> </w:t>
      </w:r>
      <w:r>
        <w:t>the</w:t>
      </w:r>
      <w:r w:rsidR="00CD37C6">
        <w:t xml:space="preserve"> </w:t>
      </w:r>
      <w:r>
        <w:t>future.</w:t>
      </w:r>
    </w:p>
    <w:p w14:paraId="4BD4D8D5" w14:textId="3E84C5FF" w:rsidR="009F127E" w:rsidRDefault="00000000" w:rsidP="008E4EA4">
      <w:pPr>
        <w:pStyle w:val="Heading2"/>
      </w:pPr>
      <w:bookmarkStart w:id="9" w:name="_Toc116548267"/>
      <w:r>
        <w:t>9.</w:t>
      </w:r>
      <w:r>
        <w:tab/>
      </w:r>
      <w:r w:rsidR="009B4482">
        <w:t xml:space="preserve"> </w:t>
      </w:r>
      <w:r>
        <w:t>RIGHT</w:t>
      </w:r>
      <w:r w:rsidR="00CD37C6">
        <w:t xml:space="preserve"> </w:t>
      </w:r>
      <w:r>
        <w:t>OF</w:t>
      </w:r>
      <w:r w:rsidR="00CD37C6">
        <w:t xml:space="preserve"> </w:t>
      </w:r>
      <w:r>
        <w:t>AMENDMENT</w:t>
      </w:r>
      <w:bookmarkEnd w:id="9"/>
    </w:p>
    <w:p w14:paraId="3F8F4EAD" w14:textId="4B077A3F" w:rsidR="009F127E" w:rsidRDefault="00000000" w:rsidP="008E4EA4">
      <w:r>
        <w:t>The</w:t>
      </w:r>
      <w:r w:rsidR="00CD37C6">
        <w:t xml:space="preserve"> </w:t>
      </w:r>
      <w:r>
        <w:t>Department</w:t>
      </w:r>
      <w:r w:rsidR="00CD37C6">
        <w:t xml:space="preserve"> </w:t>
      </w:r>
      <w:r>
        <w:t>reserves</w:t>
      </w:r>
      <w:r w:rsidR="00CD37C6">
        <w:t xml:space="preserve"> </w:t>
      </w:r>
      <w:r>
        <w:t>the</w:t>
      </w:r>
      <w:r w:rsidR="00CD37C6">
        <w:t xml:space="preserve"> </w:t>
      </w:r>
      <w:r>
        <w:t>right</w:t>
      </w:r>
      <w:r w:rsidR="00CD37C6">
        <w:t xml:space="preserve"> </w:t>
      </w:r>
      <w:r>
        <w:t>to</w:t>
      </w:r>
      <w:r w:rsidR="00CD37C6">
        <w:t xml:space="preserve"> </w:t>
      </w:r>
      <w:r>
        <w:t>amend</w:t>
      </w:r>
      <w:r w:rsidR="00CD37C6">
        <w:t xml:space="preserve"> </w:t>
      </w:r>
      <w:r>
        <w:t>the</w:t>
      </w:r>
      <w:r w:rsidR="00CD37C6">
        <w:t xml:space="preserve"> </w:t>
      </w:r>
      <w:r>
        <w:t>conditions</w:t>
      </w:r>
      <w:r w:rsidR="00CD37C6">
        <w:t xml:space="preserve"> </w:t>
      </w:r>
      <w:r>
        <w:t>and</w:t>
      </w:r>
      <w:r w:rsidR="00CD37C6">
        <w:t xml:space="preserve"> </w:t>
      </w:r>
      <w:r>
        <w:t>processes</w:t>
      </w:r>
      <w:r w:rsidR="00CD37C6">
        <w:t xml:space="preserve"> </w:t>
      </w:r>
      <w:r>
        <w:t>outlined</w:t>
      </w:r>
      <w:r w:rsidR="00CD37C6">
        <w:t xml:space="preserve"> </w:t>
      </w:r>
      <w:r>
        <w:t>in</w:t>
      </w:r>
      <w:r w:rsidR="00CD37C6">
        <w:t xml:space="preserve"> </w:t>
      </w:r>
      <w:r>
        <w:t>these</w:t>
      </w:r>
      <w:r w:rsidR="00CD37C6">
        <w:t xml:space="preserve"> </w:t>
      </w:r>
      <w:r>
        <w:t>guidelines</w:t>
      </w:r>
      <w:r w:rsidR="00CD37C6">
        <w:t xml:space="preserve"> </w:t>
      </w:r>
      <w:r>
        <w:t>where</w:t>
      </w:r>
      <w:r w:rsidR="00CD37C6">
        <w:t xml:space="preserve"> </w:t>
      </w:r>
      <w:r>
        <w:t>appropriate.</w:t>
      </w:r>
    </w:p>
    <w:p w14:paraId="77CA20E1" w14:textId="2759DB64" w:rsidR="009F127E" w:rsidRDefault="00000000" w:rsidP="008E4EA4">
      <w:pPr>
        <w:pStyle w:val="Heading2"/>
      </w:pPr>
      <w:bookmarkStart w:id="10" w:name="_Toc116548268"/>
      <w:r>
        <w:t>10.</w:t>
      </w:r>
      <w:r w:rsidR="009B4482">
        <w:t xml:space="preserve"> </w:t>
      </w:r>
      <w:r>
        <w:t>FURTHER</w:t>
      </w:r>
      <w:r w:rsidR="00CD37C6">
        <w:t xml:space="preserve"> </w:t>
      </w:r>
      <w:r>
        <w:t>INFORMATION</w:t>
      </w:r>
      <w:bookmarkEnd w:id="10"/>
    </w:p>
    <w:p w14:paraId="205C565F" w14:textId="66030B2E" w:rsidR="009F127E" w:rsidRDefault="00000000" w:rsidP="008E4EA4">
      <w:r>
        <w:t>For</w:t>
      </w:r>
      <w:r w:rsidR="00CD37C6">
        <w:t xml:space="preserve"> </w:t>
      </w:r>
      <w:r>
        <w:t>more</w:t>
      </w:r>
      <w:r w:rsidR="00CD37C6">
        <w:t xml:space="preserve"> </w:t>
      </w:r>
      <w:r>
        <w:t>information</w:t>
      </w:r>
      <w:r w:rsidR="00CD37C6">
        <w:t xml:space="preserve"> </w:t>
      </w:r>
      <w:r>
        <w:t>on</w:t>
      </w:r>
      <w:r w:rsidR="00CD37C6">
        <w:t xml:space="preserve"> </w:t>
      </w:r>
      <w:r>
        <w:t>the</w:t>
      </w:r>
      <w:r w:rsidR="00CD37C6">
        <w:t xml:space="preserve"> </w:t>
      </w:r>
      <w:r>
        <w:t>Program</w:t>
      </w:r>
      <w:r w:rsidR="00CD37C6">
        <w:t xml:space="preserve"> </w:t>
      </w:r>
      <w:r>
        <w:t>please</w:t>
      </w:r>
      <w:r w:rsidR="00CD37C6">
        <w:t xml:space="preserve"> </w:t>
      </w:r>
      <w:r>
        <w:t>visit</w:t>
      </w:r>
      <w:r w:rsidR="00CD37C6">
        <w:t xml:space="preserve"> </w:t>
      </w:r>
      <w:hyperlink r:id="rId15" w:history="1">
        <w:r w:rsidRPr="009B4482">
          <w:rPr>
            <w:rStyle w:val="Hyperlink"/>
          </w:rPr>
          <w:t>agriculture.vic.gov.au/</w:t>
        </w:r>
        <w:proofErr w:type="spellStart"/>
        <w:r w:rsidRPr="009B4482">
          <w:rPr>
            <w:rStyle w:val="Hyperlink"/>
          </w:rPr>
          <w:t>livestockbiosecurityfunds</w:t>
        </w:r>
        <w:proofErr w:type="spellEnd"/>
      </w:hyperlink>
      <w:r>
        <w:t>.</w:t>
      </w:r>
      <w:r w:rsidR="00CD37C6">
        <w:t xml:space="preserve"> </w:t>
      </w:r>
    </w:p>
    <w:p w14:paraId="7B9C7AD4" w14:textId="77777777" w:rsidR="009F127E" w:rsidRDefault="00000000" w:rsidP="008E4EA4">
      <w:pPr>
        <w:pStyle w:val="Heading1"/>
      </w:pPr>
      <w:bookmarkStart w:id="11" w:name="_Toc116548269"/>
      <w:r>
        <w:lastRenderedPageBreak/>
        <w:t>APPENDIX</w:t>
      </w:r>
      <w:bookmarkEnd w:id="11"/>
    </w:p>
    <w:p w14:paraId="3D21071C" w14:textId="351F0C17" w:rsidR="009F127E" w:rsidRDefault="00000000" w:rsidP="008E4EA4">
      <w:pPr>
        <w:pStyle w:val="Heading3"/>
      </w:pPr>
      <w:bookmarkStart w:id="12" w:name="_Toc116548270"/>
      <w:r>
        <w:t>APPENDIX</w:t>
      </w:r>
      <w:r w:rsidR="00CD37C6">
        <w:t xml:space="preserve"> </w:t>
      </w:r>
      <w:r>
        <w:t>1</w:t>
      </w:r>
      <w:r w:rsidR="00CD37C6">
        <w:t xml:space="preserve"> </w:t>
      </w:r>
      <w:r>
        <w:t>–</w:t>
      </w:r>
      <w:r w:rsidR="00CD37C6">
        <w:t xml:space="preserve"> </w:t>
      </w:r>
      <w:r>
        <w:t>STATEMENT</w:t>
      </w:r>
      <w:r w:rsidR="00CD37C6">
        <w:t xml:space="preserve"> </w:t>
      </w:r>
      <w:r>
        <w:t>OF</w:t>
      </w:r>
      <w:r w:rsidR="00CD37C6">
        <w:t xml:space="preserve"> </w:t>
      </w:r>
      <w:r>
        <w:t>STRATEGIC</w:t>
      </w:r>
      <w:r w:rsidR="00CD37C6">
        <w:t xml:space="preserve"> </w:t>
      </w:r>
      <w:r>
        <w:t>INTENT</w:t>
      </w:r>
      <w:r w:rsidR="00CD37C6">
        <w:t xml:space="preserve"> </w:t>
      </w:r>
      <w:r>
        <w:t>FOR</w:t>
      </w:r>
      <w:r w:rsidR="00CD37C6">
        <w:t xml:space="preserve"> </w:t>
      </w:r>
      <w:r>
        <w:t>THE</w:t>
      </w:r>
      <w:r w:rsidR="00CD37C6">
        <w:t xml:space="preserve"> </w:t>
      </w:r>
      <w:r>
        <w:t>CATTLE</w:t>
      </w:r>
      <w:r w:rsidR="00CD37C6">
        <w:t xml:space="preserve"> </w:t>
      </w:r>
      <w:r>
        <w:t>COMPENSATION</w:t>
      </w:r>
      <w:r w:rsidR="00CD37C6">
        <w:t xml:space="preserve"> </w:t>
      </w:r>
      <w:r>
        <w:t>FUND</w:t>
      </w:r>
      <w:bookmarkEnd w:id="12"/>
    </w:p>
    <w:p w14:paraId="371A8CD2" w14:textId="44295A2C" w:rsidR="009F127E" w:rsidRPr="009B4482" w:rsidRDefault="00000000" w:rsidP="009B4482">
      <w:pPr>
        <w:pStyle w:val="Normalbeforebullet"/>
        <w:rPr>
          <w:b/>
          <w:bCs/>
        </w:rPr>
      </w:pPr>
      <w:r w:rsidRPr="009B4482">
        <w:rPr>
          <w:b/>
          <w:bCs/>
        </w:rPr>
        <w:t>Focus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areas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for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investment</w:t>
      </w:r>
    </w:p>
    <w:p w14:paraId="1099315A" w14:textId="67FFC3A9" w:rsidR="009F127E" w:rsidRPr="009B4482" w:rsidRDefault="00000000" w:rsidP="009B4482">
      <w:pPr>
        <w:pStyle w:val="Normalbeforebullet"/>
      </w:pPr>
      <w:r w:rsidRPr="009B4482">
        <w:t>Key</w:t>
      </w:r>
      <w:r w:rsidR="00CD37C6" w:rsidRPr="009B4482">
        <w:t xml:space="preserve"> </w:t>
      </w:r>
      <w:r w:rsidRPr="009B4482">
        <w:t>focus</w:t>
      </w:r>
      <w:r w:rsidR="00CD37C6" w:rsidRPr="009B4482">
        <w:t xml:space="preserve"> </w:t>
      </w:r>
      <w:r w:rsidRPr="009B4482">
        <w:t>areas:</w:t>
      </w:r>
    </w:p>
    <w:p w14:paraId="60071419" w14:textId="62E303AB" w:rsidR="009F127E" w:rsidRDefault="00000000" w:rsidP="008E4EA4">
      <w:pPr>
        <w:pStyle w:val="Bullet"/>
      </w:pPr>
      <w:r>
        <w:t>Initiatives</w:t>
      </w:r>
      <w:r w:rsidR="00CD37C6">
        <w:t xml:space="preserve"> </w:t>
      </w:r>
      <w:r>
        <w:t>to</w:t>
      </w:r>
      <w:r w:rsidR="00CD37C6">
        <w:t xml:space="preserve"> </w:t>
      </w:r>
      <w:r>
        <w:t>strengthen</w:t>
      </w:r>
      <w:r w:rsidR="00CD37C6">
        <w:t xml:space="preserve"> </w:t>
      </w:r>
      <w:r>
        <w:t>the</w:t>
      </w:r>
      <w:r w:rsidR="00CD37C6">
        <w:t xml:space="preserve"> </w:t>
      </w:r>
      <w:r>
        <w:t>Victorian</w:t>
      </w:r>
      <w:r w:rsidR="00CD37C6">
        <w:t xml:space="preserve"> </w:t>
      </w:r>
      <w:r>
        <w:t>biosecurity</w:t>
      </w:r>
      <w:r w:rsidR="00CD37C6">
        <w:t xml:space="preserve"> </w:t>
      </w:r>
      <w:r>
        <w:t>system</w:t>
      </w:r>
      <w:r w:rsidR="00CD37C6">
        <w:t xml:space="preserve"> </w:t>
      </w:r>
      <w:r>
        <w:t>addressing</w:t>
      </w:r>
      <w:r w:rsidR="00CD37C6">
        <w:t xml:space="preserve"> </w:t>
      </w:r>
      <w:r>
        <w:t>topical,</w:t>
      </w:r>
      <w:r w:rsidR="00CD37C6">
        <w:t xml:space="preserve"> </w:t>
      </w:r>
      <w:r>
        <w:t>endemic,</w:t>
      </w:r>
      <w:r w:rsidR="00CD37C6">
        <w:t xml:space="preserve"> </w:t>
      </w:r>
      <w:r>
        <w:t>and</w:t>
      </w:r>
      <w:r w:rsidR="00CD37C6">
        <w:t xml:space="preserve"> </w:t>
      </w:r>
      <w:r>
        <w:t>exotic</w:t>
      </w:r>
      <w:r w:rsidR="00CD37C6">
        <w:t xml:space="preserve"> </w:t>
      </w:r>
      <w:r>
        <w:t>disease</w:t>
      </w:r>
      <w:r w:rsidR="00CD37C6">
        <w:t xml:space="preserve"> </w:t>
      </w:r>
      <w:r>
        <w:t>preparedness</w:t>
      </w:r>
      <w:r w:rsidR="00CD37C6">
        <w:t xml:space="preserve"> </w:t>
      </w:r>
      <w:r>
        <w:t>issues</w:t>
      </w:r>
      <w:r w:rsidR="00CD37C6">
        <w:t xml:space="preserve"> </w:t>
      </w:r>
      <w:r>
        <w:t>and</w:t>
      </w:r>
      <w:r w:rsidR="00CD37C6">
        <w:t xml:space="preserve"> </w:t>
      </w:r>
      <w:r>
        <w:t>risks:</w:t>
      </w:r>
    </w:p>
    <w:p w14:paraId="0A9AEB16" w14:textId="24341C83" w:rsidR="009F127E" w:rsidRDefault="00000000">
      <w:pPr>
        <w:pStyle w:val="Bullet2"/>
      </w:pPr>
      <w:r>
        <w:t>preparedness</w:t>
      </w:r>
      <w:r w:rsidR="00CD37C6">
        <w:t xml:space="preserve"> </w:t>
      </w:r>
      <w:r>
        <w:t>capability</w:t>
      </w:r>
      <w:r w:rsidR="00CD37C6">
        <w:t xml:space="preserve"> </w:t>
      </w:r>
      <w:r>
        <w:t>and</w:t>
      </w:r>
      <w:r w:rsidR="00CD37C6">
        <w:t xml:space="preserve"> </w:t>
      </w:r>
      <w:r>
        <w:t>capacity</w:t>
      </w:r>
      <w:r w:rsidR="00CD37C6">
        <w:t xml:space="preserve"> </w:t>
      </w:r>
      <w:r>
        <w:t>building</w:t>
      </w:r>
      <w:r w:rsidR="00CD37C6">
        <w:t xml:space="preserve"> </w:t>
      </w:r>
      <w:r>
        <w:t>across</w:t>
      </w:r>
      <w:r w:rsidR="00CD37C6">
        <w:t xml:space="preserve"> </w:t>
      </w:r>
      <w:r>
        <w:t>industry</w:t>
      </w:r>
      <w:r w:rsidR="00CD37C6">
        <w:t xml:space="preserve"> </w:t>
      </w:r>
      <w:r>
        <w:t>representative</w:t>
      </w:r>
      <w:r w:rsidR="00CD37C6">
        <w:t xml:space="preserve"> </w:t>
      </w:r>
      <w:r>
        <w:t>bodies</w:t>
      </w:r>
      <w:r w:rsidR="00CD37C6">
        <w:t xml:space="preserve"> </w:t>
      </w:r>
      <w:r>
        <w:t>and</w:t>
      </w:r>
      <w:r w:rsidR="00CD37C6">
        <w:t xml:space="preserve"> </w:t>
      </w:r>
      <w:r>
        <w:t>participants,</w:t>
      </w:r>
      <w:r w:rsidR="00CD37C6">
        <w:t xml:space="preserve"> </w:t>
      </w:r>
      <w:r>
        <w:t>and</w:t>
      </w:r>
      <w:r w:rsidR="00CD37C6">
        <w:t xml:space="preserve"> </w:t>
      </w:r>
      <w:r>
        <w:t>their</w:t>
      </w:r>
      <w:r w:rsidR="00CD37C6">
        <w:t xml:space="preserve"> </w:t>
      </w:r>
      <w:r>
        <w:t>networks</w:t>
      </w:r>
    </w:p>
    <w:p w14:paraId="743962F6" w14:textId="00D09BC5" w:rsidR="009F127E" w:rsidRDefault="00000000">
      <w:pPr>
        <w:pStyle w:val="Bullet2"/>
      </w:pPr>
      <w:r>
        <w:t>active</w:t>
      </w:r>
      <w:r w:rsidR="00CD37C6">
        <w:t xml:space="preserve"> </w:t>
      </w:r>
      <w:r>
        <w:t>and</w:t>
      </w:r>
      <w:r w:rsidR="00CD37C6">
        <w:t xml:space="preserve"> </w:t>
      </w:r>
      <w:r>
        <w:t>updated</w:t>
      </w:r>
      <w:r w:rsidR="00CD37C6">
        <w:t xml:space="preserve"> </w:t>
      </w:r>
      <w:r>
        <w:t>biosecurity</w:t>
      </w:r>
      <w:r w:rsidR="00CD37C6">
        <w:t xml:space="preserve"> </w:t>
      </w:r>
      <w:r>
        <w:t>and</w:t>
      </w:r>
      <w:r w:rsidR="00CD37C6">
        <w:t xml:space="preserve"> </w:t>
      </w:r>
      <w:r>
        <w:t>animal</w:t>
      </w:r>
      <w:r w:rsidR="00CD37C6">
        <w:t xml:space="preserve"> </w:t>
      </w:r>
      <w:r>
        <w:t>health</w:t>
      </w:r>
      <w:r w:rsidR="00CD37C6">
        <w:t xml:space="preserve"> </w:t>
      </w:r>
      <w:r>
        <w:t>plans</w:t>
      </w:r>
    </w:p>
    <w:p w14:paraId="58966B81" w14:textId="5CFED8CB" w:rsidR="009F127E" w:rsidRDefault="00000000" w:rsidP="009B4482">
      <w:pPr>
        <w:pStyle w:val="Bullet2end"/>
        <w:spacing w:after="200"/>
        <w:ind w:left="568" w:hanging="284"/>
      </w:pPr>
      <w:r>
        <w:t>early</w:t>
      </w:r>
      <w:r w:rsidR="00CD37C6">
        <w:t xml:space="preserve"> </w:t>
      </w:r>
      <w:r>
        <w:t>detection</w:t>
      </w:r>
      <w:r w:rsidR="00CD37C6">
        <w:t xml:space="preserve"> </w:t>
      </w:r>
      <w:r>
        <w:t>and</w:t>
      </w:r>
      <w:r w:rsidR="00CD37C6">
        <w:t xml:space="preserve"> </w:t>
      </w:r>
      <w:r>
        <w:t>awareness</w:t>
      </w:r>
      <w:r w:rsidR="00CD37C6">
        <w:t xml:space="preserve"> </w:t>
      </w:r>
      <w:r>
        <w:t>of</w:t>
      </w:r>
      <w:r w:rsidR="00CD37C6">
        <w:t xml:space="preserve"> </w:t>
      </w:r>
      <w:r>
        <w:t>exotic</w:t>
      </w:r>
      <w:r w:rsidR="00CD37C6">
        <w:t xml:space="preserve"> </w:t>
      </w:r>
      <w:r>
        <w:t>and</w:t>
      </w:r>
      <w:r w:rsidR="00CD37C6">
        <w:t xml:space="preserve"> </w:t>
      </w:r>
      <w:r>
        <w:t>endemic</w:t>
      </w:r>
      <w:r w:rsidR="00CD37C6">
        <w:t xml:space="preserve"> </w:t>
      </w:r>
      <w:r>
        <w:t>diseases.</w:t>
      </w:r>
    </w:p>
    <w:p w14:paraId="1DA722AF" w14:textId="2A4E7226" w:rsidR="009F127E" w:rsidRPr="009B4482" w:rsidRDefault="00000000" w:rsidP="009B4482">
      <w:pPr>
        <w:pStyle w:val="Normalbeforebullet"/>
      </w:pPr>
      <w:r w:rsidRPr="009B4482">
        <w:t>Other</w:t>
      </w:r>
      <w:r w:rsidR="00CD37C6" w:rsidRPr="009B4482">
        <w:t xml:space="preserve"> </w:t>
      </w:r>
      <w:r w:rsidRPr="009B4482">
        <w:t>focus</w:t>
      </w:r>
      <w:r w:rsidR="00CD37C6" w:rsidRPr="009B4482">
        <w:t xml:space="preserve"> </w:t>
      </w:r>
      <w:r w:rsidRPr="009B4482">
        <w:t>areas:</w:t>
      </w:r>
    </w:p>
    <w:p w14:paraId="2FEA5FDA" w14:textId="24D010F6" w:rsidR="009F127E" w:rsidRDefault="00000000" w:rsidP="008E4EA4">
      <w:pPr>
        <w:pStyle w:val="Bullet"/>
      </w:pPr>
      <w:r>
        <w:t>Livestock</w:t>
      </w:r>
      <w:r w:rsidR="00CD37C6">
        <w:t xml:space="preserve"> </w:t>
      </w:r>
      <w:r>
        <w:t>disease</w:t>
      </w:r>
      <w:r w:rsidR="00CD37C6">
        <w:t xml:space="preserve"> </w:t>
      </w:r>
      <w:r>
        <w:t>(endemic</w:t>
      </w:r>
      <w:r w:rsidR="00CD37C6">
        <w:t xml:space="preserve"> </w:t>
      </w:r>
      <w:r>
        <w:t>and</w:t>
      </w:r>
      <w:r w:rsidR="00CD37C6">
        <w:t xml:space="preserve"> </w:t>
      </w:r>
      <w:r>
        <w:t>zoonotic,</w:t>
      </w:r>
      <w:r w:rsidR="00CD37C6">
        <w:t xml:space="preserve"> </w:t>
      </w:r>
      <w:r>
        <w:t>exotic)</w:t>
      </w:r>
      <w:r w:rsidR="00CD37C6">
        <w:t xml:space="preserve"> </w:t>
      </w:r>
      <w:r>
        <w:rPr>
          <w:spacing w:val="-4"/>
        </w:rPr>
        <w:t>detection,</w:t>
      </w:r>
      <w:r w:rsidR="00CD37C6">
        <w:rPr>
          <w:spacing w:val="-4"/>
        </w:rPr>
        <w:t xml:space="preserve"> </w:t>
      </w:r>
      <w:r>
        <w:rPr>
          <w:spacing w:val="-4"/>
        </w:rPr>
        <w:t>prevention,</w:t>
      </w:r>
      <w:r w:rsidR="00CD37C6">
        <w:rPr>
          <w:spacing w:val="-4"/>
        </w:rPr>
        <w:t xml:space="preserve"> </w:t>
      </w:r>
      <w:r>
        <w:rPr>
          <w:spacing w:val="-4"/>
        </w:rPr>
        <w:t>management</w:t>
      </w:r>
      <w:r w:rsidR="00CD37C6">
        <w:rPr>
          <w:spacing w:val="-4"/>
        </w:rPr>
        <w:t xml:space="preserve"> </w:t>
      </w:r>
      <w:r>
        <w:rPr>
          <w:spacing w:val="-4"/>
        </w:rPr>
        <w:t>and/or</w:t>
      </w:r>
      <w:r w:rsidR="00CD37C6">
        <w:rPr>
          <w:spacing w:val="-4"/>
        </w:rPr>
        <w:t xml:space="preserve"> </w:t>
      </w:r>
      <w:r>
        <w:rPr>
          <w:spacing w:val="-4"/>
        </w:rPr>
        <w:t>eradication.</w:t>
      </w:r>
    </w:p>
    <w:p w14:paraId="4D6C0496" w14:textId="19502B7B" w:rsidR="009F127E" w:rsidRDefault="00000000" w:rsidP="008E4EA4">
      <w:pPr>
        <w:pStyle w:val="Bullet"/>
      </w:pPr>
      <w:r>
        <w:t>Ensuring</w:t>
      </w:r>
      <w:r w:rsidR="00CD37C6">
        <w:t xml:space="preserve"> </w:t>
      </w:r>
      <w:r>
        <w:t>product</w:t>
      </w:r>
      <w:r w:rsidR="00CD37C6">
        <w:t xml:space="preserve"> </w:t>
      </w:r>
      <w:r>
        <w:t>integrity</w:t>
      </w:r>
      <w:r w:rsidR="00CD37C6">
        <w:t xml:space="preserve"> </w:t>
      </w:r>
      <w:r>
        <w:t>of</w:t>
      </w:r>
      <w:r w:rsidR="00CD37C6">
        <w:t xml:space="preserve"> </w:t>
      </w:r>
      <w:r>
        <w:t>current</w:t>
      </w:r>
      <w:r w:rsidR="00CD37C6">
        <w:t xml:space="preserve"> </w:t>
      </w:r>
      <w:r>
        <w:t>NLIS,</w:t>
      </w:r>
      <w:r w:rsidR="00CD37C6">
        <w:t xml:space="preserve"> </w:t>
      </w:r>
      <w:r>
        <w:t>NVD,</w:t>
      </w:r>
      <w:r w:rsidR="00CD37C6">
        <w:t xml:space="preserve"> </w:t>
      </w:r>
      <w:r>
        <w:t>Animal</w:t>
      </w:r>
      <w:r w:rsidR="00CD37C6">
        <w:t xml:space="preserve"> </w:t>
      </w:r>
      <w:r>
        <w:t>Health</w:t>
      </w:r>
      <w:r w:rsidR="00CD37C6">
        <w:t xml:space="preserve"> </w:t>
      </w:r>
      <w:r>
        <w:t>Statements</w:t>
      </w:r>
      <w:r w:rsidR="00CD37C6">
        <w:t xml:space="preserve"> </w:t>
      </w:r>
      <w:r>
        <w:t>and</w:t>
      </w:r>
      <w:r w:rsidR="00CD37C6">
        <w:t xml:space="preserve"> </w:t>
      </w:r>
      <w:r>
        <w:t>biosecurity</w:t>
      </w:r>
      <w:r w:rsidR="00CD37C6">
        <w:t xml:space="preserve"> </w:t>
      </w:r>
      <w:r>
        <w:t>(</w:t>
      </w:r>
      <w:proofErr w:type="gramStart"/>
      <w:r>
        <w:t>e.g.</w:t>
      </w:r>
      <w:proofErr w:type="gramEnd"/>
      <w:r w:rsidR="00CD37C6">
        <w:t xml:space="preserve"> </w:t>
      </w:r>
      <w:r>
        <w:t>traceability,</w:t>
      </w:r>
      <w:r w:rsidR="00CD37C6">
        <w:t xml:space="preserve"> </w:t>
      </w:r>
      <w:r>
        <w:t>antimicrobial</w:t>
      </w:r>
      <w:r w:rsidR="00CD37C6">
        <w:t xml:space="preserve"> </w:t>
      </w:r>
      <w:r>
        <w:t>stewardship).</w:t>
      </w:r>
    </w:p>
    <w:p w14:paraId="43F8D8E4" w14:textId="7B23E08C" w:rsidR="009F127E" w:rsidRDefault="00000000" w:rsidP="008E4EA4">
      <w:pPr>
        <w:pStyle w:val="Bullet"/>
      </w:pPr>
      <w:r>
        <w:t>Initiatives</w:t>
      </w:r>
      <w:r w:rsidR="00CD37C6">
        <w:t xml:space="preserve"> </w:t>
      </w:r>
      <w:r>
        <w:t>to</w:t>
      </w:r>
      <w:r w:rsidR="00CD37C6">
        <w:t xml:space="preserve"> </w:t>
      </w:r>
      <w:r>
        <w:t>strengthen</w:t>
      </w:r>
      <w:r w:rsidR="00CD37C6">
        <w:t xml:space="preserve"> </w:t>
      </w:r>
      <w:r>
        <w:t>the</w:t>
      </w:r>
      <w:r w:rsidR="00CD37C6">
        <w:t xml:space="preserve"> </w:t>
      </w:r>
      <w:r>
        <w:t>Victorian</w:t>
      </w:r>
      <w:r w:rsidR="00CD37C6">
        <w:t xml:space="preserve"> </w:t>
      </w:r>
      <w:r>
        <w:t>biosecurity</w:t>
      </w:r>
      <w:r w:rsidR="00CD37C6">
        <w:t xml:space="preserve"> </w:t>
      </w:r>
      <w:r>
        <w:t>system</w:t>
      </w:r>
      <w:r w:rsidR="00CD37C6">
        <w:t xml:space="preserve"> </w:t>
      </w:r>
      <w:r>
        <w:t>addressing</w:t>
      </w:r>
      <w:r w:rsidR="00CD37C6">
        <w:t xml:space="preserve"> </w:t>
      </w:r>
      <w:r>
        <w:t>topical,</w:t>
      </w:r>
      <w:r w:rsidR="00CD37C6">
        <w:t xml:space="preserve"> </w:t>
      </w:r>
      <w:r>
        <w:t>endemic,</w:t>
      </w:r>
      <w:r w:rsidR="00CD37C6">
        <w:t xml:space="preserve"> </w:t>
      </w:r>
      <w:r>
        <w:t>and</w:t>
      </w:r>
      <w:r w:rsidR="00CD37C6">
        <w:t xml:space="preserve"> </w:t>
      </w:r>
      <w:r>
        <w:t>exotic</w:t>
      </w:r>
      <w:r w:rsidR="00CD37C6">
        <w:t xml:space="preserve"> </w:t>
      </w:r>
      <w:r>
        <w:t>disease</w:t>
      </w:r>
      <w:r w:rsidR="00CD37C6">
        <w:t xml:space="preserve"> </w:t>
      </w:r>
      <w:r>
        <w:t>preparedness</w:t>
      </w:r>
      <w:r w:rsidR="00CD37C6">
        <w:t xml:space="preserve"> </w:t>
      </w:r>
      <w:r>
        <w:t>issues</w:t>
      </w:r>
      <w:r w:rsidR="00CD37C6">
        <w:t xml:space="preserve"> </w:t>
      </w:r>
      <w:r>
        <w:t>and</w:t>
      </w:r>
      <w:r w:rsidR="00CD37C6">
        <w:t xml:space="preserve"> </w:t>
      </w:r>
      <w:r>
        <w:t>risks:</w:t>
      </w:r>
    </w:p>
    <w:p w14:paraId="3CA579F8" w14:textId="72BC49B7" w:rsidR="009F127E" w:rsidRDefault="00000000">
      <w:pPr>
        <w:pStyle w:val="Bullet2"/>
      </w:pPr>
      <w:r>
        <w:t>demographic</w:t>
      </w:r>
      <w:r w:rsidR="00CD37C6">
        <w:t xml:space="preserve"> </w:t>
      </w:r>
      <w:r>
        <w:t>and</w:t>
      </w:r>
      <w:r w:rsidR="00CD37C6">
        <w:t xml:space="preserve"> </w:t>
      </w:r>
      <w:r>
        <w:t>generational</w:t>
      </w:r>
      <w:r w:rsidR="00CD37C6">
        <w:t xml:space="preserve"> </w:t>
      </w:r>
      <w:r>
        <w:t>changes</w:t>
      </w:r>
      <w:r w:rsidR="00CD37C6">
        <w:t xml:space="preserve"> </w:t>
      </w:r>
      <w:r>
        <w:t>in</w:t>
      </w:r>
      <w:r w:rsidR="00CD37C6">
        <w:t xml:space="preserve"> </w:t>
      </w:r>
      <w:r>
        <w:t>agriculture</w:t>
      </w:r>
      <w:r w:rsidR="00CD37C6">
        <w:t xml:space="preserve"> </w:t>
      </w:r>
      <w:r>
        <w:t>(peri-urban,</w:t>
      </w:r>
      <w:r w:rsidR="00CD37C6">
        <w:t xml:space="preserve"> </w:t>
      </w:r>
      <w:r>
        <w:t>corporate,</w:t>
      </w:r>
      <w:r w:rsidR="00CD37C6">
        <w:t xml:space="preserve"> </w:t>
      </w:r>
      <w:r>
        <w:t>new</w:t>
      </w:r>
      <w:r w:rsidR="00CD37C6">
        <w:t xml:space="preserve"> </w:t>
      </w:r>
      <w:r>
        <w:t>entry</w:t>
      </w:r>
      <w:r w:rsidR="00CD37C6">
        <w:t xml:space="preserve"> </w:t>
      </w:r>
      <w:r>
        <w:t>farmers</w:t>
      </w:r>
      <w:r w:rsidR="00CD37C6">
        <w:t xml:space="preserve"> </w:t>
      </w:r>
      <w:r>
        <w:t>etc.)</w:t>
      </w:r>
    </w:p>
    <w:p w14:paraId="33450273" w14:textId="096A2B9E" w:rsidR="009F127E" w:rsidRDefault="00000000">
      <w:pPr>
        <w:pStyle w:val="Bullet2"/>
      </w:pPr>
      <w:r>
        <w:t>awareness</w:t>
      </w:r>
      <w:r w:rsidR="00CD37C6">
        <w:t xml:space="preserve"> </w:t>
      </w:r>
      <w:r>
        <w:t>of</w:t>
      </w:r>
      <w:r w:rsidR="00CD37C6">
        <w:t xml:space="preserve"> </w:t>
      </w:r>
      <w:r>
        <w:t>increased</w:t>
      </w:r>
      <w:r w:rsidR="00CD37C6">
        <w:t xml:space="preserve"> </w:t>
      </w:r>
      <w:r>
        <w:t>risk</w:t>
      </w:r>
      <w:r w:rsidR="00CD37C6">
        <w:t xml:space="preserve"> </w:t>
      </w:r>
      <w:r>
        <w:t>through</w:t>
      </w:r>
      <w:r w:rsidR="00CD37C6">
        <w:t xml:space="preserve"> </w:t>
      </w:r>
      <w:r>
        <w:t>intensification</w:t>
      </w:r>
      <w:r w:rsidR="00CD37C6">
        <w:t xml:space="preserve"> </w:t>
      </w:r>
      <w:r>
        <w:t>of</w:t>
      </w:r>
      <w:r w:rsidR="00CD37C6">
        <w:t xml:space="preserve"> </w:t>
      </w:r>
      <w:r>
        <w:t>animal</w:t>
      </w:r>
      <w:r w:rsidR="00CD37C6">
        <w:t xml:space="preserve"> </w:t>
      </w:r>
      <w:r>
        <w:t>production</w:t>
      </w:r>
    </w:p>
    <w:p w14:paraId="797BCA12" w14:textId="45545995" w:rsidR="009F127E" w:rsidRDefault="00000000">
      <w:pPr>
        <w:pStyle w:val="Bullet2"/>
      </w:pPr>
      <w:r>
        <w:t>enhanced</w:t>
      </w:r>
      <w:r w:rsidR="00CD37C6">
        <w:t xml:space="preserve"> </w:t>
      </w:r>
      <w:r>
        <w:t>integrated</w:t>
      </w:r>
      <w:r w:rsidR="00CD37C6">
        <w:t xml:space="preserve"> </w:t>
      </w:r>
      <w:r>
        <w:t>data</w:t>
      </w:r>
      <w:r w:rsidR="00CD37C6">
        <w:t xml:space="preserve"> </w:t>
      </w:r>
      <w:r>
        <w:t>management</w:t>
      </w:r>
      <w:r w:rsidR="00CD37C6">
        <w:t xml:space="preserve"> </w:t>
      </w:r>
      <w:r>
        <w:t>and</w:t>
      </w:r>
      <w:r w:rsidR="00CD37C6">
        <w:t xml:space="preserve"> </w:t>
      </w:r>
      <w:r>
        <w:t>animal</w:t>
      </w:r>
      <w:r w:rsidR="00CD37C6">
        <w:t xml:space="preserve"> </w:t>
      </w:r>
      <w:r>
        <w:t>health</w:t>
      </w:r>
      <w:r w:rsidR="00CD37C6">
        <w:t xml:space="preserve"> </w:t>
      </w:r>
      <w:r>
        <w:t>feedback</w:t>
      </w:r>
    </w:p>
    <w:p w14:paraId="1D03FBA5" w14:textId="4D43BBEB" w:rsidR="009F127E" w:rsidRDefault="00000000">
      <w:pPr>
        <w:pStyle w:val="Bullet2"/>
      </w:pPr>
      <w:r>
        <w:t>issues</w:t>
      </w:r>
      <w:r w:rsidR="00CD37C6">
        <w:t xml:space="preserve"> </w:t>
      </w:r>
      <w:r>
        <w:t>of</w:t>
      </w:r>
      <w:r w:rsidR="00CD37C6">
        <w:t xml:space="preserve"> </w:t>
      </w:r>
      <w:r>
        <w:t>livestock</w:t>
      </w:r>
      <w:r w:rsidR="00CD37C6">
        <w:t xml:space="preserve"> </w:t>
      </w:r>
      <w:r>
        <w:t>treatment</w:t>
      </w:r>
      <w:r w:rsidR="00CD37C6">
        <w:t xml:space="preserve"> </w:t>
      </w:r>
      <w:r>
        <w:t>and</w:t>
      </w:r>
      <w:r w:rsidR="00CD37C6">
        <w:t xml:space="preserve"> </w:t>
      </w:r>
      <w:r>
        <w:t>potential</w:t>
      </w:r>
      <w:r w:rsidR="00CD37C6">
        <w:t xml:space="preserve"> </w:t>
      </w:r>
      <w:r>
        <w:t>residues</w:t>
      </w:r>
      <w:r w:rsidR="00CD37C6">
        <w:t xml:space="preserve"> </w:t>
      </w:r>
      <w:r>
        <w:t>(e.g.,</w:t>
      </w:r>
      <w:r w:rsidR="00CD37C6">
        <w:t xml:space="preserve"> </w:t>
      </w:r>
      <w:r>
        <w:t>traceability,</w:t>
      </w:r>
      <w:r w:rsidR="00CD37C6">
        <w:t xml:space="preserve"> </w:t>
      </w:r>
      <w:r>
        <w:t>WHP,</w:t>
      </w:r>
      <w:r w:rsidR="00CD37C6">
        <w:t xml:space="preserve"> </w:t>
      </w:r>
      <w:r>
        <w:t>antimicrobial</w:t>
      </w:r>
      <w:r w:rsidR="00CD37C6">
        <w:t xml:space="preserve"> </w:t>
      </w:r>
      <w:proofErr w:type="gramStart"/>
      <w:r>
        <w:t>stewardship)</w:t>
      </w:r>
      <w:r>
        <w:rPr>
          <w:vertAlign w:val="superscript"/>
        </w:rPr>
        <w:t>#</w:t>
      </w:r>
      <w:proofErr w:type="gramEnd"/>
    </w:p>
    <w:p w14:paraId="3CD99A05" w14:textId="447C880F" w:rsidR="009F127E" w:rsidRDefault="00000000" w:rsidP="009B4482">
      <w:pPr>
        <w:pStyle w:val="Bullet2end"/>
        <w:spacing w:after="200"/>
        <w:ind w:left="568" w:hanging="284"/>
      </w:pPr>
      <w:r>
        <w:t>climate</w:t>
      </w:r>
      <w:r w:rsidR="00CD37C6">
        <w:t xml:space="preserve"> </w:t>
      </w:r>
      <w:r>
        <w:t>change</w:t>
      </w:r>
      <w:r w:rsidR="00CD37C6">
        <w:t xml:space="preserve"> </w:t>
      </w:r>
      <w:r>
        <w:t>and</w:t>
      </w:r>
      <w:r w:rsidR="00CD37C6">
        <w:t xml:space="preserve"> </w:t>
      </w:r>
      <w:r>
        <w:t>changes</w:t>
      </w:r>
      <w:r w:rsidR="00CD37C6">
        <w:t xml:space="preserve"> </w:t>
      </w:r>
      <w:r>
        <w:t>to</w:t>
      </w:r>
      <w:r w:rsidR="00CD37C6">
        <w:t xml:space="preserve"> </w:t>
      </w:r>
      <w:r>
        <w:t>livestock</w:t>
      </w:r>
      <w:r w:rsidR="00CD37C6">
        <w:t xml:space="preserve"> </w:t>
      </w:r>
      <w:r>
        <w:t>and</w:t>
      </w:r>
      <w:r w:rsidR="00CD37C6">
        <w:t xml:space="preserve"> </w:t>
      </w:r>
      <w:r>
        <w:t>disease</w:t>
      </w:r>
      <w:r w:rsidR="00CD37C6">
        <w:t xml:space="preserve"> </w:t>
      </w:r>
      <w:r>
        <w:t>movement.</w:t>
      </w:r>
    </w:p>
    <w:p w14:paraId="02F68AAF" w14:textId="1458A65B" w:rsidR="009F127E" w:rsidRPr="009B4482" w:rsidRDefault="00000000" w:rsidP="008E4EA4">
      <w:pPr>
        <w:rPr>
          <w:rFonts w:asciiTheme="minorHAnsi" w:hAnsiTheme="minorHAnsi" w:cstheme="minorHAnsi"/>
        </w:rPr>
      </w:pPr>
      <w:r w:rsidRPr="009B4482">
        <w:rPr>
          <w:rFonts w:asciiTheme="minorHAnsi" w:hAnsiTheme="minorHAnsi" w:cstheme="minorHAnsi"/>
          <w:sz w:val="14"/>
          <w:szCs w:val="14"/>
          <w:vertAlign w:val="superscript"/>
        </w:rPr>
        <w:t>#</w:t>
      </w:r>
      <w:r w:rsidR="00CD37C6" w:rsidRPr="009B4482">
        <w:rPr>
          <w:rFonts w:asciiTheme="minorHAnsi" w:hAnsiTheme="minorHAnsi" w:cstheme="minorHAnsi"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sz w:val="14"/>
          <w:szCs w:val="14"/>
        </w:rPr>
        <w:t>Note</w:t>
      </w:r>
      <w:r w:rsidR="00CD37C6" w:rsidRPr="009B4482">
        <w:rPr>
          <w:rFonts w:asciiTheme="minorHAnsi" w:hAnsiTheme="minorHAnsi" w:cstheme="minorHAnsi"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sz w:val="14"/>
          <w:szCs w:val="14"/>
        </w:rPr>
        <w:t>animal</w:t>
      </w:r>
      <w:r w:rsidR="00CD37C6" w:rsidRPr="009B4482">
        <w:rPr>
          <w:rFonts w:asciiTheme="minorHAnsi" w:hAnsiTheme="minorHAnsi" w:cstheme="minorHAnsi"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sz w:val="14"/>
          <w:szCs w:val="14"/>
        </w:rPr>
        <w:t>welfare</w:t>
      </w:r>
      <w:r w:rsidR="00CD37C6" w:rsidRPr="009B4482">
        <w:rPr>
          <w:rFonts w:asciiTheme="minorHAnsi" w:hAnsiTheme="minorHAnsi" w:cstheme="minorHAnsi"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sz w:val="14"/>
          <w:szCs w:val="14"/>
        </w:rPr>
        <w:t>is</w:t>
      </w:r>
      <w:r w:rsidR="00CD37C6" w:rsidRPr="009B4482">
        <w:rPr>
          <w:rFonts w:asciiTheme="minorHAnsi" w:hAnsiTheme="minorHAnsi" w:cstheme="minorHAnsi"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sz w:val="14"/>
          <w:szCs w:val="14"/>
        </w:rPr>
        <w:t>out</w:t>
      </w:r>
      <w:r w:rsidR="00CD37C6" w:rsidRPr="009B4482">
        <w:rPr>
          <w:rFonts w:asciiTheme="minorHAnsi" w:hAnsiTheme="minorHAnsi" w:cstheme="minorHAnsi"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sz w:val="14"/>
          <w:szCs w:val="14"/>
        </w:rPr>
        <w:t>of</w:t>
      </w:r>
      <w:r w:rsidR="00CD37C6" w:rsidRPr="009B4482">
        <w:rPr>
          <w:rFonts w:asciiTheme="minorHAnsi" w:hAnsiTheme="minorHAnsi" w:cstheme="minorHAnsi"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sz w:val="14"/>
          <w:szCs w:val="14"/>
        </w:rPr>
        <w:t>scope</w:t>
      </w:r>
      <w:r w:rsidR="00CD37C6" w:rsidRPr="009B4482">
        <w:rPr>
          <w:rFonts w:asciiTheme="minorHAnsi" w:hAnsiTheme="minorHAnsi" w:cstheme="minorHAnsi"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sz w:val="14"/>
          <w:szCs w:val="14"/>
        </w:rPr>
        <w:t>as</w:t>
      </w:r>
      <w:r w:rsidR="00CD37C6" w:rsidRPr="009B4482">
        <w:rPr>
          <w:rFonts w:asciiTheme="minorHAnsi" w:hAnsiTheme="minorHAnsi" w:cstheme="minorHAnsi"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sz w:val="14"/>
          <w:szCs w:val="14"/>
        </w:rPr>
        <w:t>per</w:t>
      </w:r>
      <w:r w:rsidR="00CD37C6" w:rsidRPr="009B4482">
        <w:rPr>
          <w:rFonts w:asciiTheme="minorHAnsi" w:hAnsiTheme="minorHAnsi" w:cstheme="minorHAnsi"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sz w:val="14"/>
          <w:szCs w:val="14"/>
        </w:rPr>
        <w:t>the</w:t>
      </w:r>
      <w:r w:rsidR="00CD37C6" w:rsidRPr="009B4482">
        <w:rPr>
          <w:rFonts w:asciiTheme="minorHAnsi" w:hAnsiTheme="minorHAnsi" w:cstheme="minorHAnsi"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i/>
          <w:iCs/>
          <w:sz w:val="14"/>
          <w:szCs w:val="14"/>
        </w:rPr>
        <w:t>Livestock</w:t>
      </w:r>
      <w:r w:rsidR="00CD37C6" w:rsidRPr="009B4482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i/>
          <w:iCs/>
          <w:sz w:val="14"/>
          <w:szCs w:val="14"/>
        </w:rPr>
        <w:t>Disease</w:t>
      </w:r>
      <w:r w:rsidR="00CD37C6" w:rsidRPr="009B4482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i/>
          <w:iCs/>
          <w:sz w:val="14"/>
          <w:szCs w:val="14"/>
        </w:rPr>
        <w:t>Control</w:t>
      </w:r>
      <w:r w:rsidR="00CD37C6" w:rsidRPr="009B4482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i/>
          <w:iCs/>
          <w:sz w:val="14"/>
          <w:szCs w:val="14"/>
        </w:rPr>
        <w:t>Act</w:t>
      </w:r>
      <w:r w:rsidR="00CD37C6" w:rsidRPr="009B4482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i/>
          <w:iCs/>
          <w:sz w:val="14"/>
          <w:szCs w:val="14"/>
        </w:rPr>
        <w:t>1994</w:t>
      </w:r>
      <w:r w:rsidRPr="009B4482">
        <w:rPr>
          <w:rFonts w:asciiTheme="minorHAnsi" w:hAnsiTheme="minorHAnsi" w:cstheme="minorHAnsi"/>
          <w:sz w:val="14"/>
          <w:szCs w:val="14"/>
        </w:rPr>
        <w:t>.</w:t>
      </w:r>
    </w:p>
    <w:p w14:paraId="0F47DB35" w14:textId="07F77D49" w:rsidR="009F127E" w:rsidRPr="009B4482" w:rsidRDefault="00000000" w:rsidP="009B4482">
      <w:pPr>
        <w:pStyle w:val="Normalbeforebullet"/>
        <w:rPr>
          <w:b/>
          <w:bCs/>
        </w:rPr>
      </w:pPr>
      <w:r w:rsidRPr="009B4482">
        <w:rPr>
          <w:b/>
          <w:bCs/>
        </w:rPr>
        <w:t>Medium-term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outcomes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(3–5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years)</w:t>
      </w:r>
    </w:p>
    <w:p w14:paraId="52B13A3F" w14:textId="24A3BCE4" w:rsidR="009F127E" w:rsidRDefault="00000000" w:rsidP="008E4EA4">
      <w:pPr>
        <w:pStyle w:val="Bullet"/>
      </w:pPr>
      <w:r>
        <w:t>Livestock</w:t>
      </w:r>
      <w:r w:rsidR="00CD37C6">
        <w:t xml:space="preserve"> </w:t>
      </w:r>
      <w:r>
        <w:t>industry</w:t>
      </w:r>
      <w:r w:rsidR="00CD37C6">
        <w:t xml:space="preserve"> </w:t>
      </w:r>
      <w:r>
        <w:t>participants</w:t>
      </w:r>
      <w:r w:rsidR="00CD37C6">
        <w:t xml:space="preserve"> </w:t>
      </w:r>
      <w:r>
        <w:t>are</w:t>
      </w:r>
      <w:r w:rsidR="00CD37C6">
        <w:t xml:space="preserve"> </w:t>
      </w:r>
      <w:r>
        <w:t>working</w:t>
      </w:r>
      <w:r w:rsidR="00CD37C6">
        <w:t xml:space="preserve"> </w:t>
      </w:r>
      <w:r>
        <w:t>collaboratively,</w:t>
      </w:r>
      <w:r w:rsidR="00CD37C6">
        <w:t xml:space="preserve"> </w:t>
      </w:r>
      <w:r>
        <w:t>fully</w:t>
      </w:r>
      <w:r w:rsidR="00CD37C6">
        <w:t xml:space="preserve"> </w:t>
      </w:r>
      <w:r>
        <w:t>engaged</w:t>
      </w:r>
      <w:r w:rsidR="00CD37C6">
        <w:t xml:space="preserve"> </w:t>
      </w:r>
      <w:r>
        <w:t>and</w:t>
      </w:r>
      <w:r w:rsidR="00CD37C6">
        <w:t xml:space="preserve"> </w:t>
      </w:r>
      <w:r>
        <w:t>adopting</w:t>
      </w:r>
      <w:r w:rsidR="00CD37C6">
        <w:t xml:space="preserve"> </w:t>
      </w:r>
      <w:r>
        <w:t>better</w:t>
      </w:r>
      <w:r w:rsidR="00CD37C6">
        <w:t xml:space="preserve"> </w:t>
      </w:r>
      <w:r>
        <w:t>practice</w:t>
      </w:r>
      <w:r w:rsidR="00CD37C6">
        <w:t xml:space="preserve"> </w:t>
      </w:r>
      <w:r>
        <w:t>management</w:t>
      </w:r>
      <w:r w:rsidR="00CD37C6">
        <w:t xml:space="preserve"> </w:t>
      </w:r>
      <w:r>
        <w:t>of</w:t>
      </w:r>
      <w:r w:rsidR="00CD37C6">
        <w:t xml:space="preserve"> </w:t>
      </w:r>
      <w:r>
        <w:t>animal</w:t>
      </w:r>
      <w:r w:rsidR="00CD37C6">
        <w:t xml:space="preserve"> </w:t>
      </w:r>
      <w:r>
        <w:t>health,</w:t>
      </w:r>
      <w:r w:rsidR="00CD37C6">
        <w:t xml:space="preserve"> </w:t>
      </w:r>
      <w:r>
        <w:t>biosecurity,</w:t>
      </w:r>
      <w:r w:rsidR="00CD37C6">
        <w:t xml:space="preserve"> </w:t>
      </w:r>
      <w:r>
        <w:t>and</w:t>
      </w:r>
      <w:r w:rsidR="00CD37C6">
        <w:t xml:space="preserve"> </w:t>
      </w:r>
      <w:r>
        <w:t>zoonotic</w:t>
      </w:r>
      <w:r w:rsidR="00CD37C6">
        <w:t xml:space="preserve"> </w:t>
      </w:r>
      <w:r>
        <w:t>diseases.</w:t>
      </w:r>
    </w:p>
    <w:p w14:paraId="7414735A" w14:textId="018A5B3B" w:rsidR="009F127E" w:rsidRDefault="00000000" w:rsidP="008E4EA4">
      <w:pPr>
        <w:pStyle w:val="Bullet"/>
      </w:pPr>
      <w:r>
        <w:t>Develop</w:t>
      </w:r>
      <w:r w:rsidR="00CD37C6">
        <w:t xml:space="preserve"> </w:t>
      </w:r>
      <w:r>
        <w:t>and</w:t>
      </w:r>
      <w:r w:rsidR="00CD37C6">
        <w:t xml:space="preserve"> </w:t>
      </w:r>
      <w:r>
        <w:t>maintain</w:t>
      </w:r>
      <w:r w:rsidR="00CD37C6">
        <w:t xml:space="preserve"> </w:t>
      </w:r>
      <w:r>
        <w:t>a</w:t>
      </w:r>
      <w:r w:rsidR="00CD37C6">
        <w:t xml:space="preserve"> </w:t>
      </w:r>
      <w:r>
        <w:t>targeted</w:t>
      </w:r>
      <w:r w:rsidR="00CD37C6">
        <w:t xml:space="preserve"> </w:t>
      </w:r>
      <w:r>
        <w:t>pool</w:t>
      </w:r>
      <w:r w:rsidR="00CD37C6">
        <w:t xml:space="preserve"> </w:t>
      </w:r>
      <w:r>
        <w:t>of</w:t>
      </w:r>
      <w:r w:rsidR="00CD37C6">
        <w:t xml:space="preserve"> </w:t>
      </w:r>
      <w:r>
        <w:t>trained</w:t>
      </w:r>
      <w:r w:rsidR="00CD37C6">
        <w:t xml:space="preserve"> </w:t>
      </w:r>
      <w:r>
        <w:t>industry</w:t>
      </w:r>
      <w:r w:rsidR="00CD37C6">
        <w:t xml:space="preserve"> </w:t>
      </w:r>
      <w:r>
        <w:t>participants</w:t>
      </w:r>
      <w:r w:rsidR="00CD37C6">
        <w:t xml:space="preserve"> </w:t>
      </w:r>
      <w:r>
        <w:t>in</w:t>
      </w:r>
      <w:r w:rsidR="00CD37C6">
        <w:t xml:space="preserve"> </w:t>
      </w:r>
      <w:r>
        <w:t>biosecurity</w:t>
      </w:r>
      <w:r w:rsidR="00CD37C6">
        <w:t xml:space="preserve"> </w:t>
      </w:r>
      <w:r>
        <w:t>to</w:t>
      </w:r>
      <w:r w:rsidR="00CD37C6">
        <w:t xml:space="preserve"> </w:t>
      </w:r>
      <w:r>
        <w:t>build</w:t>
      </w:r>
      <w:r w:rsidR="00CD37C6">
        <w:t xml:space="preserve"> </w:t>
      </w:r>
      <w:r>
        <w:t>preparedness</w:t>
      </w:r>
      <w:r w:rsidR="00CD37C6">
        <w:t xml:space="preserve"> </w:t>
      </w:r>
      <w:r>
        <w:t>capability</w:t>
      </w:r>
      <w:r w:rsidR="00CD37C6">
        <w:t xml:space="preserve"> </w:t>
      </w:r>
      <w:r>
        <w:t>and</w:t>
      </w:r>
      <w:r w:rsidR="00CD37C6">
        <w:t xml:space="preserve"> </w:t>
      </w:r>
      <w:r>
        <w:t>contribute</w:t>
      </w:r>
      <w:r w:rsidR="00CD37C6">
        <w:t xml:space="preserve"> </w:t>
      </w:r>
      <w:r>
        <w:t>back</w:t>
      </w:r>
      <w:r w:rsidR="00CD37C6">
        <w:t xml:space="preserve"> </w:t>
      </w:r>
      <w:r>
        <w:t>to</w:t>
      </w:r>
      <w:r w:rsidR="00CD37C6">
        <w:t xml:space="preserve"> </w:t>
      </w:r>
      <w:r>
        <w:t>industry.</w:t>
      </w:r>
    </w:p>
    <w:p w14:paraId="4F9A362F" w14:textId="27EE5889" w:rsidR="009F127E" w:rsidRDefault="00000000" w:rsidP="008E4EA4">
      <w:pPr>
        <w:pStyle w:val="Bullet"/>
      </w:pPr>
      <w:r>
        <w:t>Victorian</w:t>
      </w:r>
      <w:r w:rsidR="00CD37C6">
        <w:t xml:space="preserve"> </w:t>
      </w:r>
      <w:r>
        <w:t>cattle</w:t>
      </w:r>
      <w:r w:rsidR="00CD37C6">
        <w:t xml:space="preserve"> </w:t>
      </w:r>
      <w:r>
        <w:t>value</w:t>
      </w:r>
      <w:r w:rsidR="00CD37C6">
        <w:t xml:space="preserve"> </w:t>
      </w:r>
      <w:r>
        <w:t>chain</w:t>
      </w:r>
      <w:r w:rsidR="00CD37C6">
        <w:t xml:space="preserve"> </w:t>
      </w:r>
      <w:r>
        <w:t>is</w:t>
      </w:r>
      <w:r w:rsidR="00CD37C6">
        <w:t xml:space="preserve"> </w:t>
      </w:r>
      <w:r>
        <w:t>informed</w:t>
      </w:r>
      <w:r w:rsidR="00CD37C6">
        <w:t xml:space="preserve"> </w:t>
      </w:r>
      <w:r>
        <w:t>of</w:t>
      </w:r>
      <w:r w:rsidR="00CD37C6">
        <w:t xml:space="preserve"> </w:t>
      </w:r>
      <w:r>
        <w:t>CCF</w:t>
      </w:r>
      <w:r w:rsidR="00CD37C6">
        <w:t xml:space="preserve"> </w:t>
      </w:r>
      <w:r>
        <w:t>funded</w:t>
      </w:r>
      <w:r w:rsidR="00CD37C6">
        <w:t xml:space="preserve"> </w:t>
      </w:r>
      <w:r>
        <w:t>projects</w:t>
      </w:r>
      <w:r w:rsidR="00CD37C6">
        <w:t xml:space="preserve"> </w:t>
      </w:r>
      <w:r>
        <w:t>and</w:t>
      </w:r>
      <w:r w:rsidR="00CD37C6">
        <w:t xml:space="preserve"> </w:t>
      </w:r>
      <w:r>
        <w:t>see</w:t>
      </w:r>
      <w:r w:rsidR="00CD37C6">
        <w:t xml:space="preserve"> </w:t>
      </w:r>
      <w:r>
        <w:t>the</w:t>
      </w:r>
      <w:r w:rsidR="00CD37C6">
        <w:t xml:space="preserve"> </w:t>
      </w:r>
      <w:r>
        <w:t>benefits</w:t>
      </w:r>
      <w:r w:rsidR="00CD37C6">
        <w:t xml:space="preserve"> </w:t>
      </w:r>
      <w:r>
        <w:t>of</w:t>
      </w:r>
      <w:r w:rsidR="00CD37C6">
        <w:t xml:space="preserve"> </w:t>
      </w:r>
      <w:r>
        <w:t>these</w:t>
      </w:r>
      <w:r w:rsidR="00CD37C6">
        <w:t xml:space="preserve"> </w:t>
      </w:r>
      <w:r>
        <w:t>investments.</w:t>
      </w:r>
    </w:p>
    <w:p w14:paraId="6A1D97E4" w14:textId="4E71B955" w:rsidR="009F127E" w:rsidRDefault="00000000" w:rsidP="008E4EA4">
      <w:pPr>
        <w:pStyle w:val="Bullet"/>
      </w:pPr>
      <w:r>
        <w:t>Adoption</w:t>
      </w:r>
      <w:r w:rsidR="00CD37C6">
        <w:t xml:space="preserve"> </w:t>
      </w:r>
      <w:r>
        <w:t>of</w:t>
      </w:r>
      <w:r w:rsidR="00CD37C6">
        <w:t xml:space="preserve"> </w:t>
      </w:r>
      <w:r>
        <w:t>proactive</w:t>
      </w:r>
      <w:r w:rsidR="00CD37C6">
        <w:t xml:space="preserve"> </w:t>
      </w:r>
      <w:r>
        <w:t>management</w:t>
      </w:r>
      <w:r w:rsidR="00CD37C6">
        <w:t xml:space="preserve"> </w:t>
      </w:r>
      <w:r>
        <w:t>and</w:t>
      </w:r>
      <w:r w:rsidR="00CD37C6">
        <w:t xml:space="preserve"> </w:t>
      </w:r>
      <w:r>
        <w:t>reporting</w:t>
      </w:r>
      <w:r w:rsidR="00CD37C6">
        <w:t xml:space="preserve"> </w:t>
      </w:r>
      <w:r>
        <w:t>of</w:t>
      </w:r>
      <w:r w:rsidR="00CD37C6">
        <w:t xml:space="preserve"> </w:t>
      </w:r>
      <w:r>
        <w:t>endemic</w:t>
      </w:r>
      <w:r w:rsidR="00CD37C6">
        <w:t xml:space="preserve"> </w:t>
      </w:r>
      <w:r>
        <w:t>and</w:t>
      </w:r>
      <w:r w:rsidR="00CD37C6">
        <w:t xml:space="preserve"> </w:t>
      </w:r>
      <w:r>
        <w:t>emerging</w:t>
      </w:r>
      <w:r w:rsidR="00CD37C6">
        <w:t xml:space="preserve"> </w:t>
      </w:r>
      <w:r>
        <w:t>diseases</w:t>
      </w:r>
      <w:r w:rsidR="00CD37C6">
        <w:t xml:space="preserve"> </w:t>
      </w:r>
      <w:r>
        <w:t>across</w:t>
      </w:r>
      <w:r w:rsidR="00CD37C6">
        <w:t xml:space="preserve"> </w:t>
      </w:r>
      <w:r>
        <w:t>the</w:t>
      </w:r>
      <w:r w:rsidR="00CD37C6">
        <w:t xml:space="preserve"> </w:t>
      </w:r>
      <w:r>
        <w:t>supply</w:t>
      </w:r>
      <w:r w:rsidR="00CD37C6">
        <w:t xml:space="preserve"> </w:t>
      </w:r>
      <w:r>
        <w:t>chain.</w:t>
      </w:r>
    </w:p>
    <w:p w14:paraId="0C58F879" w14:textId="429B8C92" w:rsidR="009F127E" w:rsidRPr="009B4482" w:rsidRDefault="00000000" w:rsidP="008E4EA4">
      <w:pPr>
        <w:pStyle w:val="Bullet"/>
        <w:rPr>
          <w:rFonts w:asciiTheme="minorHAnsi" w:hAnsiTheme="minorHAnsi" w:cstheme="minorHAnsi"/>
          <w:spacing w:val="-4"/>
        </w:rPr>
      </w:pPr>
      <w:r w:rsidRPr="009B4482">
        <w:rPr>
          <w:rFonts w:asciiTheme="minorHAnsi" w:hAnsiTheme="minorHAnsi" w:cstheme="minorHAnsi"/>
          <w:spacing w:val="-4"/>
        </w:rPr>
        <w:t>Investments</w:t>
      </w:r>
      <w:r w:rsidR="00CD37C6" w:rsidRPr="009B4482">
        <w:rPr>
          <w:rFonts w:asciiTheme="minorHAnsi" w:hAnsiTheme="minorHAnsi" w:cstheme="minorHAnsi"/>
          <w:spacing w:val="-4"/>
        </w:rPr>
        <w:t xml:space="preserve"> </w:t>
      </w:r>
      <w:r w:rsidRPr="009B4482">
        <w:rPr>
          <w:rFonts w:asciiTheme="minorHAnsi" w:hAnsiTheme="minorHAnsi" w:cstheme="minorHAnsi"/>
          <w:spacing w:val="-4"/>
        </w:rPr>
        <w:t>are</w:t>
      </w:r>
      <w:r w:rsidR="00CD37C6" w:rsidRPr="009B4482">
        <w:rPr>
          <w:rFonts w:asciiTheme="minorHAnsi" w:hAnsiTheme="minorHAnsi" w:cstheme="minorHAnsi"/>
          <w:spacing w:val="-4"/>
        </w:rPr>
        <w:t xml:space="preserve"> </w:t>
      </w:r>
      <w:r w:rsidRPr="009B4482">
        <w:rPr>
          <w:rFonts w:asciiTheme="minorHAnsi" w:hAnsiTheme="minorHAnsi" w:cstheme="minorHAnsi"/>
          <w:spacing w:val="-4"/>
        </w:rPr>
        <w:t>aligned</w:t>
      </w:r>
      <w:r w:rsidR="00CD37C6" w:rsidRPr="009B4482">
        <w:rPr>
          <w:rFonts w:asciiTheme="minorHAnsi" w:hAnsiTheme="minorHAnsi" w:cstheme="minorHAnsi"/>
          <w:spacing w:val="-4"/>
        </w:rPr>
        <w:t xml:space="preserve"> </w:t>
      </w:r>
      <w:r w:rsidRPr="009B4482">
        <w:rPr>
          <w:rFonts w:asciiTheme="minorHAnsi" w:hAnsiTheme="minorHAnsi" w:cstheme="minorHAnsi"/>
          <w:spacing w:val="-4"/>
        </w:rPr>
        <w:t>with</w:t>
      </w:r>
      <w:r w:rsidR="00CD37C6" w:rsidRPr="009B4482">
        <w:rPr>
          <w:rFonts w:asciiTheme="minorHAnsi" w:hAnsiTheme="minorHAnsi" w:cstheme="minorHAnsi"/>
          <w:spacing w:val="-4"/>
        </w:rPr>
        <w:t xml:space="preserve"> </w:t>
      </w:r>
      <w:r w:rsidRPr="009B4482">
        <w:rPr>
          <w:rFonts w:asciiTheme="minorHAnsi" w:hAnsiTheme="minorHAnsi" w:cstheme="minorHAnsi"/>
          <w:spacing w:val="-4"/>
        </w:rPr>
        <w:t>statutory</w:t>
      </w:r>
      <w:r w:rsidR="00CD37C6" w:rsidRPr="009B4482">
        <w:rPr>
          <w:rFonts w:asciiTheme="minorHAnsi" w:hAnsiTheme="minorHAnsi" w:cstheme="minorHAnsi"/>
          <w:spacing w:val="-4"/>
        </w:rPr>
        <w:t xml:space="preserve"> </w:t>
      </w:r>
      <w:r w:rsidRPr="009B4482">
        <w:rPr>
          <w:rFonts w:asciiTheme="minorHAnsi" w:hAnsiTheme="minorHAnsi" w:cstheme="minorHAnsi"/>
          <w:spacing w:val="-4"/>
        </w:rPr>
        <w:t>requirements</w:t>
      </w:r>
      <w:r w:rsidR="00CD37C6" w:rsidRPr="009B4482">
        <w:rPr>
          <w:rFonts w:asciiTheme="minorHAnsi" w:hAnsiTheme="minorHAnsi" w:cstheme="minorHAnsi"/>
          <w:spacing w:val="-4"/>
        </w:rPr>
        <w:t xml:space="preserve"> </w:t>
      </w:r>
      <w:r w:rsidRPr="009B4482">
        <w:rPr>
          <w:rFonts w:asciiTheme="minorHAnsi" w:hAnsiTheme="minorHAnsi" w:cstheme="minorHAnsi"/>
          <w:spacing w:val="-4"/>
        </w:rPr>
        <w:t>of</w:t>
      </w:r>
      <w:r w:rsidR="00CD37C6" w:rsidRPr="009B4482">
        <w:rPr>
          <w:rFonts w:asciiTheme="minorHAnsi" w:hAnsiTheme="minorHAnsi" w:cstheme="minorHAnsi"/>
          <w:spacing w:val="-4"/>
        </w:rPr>
        <w:t xml:space="preserve"> </w:t>
      </w:r>
      <w:r w:rsidRPr="009B4482">
        <w:rPr>
          <w:rFonts w:asciiTheme="minorHAnsi" w:hAnsiTheme="minorHAnsi" w:cstheme="minorHAnsi"/>
          <w:spacing w:val="-4"/>
        </w:rPr>
        <w:t>the</w:t>
      </w:r>
      <w:r w:rsidR="00CD37C6" w:rsidRPr="009B4482">
        <w:rPr>
          <w:rFonts w:asciiTheme="minorHAnsi" w:hAnsiTheme="minorHAnsi" w:cstheme="minorHAnsi"/>
          <w:spacing w:val="-4"/>
        </w:rPr>
        <w:t xml:space="preserve"> </w:t>
      </w:r>
      <w:r w:rsidRPr="009B4482">
        <w:rPr>
          <w:rFonts w:asciiTheme="minorHAnsi" w:hAnsiTheme="minorHAnsi" w:cstheme="minorHAnsi"/>
          <w:i/>
          <w:iCs/>
          <w:spacing w:val="-4"/>
        </w:rPr>
        <w:t>Livestock</w:t>
      </w:r>
      <w:r w:rsidR="00CD37C6" w:rsidRPr="009B4482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9B4482">
        <w:rPr>
          <w:rFonts w:asciiTheme="minorHAnsi" w:hAnsiTheme="minorHAnsi" w:cstheme="minorHAnsi"/>
          <w:i/>
          <w:iCs/>
          <w:spacing w:val="-4"/>
        </w:rPr>
        <w:t>Disease</w:t>
      </w:r>
      <w:r w:rsidR="00CD37C6" w:rsidRPr="009B4482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9B4482">
        <w:rPr>
          <w:rFonts w:asciiTheme="minorHAnsi" w:hAnsiTheme="minorHAnsi" w:cstheme="minorHAnsi"/>
          <w:i/>
          <w:iCs/>
          <w:spacing w:val="-4"/>
        </w:rPr>
        <w:t>Control</w:t>
      </w:r>
      <w:r w:rsidR="00CD37C6" w:rsidRPr="009B4482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9B4482">
        <w:rPr>
          <w:rFonts w:asciiTheme="minorHAnsi" w:hAnsiTheme="minorHAnsi" w:cstheme="minorHAnsi"/>
          <w:i/>
          <w:iCs/>
          <w:spacing w:val="-4"/>
        </w:rPr>
        <w:t>Act</w:t>
      </w:r>
      <w:r w:rsidR="00CD37C6" w:rsidRPr="009B4482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9B4482">
        <w:rPr>
          <w:rFonts w:asciiTheme="minorHAnsi" w:hAnsiTheme="minorHAnsi" w:cstheme="minorHAnsi"/>
          <w:i/>
          <w:iCs/>
          <w:spacing w:val="-4"/>
        </w:rPr>
        <w:t>1994.</w:t>
      </w:r>
    </w:p>
    <w:p w14:paraId="4C40E9FC" w14:textId="2849F03E" w:rsidR="009F127E" w:rsidRDefault="00000000" w:rsidP="009B4482">
      <w:pPr>
        <w:pStyle w:val="Bulletlast"/>
      </w:pPr>
      <w:r>
        <w:t>Victoria</w:t>
      </w:r>
      <w:r w:rsidR="00CD37C6">
        <w:t xml:space="preserve"> </w:t>
      </w:r>
      <w:r>
        <w:t>is</w:t>
      </w:r>
      <w:r w:rsidR="00CD37C6">
        <w:t xml:space="preserve"> </w:t>
      </w:r>
      <w:r>
        <w:t>viewed</w:t>
      </w:r>
      <w:r w:rsidR="00CD37C6">
        <w:t xml:space="preserve"> </w:t>
      </w:r>
      <w:r>
        <w:t>as</w:t>
      </w:r>
      <w:r w:rsidR="00CD37C6">
        <w:t xml:space="preserve"> </w:t>
      </w:r>
      <w:r>
        <w:t>a</w:t>
      </w:r>
      <w:r w:rsidR="00CD37C6">
        <w:t xml:space="preserve"> </w:t>
      </w:r>
      <w:r>
        <w:t>leader</w:t>
      </w:r>
      <w:r w:rsidR="00CD37C6">
        <w:t xml:space="preserve"> </w:t>
      </w:r>
      <w:r>
        <w:t>in</w:t>
      </w:r>
      <w:r w:rsidR="00CD37C6">
        <w:t xml:space="preserve"> </w:t>
      </w:r>
      <w:r w:rsidRPr="009B4482">
        <w:t>traceability</w:t>
      </w:r>
      <w:r w:rsidR="00CD37C6">
        <w:t xml:space="preserve"> </w:t>
      </w:r>
      <w:r>
        <w:t>and</w:t>
      </w:r>
      <w:r w:rsidR="00CD37C6">
        <w:t xml:space="preserve"> </w:t>
      </w:r>
      <w:r>
        <w:t>biosecurity</w:t>
      </w:r>
      <w:r w:rsidR="00CD37C6">
        <w:t xml:space="preserve"> </w:t>
      </w:r>
      <w:r>
        <w:t>by</w:t>
      </w:r>
      <w:r w:rsidR="00CD37C6">
        <w:t xml:space="preserve"> </w:t>
      </w:r>
      <w:r>
        <w:t>jurisdictions</w:t>
      </w:r>
      <w:r w:rsidR="00CD37C6">
        <w:t xml:space="preserve"> </w:t>
      </w:r>
      <w:r>
        <w:t>and</w:t>
      </w:r>
      <w:r w:rsidR="00CD37C6">
        <w:t xml:space="preserve"> </w:t>
      </w:r>
      <w:r>
        <w:t>trading</w:t>
      </w:r>
      <w:r w:rsidR="00CD37C6">
        <w:t xml:space="preserve"> </w:t>
      </w:r>
      <w:r>
        <w:t>partners.</w:t>
      </w:r>
    </w:p>
    <w:p w14:paraId="715D52F1" w14:textId="040DFB42" w:rsidR="009F127E" w:rsidRPr="009B4482" w:rsidRDefault="00000000" w:rsidP="009B4482">
      <w:pPr>
        <w:pStyle w:val="Normalbeforebullet"/>
        <w:rPr>
          <w:b/>
          <w:bCs/>
        </w:rPr>
      </w:pPr>
      <w:r w:rsidRPr="009B4482">
        <w:rPr>
          <w:b/>
          <w:bCs/>
        </w:rPr>
        <w:t>Long-term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outcomes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(10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+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years)</w:t>
      </w:r>
    </w:p>
    <w:p w14:paraId="2443E50F" w14:textId="40B6A969" w:rsidR="009F127E" w:rsidRDefault="00000000" w:rsidP="008E4EA4">
      <w:pPr>
        <w:pStyle w:val="Bullet"/>
      </w:pPr>
      <w:r>
        <w:t>Domestic</w:t>
      </w:r>
      <w:r w:rsidR="00CD37C6">
        <w:t xml:space="preserve"> </w:t>
      </w:r>
      <w:r>
        <w:t>and</w:t>
      </w:r>
      <w:r w:rsidR="00CD37C6">
        <w:t xml:space="preserve"> </w:t>
      </w:r>
      <w:r>
        <w:t>export</w:t>
      </w:r>
      <w:r w:rsidR="00CD37C6">
        <w:t xml:space="preserve"> </w:t>
      </w:r>
      <w:r>
        <w:t>markets</w:t>
      </w:r>
      <w:r w:rsidR="00CD37C6">
        <w:t xml:space="preserve"> </w:t>
      </w:r>
      <w:r>
        <w:t>for</w:t>
      </w:r>
      <w:r w:rsidR="00CD37C6">
        <w:t xml:space="preserve"> </w:t>
      </w:r>
      <w:r>
        <w:t>livestock</w:t>
      </w:r>
      <w:r w:rsidR="00CD37C6">
        <w:t xml:space="preserve"> </w:t>
      </w:r>
      <w:r>
        <w:t>and</w:t>
      </w:r>
      <w:r w:rsidR="00CD37C6">
        <w:t xml:space="preserve"> </w:t>
      </w:r>
      <w:r>
        <w:t>livestock</w:t>
      </w:r>
      <w:r w:rsidR="00CD37C6">
        <w:t xml:space="preserve"> </w:t>
      </w:r>
      <w:r>
        <w:t>products</w:t>
      </w:r>
      <w:r w:rsidR="00CD37C6">
        <w:t xml:space="preserve"> </w:t>
      </w:r>
      <w:r>
        <w:t>are</w:t>
      </w:r>
      <w:r w:rsidR="00CD37C6">
        <w:t xml:space="preserve"> </w:t>
      </w:r>
      <w:r>
        <w:t>maintained</w:t>
      </w:r>
      <w:r w:rsidR="00CD37C6">
        <w:t xml:space="preserve"> </w:t>
      </w:r>
      <w:r>
        <w:t>and</w:t>
      </w:r>
      <w:r w:rsidR="00CD37C6">
        <w:t xml:space="preserve"> </w:t>
      </w:r>
      <w:r>
        <w:t>enhanced</w:t>
      </w:r>
      <w:r w:rsidR="00CD37C6">
        <w:t xml:space="preserve"> </w:t>
      </w:r>
      <w:r>
        <w:t>(including</w:t>
      </w:r>
      <w:r w:rsidR="00CD37C6">
        <w:t xml:space="preserve"> </w:t>
      </w:r>
      <w:r>
        <w:t>food</w:t>
      </w:r>
      <w:r w:rsidR="00CD37C6">
        <w:t xml:space="preserve"> </w:t>
      </w:r>
      <w:r>
        <w:t>security).</w:t>
      </w:r>
    </w:p>
    <w:p w14:paraId="5BB72D84" w14:textId="67E05E3C" w:rsidR="009F127E" w:rsidRDefault="00000000" w:rsidP="008E4EA4">
      <w:pPr>
        <w:pStyle w:val="Bullet"/>
      </w:pPr>
      <w:r>
        <w:lastRenderedPageBreak/>
        <w:t>Indirect</w:t>
      </w:r>
      <w:r w:rsidR="00CD37C6">
        <w:t xml:space="preserve"> </w:t>
      </w:r>
      <w:r>
        <w:t>benefits</w:t>
      </w:r>
      <w:r w:rsidR="00CD37C6">
        <w:t xml:space="preserve"> </w:t>
      </w:r>
      <w:r>
        <w:t>beyond</w:t>
      </w:r>
      <w:r w:rsidR="00CD37C6">
        <w:t xml:space="preserve"> </w:t>
      </w:r>
      <w:r>
        <w:t>the</w:t>
      </w:r>
      <w:r w:rsidR="00CD37C6">
        <w:t xml:space="preserve"> </w:t>
      </w:r>
      <w:r>
        <w:t>scope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purposes/objectives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rPr>
          <w:rStyle w:val="LightItalic"/>
        </w:rPr>
        <w:t>Livestock</w:t>
      </w:r>
      <w:r w:rsidR="00CD37C6">
        <w:rPr>
          <w:rStyle w:val="LightItalic"/>
        </w:rPr>
        <w:t xml:space="preserve"> </w:t>
      </w:r>
      <w:r>
        <w:rPr>
          <w:rStyle w:val="LightItalic"/>
        </w:rPr>
        <w:t>Disease</w:t>
      </w:r>
      <w:r w:rsidR="00CD37C6">
        <w:rPr>
          <w:rStyle w:val="LightItalic"/>
        </w:rPr>
        <w:t xml:space="preserve"> </w:t>
      </w:r>
      <w:r>
        <w:rPr>
          <w:rStyle w:val="LightItalic"/>
        </w:rPr>
        <w:t>Control</w:t>
      </w:r>
      <w:r w:rsidR="00CD37C6">
        <w:rPr>
          <w:rStyle w:val="LightItalic"/>
        </w:rPr>
        <w:t xml:space="preserve"> </w:t>
      </w:r>
      <w:r>
        <w:rPr>
          <w:rStyle w:val="LightItalic"/>
        </w:rPr>
        <w:t>Act</w:t>
      </w:r>
      <w:r w:rsidR="00CD37C6">
        <w:rPr>
          <w:rStyle w:val="LightItalic"/>
        </w:rPr>
        <w:t xml:space="preserve"> </w:t>
      </w:r>
      <w:r>
        <w:rPr>
          <w:rStyle w:val="LightItalic"/>
        </w:rPr>
        <w:t>1994</w:t>
      </w:r>
      <w:r>
        <w:t>:</w:t>
      </w:r>
    </w:p>
    <w:p w14:paraId="1D59FC38" w14:textId="767C2A38" w:rsidR="009F127E" w:rsidRDefault="00000000">
      <w:pPr>
        <w:pStyle w:val="Bullet2end"/>
      </w:pPr>
      <w:r>
        <w:t>public</w:t>
      </w:r>
      <w:r w:rsidR="00CD37C6">
        <w:t xml:space="preserve"> </w:t>
      </w:r>
      <w:r>
        <w:t>health</w:t>
      </w:r>
      <w:r w:rsidR="00CD37C6">
        <w:t xml:space="preserve"> </w:t>
      </w:r>
      <w:r>
        <w:t>is</w:t>
      </w:r>
      <w:r w:rsidR="00CD37C6">
        <w:t xml:space="preserve"> </w:t>
      </w:r>
      <w:r>
        <w:t>protected</w:t>
      </w:r>
    </w:p>
    <w:p w14:paraId="202DACF7" w14:textId="6CC4A767" w:rsidR="009F127E" w:rsidRDefault="00000000">
      <w:pPr>
        <w:pStyle w:val="Bullet2end"/>
      </w:pPr>
      <w:r>
        <w:t>improved</w:t>
      </w:r>
      <w:r w:rsidR="00CD37C6">
        <w:t xml:space="preserve"> </w:t>
      </w:r>
      <w:r>
        <w:t>animal</w:t>
      </w:r>
      <w:r w:rsidR="00CD37C6">
        <w:t xml:space="preserve"> </w:t>
      </w:r>
      <w:r>
        <w:t>health</w:t>
      </w:r>
    </w:p>
    <w:p w14:paraId="13513130" w14:textId="2B910CDE" w:rsidR="009F127E" w:rsidRDefault="00000000">
      <w:pPr>
        <w:pStyle w:val="Bullet2end"/>
      </w:pPr>
      <w:r>
        <w:t>broader</w:t>
      </w:r>
      <w:r w:rsidR="00CD37C6">
        <w:t xml:space="preserve"> </w:t>
      </w:r>
      <w:r>
        <w:t>community</w:t>
      </w:r>
      <w:r w:rsidR="00CD37C6">
        <w:t xml:space="preserve"> </w:t>
      </w:r>
      <w:r>
        <w:t>confidence</w:t>
      </w:r>
      <w:r w:rsidR="00CD37C6">
        <w:t xml:space="preserve"> </w:t>
      </w:r>
      <w:r>
        <w:t>in</w:t>
      </w:r>
      <w:r w:rsidR="00CD37C6">
        <w:t xml:space="preserve"> </w:t>
      </w:r>
      <w:r>
        <w:t>the</w:t>
      </w:r>
      <w:r w:rsidR="00CD37C6">
        <w:t xml:space="preserve"> </w:t>
      </w:r>
      <w:r>
        <w:t>food</w:t>
      </w:r>
      <w:r w:rsidR="00CD37C6">
        <w:t xml:space="preserve"> </w:t>
      </w:r>
      <w:r>
        <w:t>supply</w:t>
      </w:r>
      <w:r w:rsidR="00CD37C6">
        <w:t xml:space="preserve"> </w:t>
      </w:r>
      <w:r>
        <w:t>chain</w:t>
      </w:r>
    </w:p>
    <w:p w14:paraId="2CD8AD6B" w14:textId="26220084" w:rsidR="009F127E" w:rsidRDefault="00000000">
      <w:pPr>
        <w:pStyle w:val="Bullet2end"/>
        <w:rPr>
          <w:spacing w:val="-4"/>
        </w:rPr>
      </w:pPr>
      <w:r>
        <w:rPr>
          <w:spacing w:val="-4"/>
        </w:rPr>
        <w:t>improve</w:t>
      </w:r>
      <w:r w:rsidR="00CD37C6">
        <w:rPr>
          <w:spacing w:val="-4"/>
        </w:rPr>
        <w:t xml:space="preserve"> </w:t>
      </w:r>
      <w:r>
        <w:rPr>
          <w:spacing w:val="-4"/>
        </w:rPr>
        <w:t>future</w:t>
      </w:r>
      <w:r w:rsidR="00CD37C6">
        <w:rPr>
          <w:spacing w:val="-4"/>
        </w:rPr>
        <w:t xml:space="preserve"> </w:t>
      </w:r>
      <w:r>
        <w:rPr>
          <w:spacing w:val="-4"/>
        </w:rPr>
        <w:t>of</w:t>
      </w:r>
      <w:r w:rsidR="00CD37C6">
        <w:rPr>
          <w:spacing w:val="-4"/>
        </w:rPr>
        <w:t xml:space="preserve"> </w:t>
      </w:r>
      <w:r>
        <w:rPr>
          <w:spacing w:val="-4"/>
        </w:rPr>
        <w:t>the</w:t>
      </w:r>
      <w:r w:rsidR="00CD37C6">
        <w:rPr>
          <w:spacing w:val="-4"/>
        </w:rPr>
        <w:t xml:space="preserve"> </w:t>
      </w:r>
      <w:r>
        <w:rPr>
          <w:spacing w:val="-4"/>
        </w:rPr>
        <w:t>Victorian</w:t>
      </w:r>
      <w:r w:rsidR="00CD37C6">
        <w:rPr>
          <w:spacing w:val="-4"/>
        </w:rPr>
        <w:t xml:space="preserve"> </w:t>
      </w:r>
      <w:r>
        <w:rPr>
          <w:spacing w:val="-4"/>
        </w:rPr>
        <w:t>livestock</w:t>
      </w:r>
      <w:r w:rsidR="00CD37C6">
        <w:rPr>
          <w:spacing w:val="-4"/>
        </w:rPr>
        <w:t xml:space="preserve"> </w:t>
      </w:r>
      <w:r>
        <w:rPr>
          <w:spacing w:val="-4"/>
        </w:rPr>
        <w:t>industry</w:t>
      </w:r>
    </w:p>
    <w:p w14:paraId="0F81B771" w14:textId="4BCA2A67" w:rsidR="009F127E" w:rsidRDefault="00000000">
      <w:pPr>
        <w:pStyle w:val="Bullet2end"/>
      </w:pPr>
      <w:r>
        <w:t>Victoria</w:t>
      </w:r>
      <w:r w:rsidR="00CD37C6">
        <w:t xml:space="preserve"> </w:t>
      </w:r>
      <w:r>
        <w:t>maintains</w:t>
      </w:r>
      <w:r w:rsidR="00CD37C6">
        <w:t xml:space="preserve"> </w:t>
      </w:r>
      <w:r>
        <w:t>a</w:t>
      </w:r>
      <w:r w:rsidR="00CD37C6">
        <w:t xml:space="preserve"> </w:t>
      </w:r>
      <w:r>
        <w:t>competitive</w:t>
      </w:r>
      <w:r w:rsidR="00CD37C6">
        <w:t xml:space="preserve"> </w:t>
      </w:r>
      <w:r>
        <w:t>advantage</w:t>
      </w:r>
      <w:r w:rsidR="00CD37C6">
        <w:t xml:space="preserve"> </w:t>
      </w:r>
      <w:r>
        <w:t>in</w:t>
      </w:r>
      <w:r w:rsidR="00CD37C6">
        <w:t xml:space="preserve"> </w:t>
      </w:r>
      <w:r>
        <w:t>market</w:t>
      </w:r>
      <w:r w:rsidR="00CD37C6">
        <w:t xml:space="preserve"> </w:t>
      </w:r>
      <w:r>
        <w:t>access</w:t>
      </w:r>
    </w:p>
    <w:p w14:paraId="7E672E28" w14:textId="3769542A" w:rsidR="009F127E" w:rsidRDefault="00000000">
      <w:pPr>
        <w:pStyle w:val="Bullet2end"/>
      </w:pPr>
      <w:r>
        <w:t>supply</w:t>
      </w:r>
      <w:r w:rsidR="00CD37C6">
        <w:t xml:space="preserve"> </w:t>
      </w:r>
      <w:r>
        <w:t>chain</w:t>
      </w:r>
      <w:r w:rsidR="00CD37C6">
        <w:t xml:space="preserve"> </w:t>
      </w:r>
      <w:r>
        <w:t>has</w:t>
      </w:r>
      <w:r w:rsidR="00CD37C6">
        <w:t xml:space="preserve"> </w:t>
      </w:r>
      <w:r>
        <w:t>collective</w:t>
      </w:r>
      <w:r w:rsidR="00CD37C6">
        <w:t xml:space="preserve"> </w:t>
      </w:r>
      <w:r>
        <w:t>capability</w:t>
      </w:r>
      <w:r w:rsidR="00CD37C6">
        <w:t xml:space="preserve"> </w:t>
      </w:r>
      <w:r>
        <w:t>and</w:t>
      </w:r>
      <w:r w:rsidR="00CD37C6">
        <w:t xml:space="preserve"> </w:t>
      </w:r>
      <w:r>
        <w:t>is</w:t>
      </w:r>
      <w:r w:rsidR="00CD37C6">
        <w:t xml:space="preserve"> </w:t>
      </w:r>
      <w:r>
        <w:t>responsive</w:t>
      </w:r>
      <w:r w:rsidR="00CD37C6">
        <w:t xml:space="preserve"> </w:t>
      </w:r>
      <w:r>
        <w:t>and</w:t>
      </w:r>
      <w:r w:rsidR="00CD37C6">
        <w:t xml:space="preserve"> </w:t>
      </w:r>
      <w:r>
        <w:t>resilient</w:t>
      </w:r>
      <w:r w:rsidR="00CD37C6">
        <w:t xml:space="preserve"> </w:t>
      </w:r>
      <w:r>
        <w:t>to</w:t>
      </w:r>
      <w:r w:rsidR="00CD37C6">
        <w:t xml:space="preserve"> </w:t>
      </w:r>
      <w:r>
        <w:t>market</w:t>
      </w:r>
      <w:r w:rsidR="00CD37C6">
        <w:t xml:space="preserve"> </w:t>
      </w:r>
      <w:r>
        <w:t>threats</w:t>
      </w:r>
      <w:r w:rsidR="00CD37C6">
        <w:t xml:space="preserve"> </w:t>
      </w:r>
    </w:p>
    <w:p w14:paraId="5762B901" w14:textId="4EE06562" w:rsidR="009F127E" w:rsidRDefault="00000000">
      <w:pPr>
        <w:pStyle w:val="Bullet2end"/>
      </w:pPr>
      <w:r>
        <w:t>improved</w:t>
      </w:r>
      <w:r w:rsidR="00CD37C6">
        <w:t xml:space="preserve"> </w:t>
      </w:r>
      <w:r>
        <w:t>on</w:t>
      </w:r>
      <w:r w:rsidR="00CD37C6">
        <w:t xml:space="preserve"> </w:t>
      </w:r>
      <w:r>
        <w:t>farm</w:t>
      </w:r>
      <w:r w:rsidR="00CD37C6">
        <w:t xml:space="preserve"> </w:t>
      </w:r>
      <w:r>
        <w:t>biosecurity</w:t>
      </w:r>
      <w:r w:rsidR="00CD37C6">
        <w:t xml:space="preserve"> </w:t>
      </w:r>
    </w:p>
    <w:p w14:paraId="01603A9A" w14:textId="2C2272DC" w:rsidR="009F127E" w:rsidRDefault="00000000">
      <w:pPr>
        <w:pStyle w:val="Bullet2end"/>
      </w:pPr>
      <w:r>
        <w:t>improved</w:t>
      </w:r>
      <w:r w:rsidR="00CD37C6">
        <w:t xml:space="preserve"> </w:t>
      </w:r>
      <w:r>
        <w:t>preparedness</w:t>
      </w:r>
      <w:r w:rsidR="00CD37C6">
        <w:t xml:space="preserve"> </w:t>
      </w:r>
      <w:r>
        <w:t>for</w:t>
      </w:r>
      <w:r w:rsidR="00CD37C6">
        <w:t xml:space="preserve"> </w:t>
      </w:r>
      <w:r>
        <w:t>disease</w:t>
      </w:r>
      <w:r w:rsidR="00CD37C6">
        <w:t xml:space="preserve"> </w:t>
      </w:r>
      <w:r>
        <w:t>outbreaks</w:t>
      </w:r>
    </w:p>
    <w:p w14:paraId="63B4D440" w14:textId="0C040D34" w:rsidR="009F127E" w:rsidRDefault="00000000" w:rsidP="009B4482">
      <w:pPr>
        <w:pStyle w:val="Bullet2end"/>
        <w:spacing w:after="200"/>
        <w:ind w:left="568" w:hanging="284"/>
      </w:pPr>
      <w:r>
        <w:t>improving</w:t>
      </w:r>
      <w:r w:rsidR="00CD37C6">
        <w:t xml:space="preserve"> </w:t>
      </w:r>
      <w:r>
        <w:t>sustainability</w:t>
      </w:r>
      <w:r w:rsidR="00CD37C6">
        <w:t xml:space="preserve"> </w:t>
      </w:r>
      <w:r>
        <w:t>and</w:t>
      </w:r>
      <w:r w:rsidR="00CD37C6">
        <w:t xml:space="preserve"> </w:t>
      </w:r>
      <w:r>
        <w:t>profitability</w:t>
      </w:r>
      <w:r w:rsidR="00CD37C6">
        <w:t xml:space="preserve"> </w:t>
      </w:r>
      <w:r>
        <w:t>for</w:t>
      </w:r>
      <w:r w:rsidR="00CD37C6">
        <w:t xml:space="preserve"> </w:t>
      </w:r>
      <w:r>
        <w:t>the</w:t>
      </w:r>
      <w:r w:rsidR="00CD37C6">
        <w:t xml:space="preserve"> </w:t>
      </w:r>
      <w:r>
        <w:t>benefit</w:t>
      </w:r>
      <w:r w:rsidR="00CD37C6">
        <w:t xml:space="preserve"> </w:t>
      </w:r>
      <w:r>
        <w:t>of</w:t>
      </w:r>
      <w:r w:rsidR="00CD37C6">
        <w:t xml:space="preserve"> </w:t>
      </w:r>
      <w:r>
        <w:t>Victorian</w:t>
      </w:r>
      <w:r w:rsidR="00CD37C6">
        <w:t xml:space="preserve"> </w:t>
      </w:r>
      <w:r>
        <w:t>cattle</w:t>
      </w:r>
      <w:r w:rsidR="00CD37C6">
        <w:t xml:space="preserve"> </w:t>
      </w:r>
      <w:r>
        <w:t>producers.</w:t>
      </w:r>
    </w:p>
    <w:p w14:paraId="3DF17FAE" w14:textId="6390637F" w:rsidR="009F127E" w:rsidRDefault="00000000" w:rsidP="008E4EA4">
      <w:pPr>
        <w:pStyle w:val="Heading3"/>
      </w:pPr>
      <w:bookmarkStart w:id="13" w:name="_Toc116548271"/>
      <w:r>
        <w:t>APPENDIX</w:t>
      </w:r>
      <w:r w:rsidR="00CD37C6">
        <w:t xml:space="preserve"> </w:t>
      </w:r>
      <w:r>
        <w:t>2</w:t>
      </w:r>
      <w:r w:rsidR="00CD37C6">
        <w:t xml:space="preserve"> </w:t>
      </w:r>
      <w:r>
        <w:t>–</w:t>
      </w:r>
      <w:r w:rsidR="00CD37C6">
        <w:t xml:space="preserve"> </w:t>
      </w:r>
      <w:r>
        <w:t>STATEMENT</w:t>
      </w:r>
      <w:r w:rsidR="00CD37C6">
        <w:t xml:space="preserve"> </w:t>
      </w:r>
      <w:r>
        <w:t>OF</w:t>
      </w:r>
      <w:r w:rsidR="00CD37C6">
        <w:t xml:space="preserve"> </w:t>
      </w:r>
      <w:r>
        <w:t>STRATEGIC</w:t>
      </w:r>
      <w:r w:rsidR="00CD37C6">
        <w:t xml:space="preserve"> </w:t>
      </w:r>
      <w:r>
        <w:t>INTENT</w:t>
      </w:r>
      <w:r w:rsidR="00CD37C6">
        <w:t xml:space="preserve"> </w:t>
      </w:r>
      <w:r>
        <w:t>FOR</w:t>
      </w:r>
      <w:r w:rsidR="00CD37C6">
        <w:t xml:space="preserve"> </w:t>
      </w:r>
      <w:r>
        <w:t>THE</w:t>
      </w:r>
      <w:r w:rsidR="00CD37C6">
        <w:t xml:space="preserve"> </w:t>
      </w:r>
      <w:r>
        <w:t>SHEEP</w:t>
      </w:r>
      <w:r w:rsidR="00CD37C6">
        <w:t xml:space="preserve"> </w:t>
      </w:r>
      <w:r>
        <w:t>AND</w:t>
      </w:r>
      <w:r w:rsidR="00CD37C6">
        <w:t xml:space="preserve"> </w:t>
      </w:r>
      <w:r>
        <w:t>GOAT</w:t>
      </w:r>
      <w:r w:rsidR="00CD37C6">
        <w:t xml:space="preserve"> </w:t>
      </w:r>
      <w:r>
        <w:t>COMPENSATION</w:t>
      </w:r>
      <w:r w:rsidR="00CD37C6">
        <w:t xml:space="preserve"> </w:t>
      </w:r>
      <w:r>
        <w:t>FUND</w:t>
      </w:r>
      <w:bookmarkEnd w:id="13"/>
    </w:p>
    <w:p w14:paraId="74BC08EE" w14:textId="0499AD4C" w:rsidR="009F127E" w:rsidRPr="009B4482" w:rsidRDefault="00000000" w:rsidP="009B4482">
      <w:pPr>
        <w:pStyle w:val="Normalbeforebullet"/>
        <w:rPr>
          <w:b/>
          <w:bCs/>
        </w:rPr>
      </w:pPr>
      <w:r w:rsidRPr="009B4482">
        <w:rPr>
          <w:b/>
          <w:bCs/>
        </w:rPr>
        <w:t>Focus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areas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for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investment</w:t>
      </w:r>
    </w:p>
    <w:p w14:paraId="6CAF80AE" w14:textId="4B427936" w:rsidR="009F127E" w:rsidRPr="009B4482" w:rsidRDefault="00000000" w:rsidP="009B4482">
      <w:pPr>
        <w:pStyle w:val="Normalbeforebullet"/>
      </w:pPr>
      <w:r w:rsidRPr="009B4482">
        <w:t>Key</w:t>
      </w:r>
      <w:r w:rsidR="00CD37C6" w:rsidRPr="009B4482">
        <w:t xml:space="preserve"> </w:t>
      </w:r>
      <w:r w:rsidRPr="009B4482">
        <w:t>focus</w:t>
      </w:r>
      <w:r w:rsidR="00CD37C6" w:rsidRPr="009B4482">
        <w:t xml:space="preserve"> </w:t>
      </w:r>
      <w:r w:rsidRPr="009B4482">
        <w:t>areas:</w:t>
      </w:r>
    </w:p>
    <w:p w14:paraId="23E8748B" w14:textId="3642F3B2" w:rsidR="009F127E" w:rsidRDefault="00000000" w:rsidP="008E4EA4">
      <w:pPr>
        <w:pStyle w:val="Bullet"/>
      </w:pPr>
      <w:r>
        <w:t>Initiatives</w:t>
      </w:r>
      <w:r w:rsidR="00CD37C6">
        <w:t xml:space="preserve"> </w:t>
      </w:r>
      <w:r>
        <w:t>to</w:t>
      </w:r>
      <w:r w:rsidR="00CD37C6">
        <w:t xml:space="preserve"> </w:t>
      </w:r>
      <w:r>
        <w:t>strengthen</w:t>
      </w:r>
      <w:r w:rsidR="00CD37C6">
        <w:t xml:space="preserve"> </w:t>
      </w:r>
      <w:r>
        <w:t>the</w:t>
      </w:r>
      <w:r w:rsidR="00CD37C6">
        <w:t xml:space="preserve"> </w:t>
      </w:r>
      <w:r>
        <w:t>Victorian</w:t>
      </w:r>
      <w:r w:rsidR="00CD37C6">
        <w:t xml:space="preserve"> </w:t>
      </w:r>
      <w:r>
        <w:t>biosecurity</w:t>
      </w:r>
      <w:r w:rsidR="00CD37C6">
        <w:t xml:space="preserve"> </w:t>
      </w:r>
      <w:r>
        <w:t>system</w:t>
      </w:r>
      <w:r w:rsidR="00CD37C6">
        <w:t xml:space="preserve"> </w:t>
      </w:r>
      <w:r>
        <w:t>addressing</w:t>
      </w:r>
      <w:r w:rsidR="00CD37C6">
        <w:t xml:space="preserve"> </w:t>
      </w:r>
      <w:r>
        <w:t>topical,</w:t>
      </w:r>
      <w:r w:rsidR="00CD37C6">
        <w:t xml:space="preserve"> </w:t>
      </w:r>
      <w:r>
        <w:t>endemic,</w:t>
      </w:r>
      <w:r w:rsidR="00CD37C6">
        <w:t xml:space="preserve"> </w:t>
      </w:r>
      <w:r>
        <w:t>and</w:t>
      </w:r>
      <w:r w:rsidR="00CD37C6">
        <w:t xml:space="preserve"> </w:t>
      </w:r>
      <w:r>
        <w:t>exotic</w:t>
      </w:r>
      <w:r w:rsidR="00CD37C6">
        <w:t xml:space="preserve"> </w:t>
      </w:r>
      <w:r>
        <w:t>disease</w:t>
      </w:r>
      <w:r w:rsidR="00CD37C6">
        <w:t xml:space="preserve"> </w:t>
      </w:r>
      <w:r>
        <w:t>preparedness</w:t>
      </w:r>
      <w:r w:rsidR="00CD37C6">
        <w:t xml:space="preserve"> </w:t>
      </w:r>
      <w:r>
        <w:t>issues</w:t>
      </w:r>
      <w:r w:rsidR="00CD37C6">
        <w:t xml:space="preserve"> </w:t>
      </w:r>
      <w:r>
        <w:t>and</w:t>
      </w:r>
      <w:r w:rsidR="00CD37C6">
        <w:t xml:space="preserve"> </w:t>
      </w:r>
      <w:r>
        <w:t>risks:</w:t>
      </w:r>
    </w:p>
    <w:p w14:paraId="27CBD08A" w14:textId="1C4D5D68" w:rsidR="009F127E" w:rsidRDefault="00000000">
      <w:pPr>
        <w:pStyle w:val="Bullet2"/>
      </w:pPr>
      <w:r>
        <w:t>preparedness</w:t>
      </w:r>
      <w:r w:rsidR="00CD37C6">
        <w:t xml:space="preserve"> </w:t>
      </w:r>
      <w:r>
        <w:t>capability</w:t>
      </w:r>
      <w:r w:rsidR="00CD37C6">
        <w:t xml:space="preserve"> </w:t>
      </w:r>
      <w:r>
        <w:t>and</w:t>
      </w:r>
      <w:r w:rsidR="00CD37C6">
        <w:t xml:space="preserve"> </w:t>
      </w:r>
      <w:r>
        <w:t>capacity</w:t>
      </w:r>
      <w:r w:rsidR="00CD37C6">
        <w:t xml:space="preserve"> </w:t>
      </w:r>
      <w:r>
        <w:t>building</w:t>
      </w:r>
      <w:r w:rsidR="00CD37C6">
        <w:t xml:space="preserve"> </w:t>
      </w:r>
      <w:r>
        <w:t>across</w:t>
      </w:r>
      <w:r w:rsidR="00CD37C6">
        <w:t xml:space="preserve"> </w:t>
      </w:r>
      <w:r>
        <w:t>industry</w:t>
      </w:r>
      <w:r w:rsidR="00CD37C6">
        <w:t xml:space="preserve"> </w:t>
      </w:r>
      <w:r>
        <w:t>representative</w:t>
      </w:r>
      <w:r w:rsidR="00CD37C6">
        <w:t xml:space="preserve"> </w:t>
      </w:r>
      <w:r>
        <w:t>bodies</w:t>
      </w:r>
      <w:r w:rsidR="00CD37C6">
        <w:t xml:space="preserve"> </w:t>
      </w:r>
      <w:r>
        <w:t>and</w:t>
      </w:r>
      <w:r w:rsidR="00CD37C6">
        <w:t xml:space="preserve"> </w:t>
      </w:r>
      <w:r>
        <w:t>participants,</w:t>
      </w:r>
      <w:r w:rsidR="00CD37C6">
        <w:t xml:space="preserve"> </w:t>
      </w:r>
      <w:r>
        <w:t>and</w:t>
      </w:r>
      <w:r w:rsidR="00CD37C6">
        <w:t xml:space="preserve"> </w:t>
      </w:r>
      <w:r>
        <w:t>their</w:t>
      </w:r>
      <w:r w:rsidR="00CD37C6">
        <w:t xml:space="preserve"> </w:t>
      </w:r>
      <w:r>
        <w:t>networks</w:t>
      </w:r>
    </w:p>
    <w:p w14:paraId="510C0204" w14:textId="3FA45DBC" w:rsidR="009F127E" w:rsidRDefault="00000000">
      <w:pPr>
        <w:pStyle w:val="Bullet2"/>
      </w:pPr>
      <w:r>
        <w:t>active</w:t>
      </w:r>
      <w:r w:rsidR="00CD37C6">
        <w:t xml:space="preserve"> </w:t>
      </w:r>
      <w:r>
        <w:t>and</w:t>
      </w:r>
      <w:r w:rsidR="00CD37C6">
        <w:t xml:space="preserve"> </w:t>
      </w:r>
      <w:r>
        <w:t>updated</w:t>
      </w:r>
      <w:r w:rsidR="00CD37C6">
        <w:t xml:space="preserve"> </w:t>
      </w:r>
      <w:r>
        <w:t>biosecurity</w:t>
      </w:r>
      <w:r w:rsidR="00CD37C6">
        <w:t xml:space="preserve"> </w:t>
      </w:r>
      <w:r>
        <w:t>and</w:t>
      </w:r>
      <w:r w:rsidR="00CD37C6">
        <w:t xml:space="preserve"> </w:t>
      </w:r>
      <w:r>
        <w:t>animal</w:t>
      </w:r>
      <w:r w:rsidR="00CD37C6">
        <w:t xml:space="preserve"> </w:t>
      </w:r>
      <w:r>
        <w:t>health</w:t>
      </w:r>
      <w:r w:rsidR="00CD37C6">
        <w:t xml:space="preserve"> </w:t>
      </w:r>
      <w:r>
        <w:t>plans</w:t>
      </w:r>
      <w:r w:rsidR="00CD37C6">
        <w:t xml:space="preserve"> </w:t>
      </w:r>
    </w:p>
    <w:p w14:paraId="54B64305" w14:textId="7A9306C6" w:rsidR="009F127E" w:rsidRDefault="00000000" w:rsidP="009B4482">
      <w:pPr>
        <w:pStyle w:val="Bullet2end"/>
        <w:spacing w:after="200"/>
        <w:ind w:left="568" w:hanging="284"/>
      </w:pPr>
      <w:r>
        <w:t>early</w:t>
      </w:r>
      <w:r w:rsidR="00CD37C6">
        <w:t xml:space="preserve"> </w:t>
      </w:r>
      <w:r>
        <w:t>detection</w:t>
      </w:r>
      <w:r w:rsidR="00CD37C6">
        <w:t xml:space="preserve"> </w:t>
      </w:r>
      <w:r>
        <w:t>and</w:t>
      </w:r>
      <w:r w:rsidR="00CD37C6">
        <w:t xml:space="preserve"> </w:t>
      </w:r>
      <w:r>
        <w:t>awareness</w:t>
      </w:r>
      <w:r w:rsidR="00CD37C6">
        <w:t xml:space="preserve"> </w:t>
      </w:r>
      <w:r>
        <w:t>of</w:t>
      </w:r>
      <w:r w:rsidR="00CD37C6">
        <w:t xml:space="preserve"> </w:t>
      </w:r>
      <w:r>
        <w:t>exotic</w:t>
      </w:r>
      <w:r w:rsidR="00CD37C6">
        <w:t xml:space="preserve"> </w:t>
      </w:r>
      <w:r>
        <w:t>and</w:t>
      </w:r>
      <w:r w:rsidR="00CD37C6">
        <w:t xml:space="preserve"> </w:t>
      </w:r>
      <w:r>
        <w:t>endemic</w:t>
      </w:r>
      <w:r w:rsidR="00CD37C6">
        <w:t xml:space="preserve"> </w:t>
      </w:r>
      <w:r>
        <w:t>diseases.</w:t>
      </w:r>
      <w:r w:rsidR="00CD37C6">
        <w:t xml:space="preserve"> </w:t>
      </w:r>
    </w:p>
    <w:p w14:paraId="6F360269" w14:textId="098DF6DA" w:rsidR="009F127E" w:rsidRDefault="00000000" w:rsidP="009B4482">
      <w:pPr>
        <w:pStyle w:val="Normalbeforebullet"/>
      </w:pPr>
      <w:r>
        <w:t>Other</w:t>
      </w:r>
      <w:r w:rsidR="00CD37C6">
        <w:t xml:space="preserve"> </w:t>
      </w:r>
      <w:r>
        <w:t>focus</w:t>
      </w:r>
      <w:r w:rsidR="00CD37C6">
        <w:t xml:space="preserve"> </w:t>
      </w:r>
      <w:r w:rsidRPr="009B4482">
        <w:t>areas</w:t>
      </w:r>
      <w:r>
        <w:t>:</w:t>
      </w:r>
    </w:p>
    <w:p w14:paraId="0607700F" w14:textId="08A035D8" w:rsidR="009F127E" w:rsidRDefault="00000000" w:rsidP="008E4EA4">
      <w:pPr>
        <w:pStyle w:val="Bullet"/>
      </w:pPr>
      <w:r>
        <w:t>Livestock</w:t>
      </w:r>
      <w:r w:rsidR="00CD37C6">
        <w:t xml:space="preserve"> </w:t>
      </w:r>
      <w:r>
        <w:t>disease</w:t>
      </w:r>
      <w:r w:rsidR="00CD37C6">
        <w:t xml:space="preserve"> </w:t>
      </w:r>
      <w:r>
        <w:t>(endemic</w:t>
      </w:r>
      <w:r w:rsidR="00CD37C6">
        <w:t xml:space="preserve"> </w:t>
      </w:r>
      <w:r>
        <w:t>and</w:t>
      </w:r>
      <w:r w:rsidR="00CD37C6">
        <w:t xml:space="preserve"> </w:t>
      </w:r>
      <w:r>
        <w:t>zoonotic,</w:t>
      </w:r>
      <w:r w:rsidR="00CD37C6">
        <w:t xml:space="preserve"> </w:t>
      </w:r>
      <w:r>
        <w:t>exotic)</w:t>
      </w:r>
      <w:r w:rsidR="00CD37C6">
        <w:t xml:space="preserve"> </w:t>
      </w:r>
      <w:r>
        <w:t>detection,</w:t>
      </w:r>
      <w:r w:rsidR="00CD37C6">
        <w:t xml:space="preserve"> </w:t>
      </w:r>
      <w:r>
        <w:t>prevention,</w:t>
      </w:r>
      <w:r w:rsidR="00CD37C6">
        <w:t xml:space="preserve"> </w:t>
      </w:r>
      <w:r>
        <w:t>management</w:t>
      </w:r>
      <w:r w:rsidR="00CD37C6">
        <w:t xml:space="preserve"> </w:t>
      </w:r>
      <w:r>
        <w:t>and/or</w:t>
      </w:r>
      <w:r w:rsidR="00CD37C6">
        <w:t xml:space="preserve"> </w:t>
      </w:r>
      <w:r>
        <w:t>eradication.</w:t>
      </w:r>
    </w:p>
    <w:p w14:paraId="666290F1" w14:textId="23E98032" w:rsidR="009F127E" w:rsidRDefault="00000000" w:rsidP="008E4EA4">
      <w:pPr>
        <w:pStyle w:val="Bullet"/>
      </w:pPr>
      <w:r>
        <w:t>Ensuring</w:t>
      </w:r>
      <w:r w:rsidR="00CD37C6">
        <w:t xml:space="preserve"> </w:t>
      </w:r>
      <w:r>
        <w:t>product</w:t>
      </w:r>
      <w:r w:rsidR="00CD37C6">
        <w:t xml:space="preserve"> </w:t>
      </w:r>
      <w:r>
        <w:t>integrity</w:t>
      </w:r>
      <w:r w:rsidR="00CD37C6">
        <w:t xml:space="preserve"> </w:t>
      </w:r>
      <w:r>
        <w:t>of</w:t>
      </w:r>
      <w:r w:rsidR="00CD37C6">
        <w:t xml:space="preserve"> </w:t>
      </w:r>
      <w:r>
        <w:t>current</w:t>
      </w:r>
      <w:r w:rsidR="00CD37C6">
        <w:t xml:space="preserve"> </w:t>
      </w:r>
      <w:r>
        <w:t>NLIS,</w:t>
      </w:r>
      <w:r w:rsidR="00CD37C6">
        <w:t xml:space="preserve"> </w:t>
      </w:r>
      <w:r>
        <w:t>NVD,</w:t>
      </w:r>
      <w:r w:rsidR="00CD37C6">
        <w:t xml:space="preserve"> </w:t>
      </w:r>
      <w:r>
        <w:t>Animal</w:t>
      </w:r>
      <w:r w:rsidR="00CD37C6">
        <w:t xml:space="preserve"> </w:t>
      </w:r>
      <w:r>
        <w:t>Health</w:t>
      </w:r>
      <w:r w:rsidR="00CD37C6">
        <w:t xml:space="preserve"> </w:t>
      </w:r>
      <w:r>
        <w:t>Statements</w:t>
      </w:r>
      <w:r w:rsidR="00CD37C6">
        <w:t xml:space="preserve"> </w:t>
      </w:r>
      <w:r>
        <w:t>and</w:t>
      </w:r>
      <w:r w:rsidR="00CD37C6">
        <w:t xml:space="preserve"> </w:t>
      </w:r>
      <w:r>
        <w:t>biosecurity</w:t>
      </w:r>
      <w:r w:rsidR="00CD37C6">
        <w:t xml:space="preserve"> </w:t>
      </w:r>
      <w:r>
        <w:t>(</w:t>
      </w:r>
      <w:proofErr w:type="gramStart"/>
      <w:r>
        <w:t>e.g.</w:t>
      </w:r>
      <w:proofErr w:type="gramEnd"/>
      <w:r w:rsidR="00CD37C6">
        <w:t xml:space="preserve"> </w:t>
      </w:r>
      <w:r>
        <w:t>traceability,</w:t>
      </w:r>
      <w:r w:rsidR="00CD37C6">
        <w:t xml:space="preserve"> </w:t>
      </w:r>
      <w:r>
        <w:t>antimicrobial</w:t>
      </w:r>
      <w:r w:rsidR="00CD37C6">
        <w:t xml:space="preserve"> </w:t>
      </w:r>
      <w:r>
        <w:t>stewardship).</w:t>
      </w:r>
    </w:p>
    <w:p w14:paraId="6E5F4ECE" w14:textId="3ACBD687" w:rsidR="009F127E" w:rsidRDefault="00000000" w:rsidP="008E4EA4">
      <w:pPr>
        <w:pStyle w:val="Bullet"/>
      </w:pPr>
      <w:r>
        <w:t>Initiatives</w:t>
      </w:r>
      <w:r w:rsidR="00CD37C6">
        <w:t xml:space="preserve"> </w:t>
      </w:r>
      <w:r>
        <w:t>to</w:t>
      </w:r>
      <w:r w:rsidR="00CD37C6">
        <w:t xml:space="preserve"> </w:t>
      </w:r>
      <w:r>
        <w:t>strengthen</w:t>
      </w:r>
      <w:r w:rsidR="00CD37C6">
        <w:t xml:space="preserve"> </w:t>
      </w:r>
      <w:r>
        <w:t>the</w:t>
      </w:r>
      <w:r w:rsidR="00CD37C6">
        <w:t xml:space="preserve"> </w:t>
      </w:r>
      <w:r>
        <w:t>Victorian</w:t>
      </w:r>
      <w:r w:rsidR="00CD37C6">
        <w:t xml:space="preserve"> </w:t>
      </w:r>
      <w:r>
        <w:t>biosecurity</w:t>
      </w:r>
      <w:r w:rsidR="00CD37C6">
        <w:t xml:space="preserve"> </w:t>
      </w:r>
      <w:r>
        <w:t>system</w:t>
      </w:r>
      <w:r w:rsidR="00CD37C6">
        <w:t xml:space="preserve"> </w:t>
      </w:r>
      <w:r>
        <w:t>addressing</w:t>
      </w:r>
      <w:r w:rsidR="00CD37C6">
        <w:t xml:space="preserve"> </w:t>
      </w:r>
      <w:r>
        <w:t>topical,</w:t>
      </w:r>
      <w:r w:rsidR="00CD37C6">
        <w:t xml:space="preserve"> </w:t>
      </w:r>
      <w:r>
        <w:t>endemic,</w:t>
      </w:r>
      <w:r w:rsidR="00CD37C6">
        <w:t xml:space="preserve"> </w:t>
      </w:r>
      <w:r>
        <w:t>and</w:t>
      </w:r>
      <w:r w:rsidR="00CD37C6">
        <w:t xml:space="preserve"> </w:t>
      </w:r>
      <w:r>
        <w:t>exotic</w:t>
      </w:r>
      <w:r w:rsidR="00CD37C6">
        <w:t xml:space="preserve"> </w:t>
      </w:r>
      <w:r>
        <w:t>disease</w:t>
      </w:r>
      <w:r w:rsidR="00CD37C6">
        <w:t xml:space="preserve"> </w:t>
      </w:r>
      <w:r>
        <w:t>preparedness</w:t>
      </w:r>
      <w:r w:rsidR="00CD37C6">
        <w:t xml:space="preserve"> </w:t>
      </w:r>
      <w:r>
        <w:t>issues</w:t>
      </w:r>
      <w:r w:rsidR="00CD37C6">
        <w:t xml:space="preserve"> </w:t>
      </w:r>
      <w:r>
        <w:t>and</w:t>
      </w:r>
      <w:r w:rsidR="00CD37C6">
        <w:t xml:space="preserve"> </w:t>
      </w:r>
      <w:r>
        <w:t>risks:</w:t>
      </w:r>
    </w:p>
    <w:p w14:paraId="595F2C32" w14:textId="2413CE87" w:rsidR="009F127E" w:rsidRDefault="00000000">
      <w:pPr>
        <w:pStyle w:val="Bullet2"/>
      </w:pPr>
      <w:r>
        <w:t>demographic</w:t>
      </w:r>
      <w:r w:rsidR="00CD37C6">
        <w:t xml:space="preserve"> </w:t>
      </w:r>
      <w:r>
        <w:t>and</w:t>
      </w:r>
      <w:r w:rsidR="00CD37C6">
        <w:t xml:space="preserve"> </w:t>
      </w:r>
      <w:r>
        <w:t>generational</w:t>
      </w:r>
      <w:r w:rsidR="00CD37C6">
        <w:t xml:space="preserve"> </w:t>
      </w:r>
      <w:r>
        <w:t>changes</w:t>
      </w:r>
      <w:r w:rsidR="00CD37C6">
        <w:t xml:space="preserve"> </w:t>
      </w:r>
      <w:r>
        <w:t>in</w:t>
      </w:r>
      <w:r w:rsidR="00CD37C6">
        <w:t xml:space="preserve"> </w:t>
      </w:r>
      <w:r>
        <w:t>agriculture</w:t>
      </w:r>
      <w:r w:rsidR="00CD37C6">
        <w:t xml:space="preserve"> </w:t>
      </w:r>
      <w:r>
        <w:t>(peri-urban,</w:t>
      </w:r>
      <w:r w:rsidR="00CD37C6">
        <w:t xml:space="preserve"> </w:t>
      </w:r>
      <w:r>
        <w:t>corporate,</w:t>
      </w:r>
      <w:r w:rsidR="00CD37C6">
        <w:t xml:space="preserve"> </w:t>
      </w:r>
      <w:r>
        <w:t>new</w:t>
      </w:r>
      <w:r w:rsidR="00CD37C6">
        <w:t xml:space="preserve"> </w:t>
      </w:r>
      <w:r>
        <w:t>entry</w:t>
      </w:r>
      <w:r w:rsidR="00CD37C6">
        <w:t xml:space="preserve"> </w:t>
      </w:r>
      <w:r>
        <w:t>farmers</w:t>
      </w:r>
      <w:r w:rsidR="00CD37C6">
        <w:t xml:space="preserve"> </w:t>
      </w:r>
      <w:r>
        <w:t>etc.)</w:t>
      </w:r>
    </w:p>
    <w:p w14:paraId="332F61A4" w14:textId="2A60F00C" w:rsidR="009F127E" w:rsidRDefault="00000000">
      <w:pPr>
        <w:pStyle w:val="Bullet2"/>
      </w:pPr>
      <w:r>
        <w:t>awareness</w:t>
      </w:r>
      <w:r w:rsidR="00CD37C6">
        <w:t xml:space="preserve"> </w:t>
      </w:r>
      <w:r>
        <w:t>of</w:t>
      </w:r>
      <w:r w:rsidR="00CD37C6">
        <w:t xml:space="preserve"> </w:t>
      </w:r>
      <w:r>
        <w:t>increased</w:t>
      </w:r>
      <w:r w:rsidR="00CD37C6">
        <w:t xml:space="preserve"> </w:t>
      </w:r>
      <w:r>
        <w:t>risk</w:t>
      </w:r>
      <w:r w:rsidR="00CD37C6">
        <w:t xml:space="preserve"> </w:t>
      </w:r>
      <w:r>
        <w:t>through</w:t>
      </w:r>
      <w:r w:rsidR="00CD37C6">
        <w:t xml:space="preserve"> </w:t>
      </w:r>
      <w:r>
        <w:t>intensification</w:t>
      </w:r>
      <w:r w:rsidR="00CD37C6">
        <w:t xml:space="preserve"> </w:t>
      </w:r>
      <w:r>
        <w:t>of</w:t>
      </w:r>
      <w:r w:rsidR="00CD37C6">
        <w:t xml:space="preserve"> </w:t>
      </w:r>
      <w:r>
        <w:t>animal</w:t>
      </w:r>
      <w:r w:rsidR="00CD37C6">
        <w:t xml:space="preserve"> </w:t>
      </w:r>
      <w:r>
        <w:t>production</w:t>
      </w:r>
    </w:p>
    <w:p w14:paraId="3BC1A480" w14:textId="6AB32728" w:rsidR="009F127E" w:rsidRDefault="00000000">
      <w:pPr>
        <w:pStyle w:val="Bullet2"/>
      </w:pPr>
      <w:r>
        <w:t>enhanced</w:t>
      </w:r>
      <w:r w:rsidR="00CD37C6">
        <w:t xml:space="preserve"> </w:t>
      </w:r>
      <w:r>
        <w:t>integrated</w:t>
      </w:r>
      <w:r w:rsidR="00CD37C6">
        <w:t xml:space="preserve"> </w:t>
      </w:r>
      <w:r>
        <w:t>data</w:t>
      </w:r>
      <w:r w:rsidR="00CD37C6">
        <w:t xml:space="preserve"> </w:t>
      </w:r>
      <w:r>
        <w:t>management</w:t>
      </w:r>
      <w:r w:rsidR="00CD37C6">
        <w:t xml:space="preserve"> </w:t>
      </w:r>
      <w:r>
        <w:t>and</w:t>
      </w:r>
      <w:r w:rsidR="00CD37C6">
        <w:t xml:space="preserve"> </w:t>
      </w:r>
      <w:r>
        <w:t>animal</w:t>
      </w:r>
      <w:r w:rsidR="00CD37C6">
        <w:t xml:space="preserve"> </w:t>
      </w:r>
      <w:r>
        <w:t>health</w:t>
      </w:r>
      <w:r w:rsidR="00CD37C6">
        <w:t xml:space="preserve"> </w:t>
      </w:r>
      <w:r>
        <w:t>feedback</w:t>
      </w:r>
    </w:p>
    <w:p w14:paraId="0ED086C3" w14:textId="4505FAC0" w:rsidR="009F127E" w:rsidRDefault="00000000">
      <w:pPr>
        <w:pStyle w:val="Bullet2"/>
      </w:pPr>
      <w:r>
        <w:t>issues</w:t>
      </w:r>
      <w:r w:rsidR="00CD37C6">
        <w:t xml:space="preserve"> </w:t>
      </w:r>
      <w:r>
        <w:t>of</w:t>
      </w:r>
      <w:r w:rsidR="00CD37C6">
        <w:t xml:space="preserve"> </w:t>
      </w:r>
      <w:r>
        <w:t>livestock</w:t>
      </w:r>
      <w:r w:rsidR="00CD37C6">
        <w:t xml:space="preserve"> </w:t>
      </w:r>
      <w:r>
        <w:t>treatment</w:t>
      </w:r>
      <w:r w:rsidR="00CD37C6">
        <w:t xml:space="preserve"> </w:t>
      </w:r>
      <w:r>
        <w:t>and</w:t>
      </w:r>
      <w:r w:rsidR="00CD37C6">
        <w:t xml:space="preserve"> </w:t>
      </w:r>
      <w:r>
        <w:t>potential</w:t>
      </w:r>
      <w:r w:rsidR="00CD37C6">
        <w:t xml:space="preserve"> </w:t>
      </w:r>
      <w:r>
        <w:t>residues</w:t>
      </w:r>
      <w:r w:rsidR="00CD37C6">
        <w:t xml:space="preserve"> </w:t>
      </w:r>
      <w:r>
        <w:t>(e.g.,</w:t>
      </w:r>
      <w:r w:rsidR="00CD37C6">
        <w:t xml:space="preserve"> </w:t>
      </w:r>
      <w:r>
        <w:t>traceability,</w:t>
      </w:r>
      <w:r w:rsidR="00CD37C6">
        <w:t xml:space="preserve"> </w:t>
      </w:r>
      <w:r>
        <w:t>WHP,</w:t>
      </w:r>
      <w:r w:rsidR="00CD37C6">
        <w:t xml:space="preserve"> </w:t>
      </w:r>
      <w:r>
        <w:t>antimicrobial</w:t>
      </w:r>
      <w:r w:rsidR="00CD37C6">
        <w:t xml:space="preserve"> </w:t>
      </w:r>
      <w:r>
        <w:t>stewardship)</w:t>
      </w:r>
    </w:p>
    <w:p w14:paraId="70CEAC85" w14:textId="62E1DFBB" w:rsidR="009F127E" w:rsidRDefault="00000000" w:rsidP="009B4482">
      <w:pPr>
        <w:pStyle w:val="Bullet2end"/>
        <w:spacing w:after="200"/>
        <w:ind w:left="568" w:hanging="284"/>
      </w:pPr>
      <w:r>
        <w:t>climate</w:t>
      </w:r>
      <w:r w:rsidR="00CD37C6">
        <w:t xml:space="preserve"> </w:t>
      </w:r>
      <w:r>
        <w:t>change</w:t>
      </w:r>
      <w:r w:rsidR="00CD37C6">
        <w:t xml:space="preserve"> </w:t>
      </w:r>
      <w:r>
        <w:t>and</w:t>
      </w:r>
      <w:r w:rsidR="00CD37C6">
        <w:t xml:space="preserve"> </w:t>
      </w:r>
      <w:r>
        <w:t>changes</w:t>
      </w:r>
      <w:r w:rsidR="00CD37C6">
        <w:t xml:space="preserve"> </w:t>
      </w:r>
      <w:r>
        <w:t>to</w:t>
      </w:r>
      <w:r w:rsidR="00CD37C6">
        <w:t xml:space="preserve"> </w:t>
      </w:r>
      <w:r>
        <w:t>livestock</w:t>
      </w:r>
      <w:r w:rsidR="00CD37C6">
        <w:t xml:space="preserve"> </w:t>
      </w:r>
      <w:r>
        <w:t>and</w:t>
      </w:r>
      <w:r w:rsidR="00CD37C6">
        <w:t xml:space="preserve"> </w:t>
      </w:r>
      <w:r>
        <w:t>disease</w:t>
      </w:r>
      <w:r w:rsidR="00CD37C6">
        <w:t xml:space="preserve"> </w:t>
      </w:r>
      <w:r>
        <w:t>movement.</w:t>
      </w:r>
    </w:p>
    <w:p w14:paraId="43BD67AC" w14:textId="6175953A" w:rsidR="009F127E" w:rsidRPr="009B4482" w:rsidRDefault="00000000" w:rsidP="008E4EA4">
      <w:pPr>
        <w:rPr>
          <w:rFonts w:asciiTheme="minorHAnsi" w:hAnsiTheme="minorHAnsi" w:cstheme="minorHAnsi"/>
        </w:rPr>
      </w:pPr>
      <w:r w:rsidRPr="009B4482">
        <w:rPr>
          <w:rFonts w:asciiTheme="minorHAnsi" w:hAnsiTheme="minorHAnsi" w:cstheme="minorHAnsi"/>
          <w:sz w:val="14"/>
          <w:szCs w:val="14"/>
          <w:vertAlign w:val="superscript"/>
        </w:rPr>
        <w:t>#</w:t>
      </w:r>
      <w:r w:rsidR="00CD37C6" w:rsidRPr="009B4482">
        <w:rPr>
          <w:rFonts w:asciiTheme="minorHAnsi" w:hAnsiTheme="minorHAnsi" w:cstheme="minorHAnsi"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sz w:val="14"/>
          <w:szCs w:val="14"/>
        </w:rPr>
        <w:t>Note</w:t>
      </w:r>
      <w:r w:rsidR="00CD37C6" w:rsidRPr="009B4482">
        <w:rPr>
          <w:rFonts w:asciiTheme="minorHAnsi" w:hAnsiTheme="minorHAnsi" w:cstheme="minorHAnsi"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sz w:val="14"/>
          <w:szCs w:val="14"/>
        </w:rPr>
        <w:t>animal</w:t>
      </w:r>
      <w:r w:rsidR="00CD37C6" w:rsidRPr="009B4482">
        <w:rPr>
          <w:rFonts w:asciiTheme="minorHAnsi" w:hAnsiTheme="minorHAnsi" w:cstheme="minorHAnsi"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sz w:val="14"/>
          <w:szCs w:val="14"/>
        </w:rPr>
        <w:t>welfare</w:t>
      </w:r>
      <w:r w:rsidR="00CD37C6" w:rsidRPr="009B4482">
        <w:rPr>
          <w:rFonts w:asciiTheme="minorHAnsi" w:hAnsiTheme="minorHAnsi" w:cstheme="minorHAnsi"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sz w:val="14"/>
          <w:szCs w:val="14"/>
        </w:rPr>
        <w:t>is</w:t>
      </w:r>
      <w:r w:rsidR="00CD37C6" w:rsidRPr="009B4482">
        <w:rPr>
          <w:rFonts w:asciiTheme="minorHAnsi" w:hAnsiTheme="minorHAnsi" w:cstheme="minorHAnsi"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sz w:val="14"/>
          <w:szCs w:val="14"/>
        </w:rPr>
        <w:t>out</w:t>
      </w:r>
      <w:r w:rsidR="00CD37C6" w:rsidRPr="009B4482">
        <w:rPr>
          <w:rFonts w:asciiTheme="minorHAnsi" w:hAnsiTheme="minorHAnsi" w:cstheme="minorHAnsi"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sz w:val="14"/>
          <w:szCs w:val="14"/>
        </w:rPr>
        <w:t>of</w:t>
      </w:r>
      <w:r w:rsidR="00CD37C6" w:rsidRPr="009B4482">
        <w:rPr>
          <w:rFonts w:asciiTheme="minorHAnsi" w:hAnsiTheme="minorHAnsi" w:cstheme="minorHAnsi"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sz w:val="14"/>
          <w:szCs w:val="14"/>
        </w:rPr>
        <w:t>scope</w:t>
      </w:r>
      <w:r w:rsidR="00CD37C6" w:rsidRPr="009B4482">
        <w:rPr>
          <w:rFonts w:asciiTheme="minorHAnsi" w:hAnsiTheme="minorHAnsi" w:cstheme="minorHAnsi"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sz w:val="14"/>
          <w:szCs w:val="14"/>
        </w:rPr>
        <w:t>of</w:t>
      </w:r>
      <w:r w:rsidR="00CD37C6" w:rsidRPr="009B4482">
        <w:rPr>
          <w:rFonts w:asciiTheme="minorHAnsi" w:hAnsiTheme="minorHAnsi" w:cstheme="minorHAnsi"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sz w:val="14"/>
          <w:szCs w:val="14"/>
        </w:rPr>
        <w:t>the</w:t>
      </w:r>
      <w:r w:rsidR="00CD37C6" w:rsidRPr="009B4482">
        <w:rPr>
          <w:rFonts w:asciiTheme="minorHAnsi" w:hAnsiTheme="minorHAnsi" w:cstheme="minorHAnsi"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i/>
          <w:iCs/>
          <w:sz w:val="14"/>
          <w:szCs w:val="14"/>
        </w:rPr>
        <w:t>LDC</w:t>
      </w:r>
      <w:r w:rsidR="00CD37C6" w:rsidRPr="009B4482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Pr="009B4482">
        <w:rPr>
          <w:rFonts w:asciiTheme="minorHAnsi" w:hAnsiTheme="minorHAnsi" w:cstheme="minorHAnsi"/>
          <w:i/>
          <w:iCs/>
          <w:sz w:val="14"/>
          <w:szCs w:val="14"/>
        </w:rPr>
        <w:t>Act</w:t>
      </w:r>
      <w:r w:rsidRPr="009B4482">
        <w:rPr>
          <w:rFonts w:asciiTheme="minorHAnsi" w:hAnsiTheme="minorHAnsi" w:cstheme="minorHAnsi"/>
          <w:sz w:val="14"/>
          <w:szCs w:val="14"/>
        </w:rPr>
        <w:t>.</w:t>
      </w:r>
    </w:p>
    <w:p w14:paraId="10FB8854" w14:textId="563278BD" w:rsidR="009F127E" w:rsidRPr="009B4482" w:rsidRDefault="00000000" w:rsidP="009B4482">
      <w:pPr>
        <w:pStyle w:val="Normalbeforebullet"/>
        <w:rPr>
          <w:b/>
          <w:bCs/>
        </w:rPr>
      </w:pPr>
      <w:r w:rsidRPr="009B4482">
        <w:rPr>
          <w:b/>
          <w:bCs/>
        </w:rPr>
        <w:t>Medium-term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outcomes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(3-5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years)</w:t>
      </w:r>
    </w:p>
    <w:p w14:paraId="1CA9BA63" w14:textId="0275F97B" w:rsidR="009F127E" w:rsidRDefault="00000000" w:rsidP="008E4EA4">
      <w:pPr>
        <w:pStyle w:val="Bullet"/>
      </w:pPr>
      <w:r>
        <w:t>Livestock</w:t>
      </w:r>
      <w:r w:rsidR="00CD37C6">
        <w:t xml:space="preserve"> </w:t>
      </w:r>
      <w:r>
        <w:t>industry</w:t>
      </w:r>
      <w:r w:rsidR="00CD37C6">
        <w:t xml:space="preserve"> </w:t>
      </w:r>
      <w:r>
        <w:t>participants</w:t>
      </w:r>
      <w:r w:rsidR="00CD37C6">
        <w:t xml:space="preserve"> </w:t>
      </w:r>
      <w:r>
        <w:t>are</w:t>
      </w:r>
      <w:r w:rsidR="00CD37C6">
        <w:t xml:space="preserve"> </w:t>
      </w:r>
      <w:r>
        <w:t>working</w:t>
      </w:r>
      <w:r w:rsidR="00CD37C6">
        <w:t xml:space="preserve"> </w:t>
      </w:r>
      <w:r>
        <w:t>collaboratively,</w:t>
      </w:r>
      <w:r w:rsidR="00CD37C6">
        <w:t xml:space="preserve"> </w:t>
      </w:r>
      <w:r>
        <w:t>fully</w:t>
      </w:r>
      <w:r w:rsidR="00CD37C6">
        <w:t xml:space="preserve"> </w:t>
      </w:r>
      <w:r>
        <w:t>engaged</w:t>
      </w:r>
      <w:r w:rsidR="00CD37C6">
        <w:t xml:space="preserve"> </w:t>
      </w:r>
      <w:r>
        <w:t>and</w:t>
      </w:r>
      <w:r w:rsidR="00CD37C6">
        <w:t xml:space="preserve"> </w:t>
      </w:r>
      <w:r>
        <w:t>adopting</w:t>
      </w:r>
      <w:r w:rsidR="00CD37C6">
        <w:t xml:space="preserve"> </w:t>
      </w:r>
      <w:r>
        <w:t>better</w:t>
      </w:r>
      <w:r w:rsidR="00CD37C6">
        <w:t xml:space="preserve"> </w:t>
      </w:r>
      <w:r>
        <w:t>practice</w:t>
      </w:r>
      <w:r w:rsidR="00CD37C6">
        <w:t xml:space="preserve"> </w:t>
      </w:r>
      <w:r>
        <w:t>management</w:t>
      </w:r>
      <w:r w:rsidR="00CD37C6">
        <w:t xml:space="preserve"> </w:t>
      </w:r>
      <w:r>
        <w:t>of</w:t>
      </w:r>
      <w:r w:rsidR="00CD37C6">
        <w:t xml:space="preserve"> </w:t>
      </w:r>
      <w:r>
        <w:t>animal</w:t>
      </w:r>
      <w:r w:rsidR="00CD37C6">
        <w:t xml:space="preserve"> </w:t>
      </w:r>
      <w:r>
        <w:t>health,</w:t>
      </w:r>
      <w:r w:rsidR="00CD37C6">
        <w:t xml:space="preserve"> </w:t>
      </w:r>
      <w:proofErr w:type="gramStart"/>
      <w:r>
        <w:t>biosecurity</w:t>
      </w:r>
      <w:proofErr w:type="gramEnd"/>
      <w:r w:rsidR="00CD37C6">
        <w:t xml:space="preserve"> </w:t>
      </w:r>
      <w:r>
        <w:t>and</w:t>
      </w:r>
      <w:r w:rsidR="00CD37C6">
        <w:t xml:space="preserve"> </w:t>
      </w:r>
      <w:r>
        <w:t>zoonotic</w:t>
      </w:r>
      <w:r w:rsidR="00CD37C6">
        <w:t xml:space="preserve"> </w:t>
      </w:r>
      <w:r>
        <w:t>diseases.</w:t>
      </w:r>
    </w:p>
    <w:p w14:paraId="36602076" w14:textId="2E882C08" w:rsidR="009F127E" w:rsidRDefault="00000000" w:rsidP="008E4EA4">
      <w:pPr>
        <w:pStyle w:val="Bullet"/>
      </w:pPr>
      <w:r>
        <w:t>Develop</w:t>
      </w:r>
      <w:r w:rsidR="00CD37C6">
        <w:t xml:space="preserve"> </w:t>
      </w:r>
      <w:r>
        <w:t>and</w:t>
      </w:r>
      <w:r w:rsidR="00CD37C6">
        <w:t xml:space="preserve"> </w:t>
      </w:r>
      <w:r>
        <w:t>maintain</w:t>
      </w:r>
      <w:r w:rsidR="00CD37C6">
        <w:t xml:space="preserve"> </w:t>
      </w:r>
      <w:r>
        <w:t>a</w:t>
      </w:r>
      <w:r w:rsidR="00CD37C6">
        <w:t xml:space="preserve"> </w:t>
      </w:r>
      <w:r>
        <w:t>targeted</w:t>
      </w:r>
      <w:r w:rsidR="00CD37C6">
        <w:t xml:space="preserve"> </w:t>
      </w:r>
      <w:r>
        <w:t>pool</w:t>
      </w:r>
      <w:r w:rsidR="00CD37C6">
        <w:t xml:space="preserve"> </w:t>
      </w:r>
      <w:r>
        <w:t>of</w:t>
      </w:r>
      <w:r w:rsidR="00CD37C6">
        <w:t xml:space="preserve"> </w:t>
      </w:r>
      <w:r>
        <w:t>trained</w:t>
      </w:r>
      <w:r w:rsidR="00CD37C6">
        <w:t xml:space="preserve"> </w:t>
      </w:r>
      <w:r>
        <w:t>industry</w:t>
      </w:r>
      <w:r w:rsidR="00CD37C6">
        <w:t xml:space="preserve"> </w:t>
      </w:r>
      <w:r>
        <w:t>participants</w:t>
      </w:r>
      <w:r w:rsidR="00CD37C6">
        <w:t xml:space="preserve"> </w:t>
      </w:r>
      <w:r>
        <w:t>in</w:t>
      </w:r>
      <w:r w:rsidR="00CD37C6">
        <w:t xml:space="preserve"> </w:t>
      </w:r>
      <w:r>
        <w:t>biosecurity</w:t>
      </w:r>
      <w:r w:rsidR="00CD37C6">
        <w:t xml:space="preserve"> </w:t>
      </w:r>
      <w:r>
        <w:t>to</w:t>
      </w:r>
      <w:r w:rsidR="00CD37C6">
        <w:t xml:space="preserve"> </w:t>
      </w:r>
      <w:r>
        <w:t>build</w:t>
      </w:r>
      <w:r w:rsidR="00CD37C6">
        <w:t xml:space="preserve"> </w:t>
      </w:r>
      <w:r>
        <w:t>preparedness</w:t>
      </w:r>
      <w:r w:rsidR="00CD37C6">
        <w:t xml:space="preserve"> </w:t>
      </w:r>
      <w:r>
        <w:t>capability</w:t>
      </w:r>
      <w:r w:rsidR="00CD37C6">
        <w:t xml:space="preserve"> </w:t>
      </w:r>
      <w:r>
        <w:t>and</w:t>
      </w:r>
      <w:r w:rsidR="00CD37C6">
        <w:t xml:space="preserve"> </w:t>
      </w:r>
      <w:r>
        <w:t>contribute</w:t>
      </w:r>
      <w:r w:rsidR="00CD37C6">
        <w:t xml:space="preserve"> </w:t>
      </w:r>
      <w:r>
        <w:t>back</w:t>
      </w:r>
      <w:r w:rsidR="00CD37C6">
        <w:t xml:space="preserve"> </w:t>
      </w:r>
      <w:r>
        <w:t>to</w:t>
      </w:r>
      <w:r w:rsidR="00CD37C6">
        <w:t xml:space="preserve"> </w:t>
      </w:r>
      <w:r>
        <w:t>industry.</w:t>
      </w:r>
    </w:p>
    <w:p w14:paraId="20CA270F" w14:textId="7C6D480A" w:rsidR="009F127E" w:rsidRDefault="00000000" w:rsidP="008E4EA4">
      <w:pPr>
        <w:pStyle w:val="Bullet"/>
      </w:pPr>
      <w:r>
        <w:lastRenderedPageBreak/>
        <w:t>Victorian</w:t>
      </w:r>
      <w:r w:rsidR="00CD37C6">
        <w:t xml:space="preserve"> </w:t>
      </w:r>
      <w:r>
        <w:t>sheep</w:t>
      </w:r>
      <w:r w:rsidR="00CD37C6">
        <w:t xml:space="preserve"> </w:t>
      </w:r>
      <w:r>
        <w:t>and</w:t>
      </w:r>
      <w:r w:rsidR="00CD37C6">
        <w:t xml:space="preserve"> </w:t>
      </w:r>
      <w:r>
        <w:t>goat</w:t>
      </w:r>
      <w:r w:rsidR="00CD37C6">
        <w:t xml:space="preserve"> </w:t>
      </w:r>
      <w:r>
        <w:t>value</w:t>
      </w:r>
      <w:r w:rsidR="00CD37C6">
        <w:t xml:space="preserve"> </w:t>
      </w:r>
      <w:r>
        <w:t>chain</w:t>
      </w:r>
      <w:r w:rsidR="00CD37C6">
        <w:t xml:space="preserve"> </w:t>
      </w:r>
      <w:r>
        <w:t>is</w:t>
      </w:r>
      <w:r w:rsidR="00CD37C6">
        <w:t xml:space="preserve"> </w:t>
      </w:r>
      <w:r>
        <w:t>informed</w:t>
      </w:r>
      <w:r w:rsidR="00CD37C6">
        <w:t xml:space="preserve"> </w:t>
      </w:r>
      <w:r>
        <w:t>of</w:t>
      </w:r>
      <w:r w:rsidR="00CD37C6">
        <w:t xml:space="preserve"> </w:t>
      </w:r>
      <w:r>
        <w:t>SGCF</w:t>
      </w:r>
      <w:r w:rsidR="00CD37C6">
        <w:t xml:space="preserve"> </w:t>
      </w:r>
      <w:r>
        <w:t>funded</w:t>
      </w:r>
      <w:r w:rsidR="00CD37C6">
        <w:t xml:space="preserve"> </w:t>
      </w:r>
      <w:r>
        <w:t>projects</w:t>
      </w:r>
      <w:r w:rsidR="00CD37C6">
        <w:t xml:space="preserve"> </w:t>
      </w:r>
      <w:r>
        <w:t>and</w:t>
      </w:r>
      <w:r w:rsidR="00CD37C6">
        <w:t xml:space="preserve"> </w:t>
      </w:r>
      <w:r>
        <w:t>see</w:t>
      </w:r>
      <w:r w:rsidR="00CD37C6">
        <w:t xml:space="preserve"> </w:t>
      </w:r>
      <w:r>
        <w:t>the</w:t>
      </w:r>
      <w:r w:rsidR="00CD37C6">
        <w:t xml:space="preserve"> </w:t>
      </w:r>
      <w:r>
        <w:t>benefits</w:t>
      </w:r>
      <w:r w:rsidR="00CD37C6">
        <w:t xml:space="preserve"> </w:t>
      </w:r>
      <w:r>
        <w:t>of</w:t>
      </w:r>
      <w:r w:rsidR="00CD37C6">
        <w:t xml:space="preserve"> </w:t>
      </w:r>
      <w:r>
        <w:t>these</w:t>
      </w:r>
      <w:r w:rsidR="00CD37C6">
        <w:t xml:space="preserve"> </w:t>
      </w:r>
      <w:r>
        <w:t>investments.</w:t>
      </w:r>
    </w:p>
    <w:p w14:paraId="06493C46" w14:textId="5F1ECED2" w:rsidR="009F127E" w:rsidRDefault="00000000" w:rsidP="008E4EA4">
      <w:pPr>
        <w:pStyle w:val="Bullet"/>
      </w:pPr>
      <w:r>
        <w:t>Adoption</w:t>
      </w:r>
      <w:r w:rsidR="00CD37C6">
        <w:t xml:space="preserve"> </w:t>
      </w:r>
      <w:r>
        <w:t>of</w:t>
      </w:r>
      <w:r w:rsidR="00CD37C6">
        <w:t xml:space="preserve"> </w:t>
      </w:r>
      <w:r>
        <w:t>proactive</w:t>
      </w:r>
      <w:r w:rsidR="00CD37C6">
        <w:t xml:space="preserve"> </w:t>
      </w:r>
      <w:r>
        <w:t>management</w:t>
      </w:r>
      <w:r w:rsidR="00CD37C6">
        <w:t xml:space="preserve"> </w:t>
      </w:r>
      <w:r>
        <w:t>and</w:t>
      </w:r>
      <w:r w:rsidR="00CD37C6">
        <w:t xml:space="preserve"> </w:t>
      </w:r>
      <w:r>
        <w:t>reporting</w:t>
      </w:r>
      <w:r w:rsidR="00CD37C6">
        <w:t xml:space="preserve"> </w:t>
      </w:r>
      <w:r>
        <w:t>of</w:t>
      </w:r>
      <w:r w:rsidR="00CD37C6">
        <w:t xml:space="preserve"> </w:t>
      </w:r>
      <w:r>
        <w:t>endemic</w:t>
      </w:r>
      <w:r w:rsidR="00CD37C6">
        <w:t xml:space="preserve"> </w:t>
      </w:r>
      <w:r>
        <w:t>and</w:t>
      </w:r>
      <w:r w:rsidR="00CD37C6">
        <w:t xml:space="preserve"> </w:t>
      </w:r>
      <w:r>
        <w:t>emerging</w:t>
      </w:r>
      <w:r w:rsidR="00CD37C6">
        <w:t xml:space="preserve"> </w:t>
      </w:r>
      <w:r>
        <w:t>diseases</w:t>
      </w:r>
      <w:r w:rsidR="00CD37C6">
        <w:t xml:space="preserve"> </w:t>
      </w:r>
      <w:r>
        <w:t>across</w:t>
      </w:r>
      <w:r w:rsidR="00CD37C6">
        <w:t xml:space="preserve"> </w:t>
      </w:r>
      <w:r>
        <w:t>the</w:t>
      </w:r>
      <w:r w:rsidR="00CD37C6">
        <w:t xml:space="preserve"> </w:t>
      </w:r>
      <w:r>
        <w:t>supply</w:t>
      </w:r>
      <w:r w:rsidR="00CD37C6">
        <w:t xml:space="preserve"> </w:t>
      </w:r>
      <w:r>
        <w:t>chain.</w:t>
      </w:r>
    </w:p>
    <w:p w14:paraId="429A0A65" w14:textId="7498A45A" w:rsidR="009F127E" w:rsidRPr="009B4482" w:rsidRDefault="00000000" w:rsidP="008E4EA4">
      <w:pPr>
        <w:pStyle w:val="Bullet"/>
        <w:rPr>
          <w:rFonts w:asciiTheme="minorHAnsi" w:hAnsiTheme="minorHAnsi" w:cstheme="minorHAnsi"/>
        </w:rPr>
      </w:pPr>
      <w:r w:rsidRPr="009B4482">
        <w:rPr>
          <w:rFonts w:asciiTheme="minorHAnsi" w:hAnsiTheme="minorHAnsi" w:cstheme="minorHAnsi"/>
          <w:spacing w:val="-4"/>
        </w:rPr>
        <w:t>Investments</w:t>
      </w:r>
      <w:r w:rsidR="00CD37C6" w:rsidRPr="009B4482">
        <w:rPr>
          <w:rFonts w:asciiTheme="minorHAnsi" w:hAnsiTheme="minorHAnsi" w:cstheme="minorHAnsi"/>
          <w:spacing w:val="-4"/>
        </w:rPr>
        <w:t xml:space="preserve"> </w:t>
      </w:r>
      <w:r w:rsidRPr="009B4482">
        <w:rPr>
          <w:rFonts w:asciiTheme="minorHAnsi" w:hAnsiTheme="minorHAnsi" w:cstheme="minorHAnsi"/>
          <w:spacing w:val="-4"/>
        </w:rPr>
        <w:t>are</w:t>
      </w:r>
      <w:r w:rsidR="00CD37C6" w:rsidRPr="009B4482">
        <w:rPr>
          <w:rFonts w:asciiTheme="minorHAnsi" w:hAnsiTheme="minorHAnsi" w:cstheme="minorHAnsi"/>
          <w:spacing w:val="-4"/>
        </w:rPr>
        <w:t xml:space="preserve"> </w:t>
      </w:r>
      <w:r w:rsidRPr="009B4482">
        <w:rPr>
          <w:rFonts w:asciiTheme="minorHAnsi" w:hAnsiTheme="minorHAnsi" w:cstheme="minorHAnsi"/>
          <w:spacing w:val="-4"/>
        </w:rPr>
        <w:t>aligned</w:t>
      </w:r>
      <w:r w:rsidR="00CD37C6" w:rsidRPr="009B4482">
        <w:rPr>
          <w:rFonts w:asciiTheme="minorHAnsi" w:hAnsiTheme="minorHAnsi" w:cstheme="minorHAnsi"/>
          <w:spacing w:val="-4"/>
        </w:rPr>
        <w:t xml:space="preserve"> </w:t>
      </w:r>
      <w:r w:rsidRPr="009B4482">
        <w:rPr>
          <w:rFonts w:asciiTheme="minorHAnsi" w:hAnsiTheme="minorHAnsi" w:cstheme="minorHAnsi"/>
          <w:spacing w:val="-4"/>
        </w:rPr>
        <w:t>with</w:t>
      </w:r>
      <w:r w:rsidR="00CD37C6" w:rsidRPr="009B4482">
        <w:rPr>
          <w:rFonts w:asciiTheme="minorHAnsi" w:hAnsiTheme="minorHAnsi" w:cstheme="minorHAnsi"/>
          <w:spacing w:val="-4"/>
        </w:rPr>
        <w:t xml:space="preserve"> </w:t>
      </w:r>
      <w:r w:rsidRPr="009B4482">
        <w:rPr>
          <w:rFonts w:asciiTheme="minorHAnsi" w:hAnsiTheme="minorHAnsi" w:cstheme="minorHAnsi"/>
          <w:spacing w:val="-4"/>
        </w:rPr>
        <w:t>statutory</w:t>
      </w:r>
      <w:r w:rsidR="00CD37C6" w:rsidRPr="009B4482">
        <w:rPr>
          <w:rFonts w:asciiTheme="minorHAnsi" w:hAnsiTheme="minorHAnsi" w:cstheme="minorHAnsi"/>
          <w:spacing w:val="-4"/>
        </w:rPr>
        <w:t xml:space="preserve"> </w:t>
      </w:r>
      <w:r w:rsidRPr="009B4482">
        <w:rPr>
          <w:rFonts w:asciiTheme="minorHAnsi" w:hAnsiTheme="minorHAnsi" w:cstheme="minorHAnsi"/>
          <w:spacing w:val="-4"/>
        </w:rPr>
        <w:t>requirements</w:t>
      </w:r>
      <w:r w:rsidR="00CD37C6" w:rsidRPr="009B4482">
        <w:rPr>
          <w:rFonts w:asciiTheme="minorHAnsi" w:hAnsiTheme="minorHAnsi" w:cstheme="minorHAnsi"/>
          <w:spacing w:val="-4"/>
        </w:rPr>
        <w:t xml:space="preserve"> </w:t>
      </w:r>
      <w:r w:rsidRPr="009B4482">
        <w:rPr>
          <w:rFonts w:asciiTheme="minorHAnsi" w:hAnsiTheme="minorHAnsi" w:cstheme="minorHAnsi"/>
        </w:rPr>
        <w:t>of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the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  <w:i/>
          <w:iCs/>
        </w:rPr>
        <w:t>Livestock</w:t>
      </w:r>
      <w:r w:rsidR="00CD37C6" w:rsidRPr="009B4482">
        <w:rPr>
          <w:rFonts w:asciiTheme="minorHAnsi" w:hAnsiTheme="minorHAnsi" w:cstheme="minorHAnsi"/>
          <w:i/>
          <w:iCs/>
        </w:rPr>
        <w:t xml:space="preserve"> </w:t>
      </w:r>
      <w:r w:rsidRPr="009B4482">
        <w:rPr>
          <w:rFonts w:asciiTheme="minorHAnsi" w:hAnsiTheme="minorHAnsi" w:cstheme="minorHAnsi"/>
          <w:i/>
          <w:iCs/>
        </w:rPr>
        <w:t>Disease</w:t>
      </w:r>
      <w:r w:rsidR="00CD37C6" w:rsidRPr="009B4482">
        <w:rPr>
          <w:rFonts w:asciiTheme="minorHAnsi" w:hAnsiTheme="minorHAnsi" w:cstheme="minorHAnsi"/>
          <w:i/>
          <w:iCs/>
        </w:rPr>
        <w:t xml:space="preserve"> </w:t>
      </w:r>
      <w:r w:rsidRPr="009B4482">
        <w:rPr>
          <w:rFonts w:asciiTheme="minorHAnsi" w:hAnsiTheme="minorHAnsi" w:cstheme="minorHAnsi"/>
          <w:i/>
          <w:iCs/>
        </w:rPr>
        <w:t>Control</w:t>
      </w:r>
      <w:r w:rsidR="00CD37C6" w:rsidRPr="009B4482">
        <w:rPr>
          <w:rFonts w:asciiTheme="minorHAnsi" w:hAnsiTheme="minorHAnsi" w:cstheme="minorHAnsi"/>
          <w:i/>
          <w:iCs/>
        </w:rPr>
        <w:t xml:space="preserve"> </w:t>
      </w:r>
      <w:r w:rsidRPr="009B4482">
        <w:rPr>
          <w:rFonts w:asciiTheme="minorHAnsi" w:hAnsiTheme="minorHAnsi" w:cstheme="minorHAnsi"/>
          <w:i/>
          <w:iCs/>
        </w:rPr>
        <w:t>Act</w:t>
      </w:r>
      <w:r w:rsidR="00CD37C6" w:rsidRPr="009B4482">
        <w:rPr>
          <w:rFonts w:asciiTheme="minorHAnsi" w:hAnsiTheme="minorHAnsi" w:cstheme="minorHAnsi"/>
          <w:i/>
          <w:iCs/>
        </w:rPr>
        <w:t xml:space="preserve"> </w:t>
      </w:r>
      <w:r w:rsidRPr="009B4482">
        <w:rPr>
          <w:rFonts w:asciiTheme="minorHAnsi" w:hAnsiTheme="minorHAnsi" w:cstheme="minorHAnsi"/>
          <w:i/>
          <w:iCs/>
        </w:rPr>
        <w:t>1994</w:t>
      </w:r>
      <w:r w:rsidRPr="009B4482">
        <w:rPr>
          <w:rFonts w:asciiTheme="minorHAnsi" w:hAnsiTheme="minorHAnsi" w:cstheme="minorHAnsi"/>
        </w:rPr>
        <w:t>.</w:t>
      </w:r>
    </w:p>
    <w:p w14:paraId="2A8D8AAD" w14:textId="152DFA6E" w:rsidR="009F127E" w:rsidRDefault="00000000" w:rsidP="008E4EA4">
      <w:pPr>
        <w:pStyle w:val="Bullet"/>
      </w:pPr>
      <w:r>
        <w:t>Victoria</w:t>
      </w:r>
      <w:r w:rsidR="00CD37C6">
        <w:t xml:space="preserve"> </w:t>
      </w:r>
      <w:r>
        <w:t>is</w:t>
      </w:r>
      <w:r w:rsidR="00CD37C6">
        <w:t xml:space="preserve"> </w:t>
      </w:r>
      <w:r>
        <w:t>viewed</w:t>
      </w:r>
      <w:r w:rsidR="00CD37C6">
        <w:t xml:space="preserve"> </w:t>
      </w:r>
      <w:r>
        <w:t>as</w:t>
      </w:r>
      <w:r w:rsidR="00CD37C6">
        <w:t xml:space="preserve"> </w:t>
      </w:r>
      <w:r>
        <w:t>a</w:t>
      </w:r>
      <w:r w:rsidR="00CD37C6">
        <w:t xml:space="preserve"> </w:t>
      </w:r>
      <w:r>
        <w:t>leader</w:t>
      </w:r>
      <w:r w:rsidR="00CD37C6">
        <w:t xml:space="preserve"> </w:t>
      </w:r>
      <w:r>
        <w:t>in</w:t>
      </w:r>
      <w:r w:rsidR="00CD37C6">
        <w:t xml:space="preserve"> </w:t>
      </w:r>
      <w:r>
        <w:t>traceability</w:t>
      </w:r>
      <w:r w:rsidR="00CD37C6">
        <w:t xml:space="preserve"> </w:t>
      </w:r>
      <w:r>
        <w:t>and</w:t>
      </w:r>
      <w:r w:rsidR="00CD37C6">
        <w:t xml:space="preserve"> </w:t>
      </w:r>
      <w:r>
        <w:t>biosecurity</w:t>
      </w:r>
      <w:r w:rsidR="00CD37C6">
        <w:t xml:space="preserve"> </w:t>
      </w:r>
      <w:r>
        <w:t>by</w:t>
      </w:r>
      <w:r w:rsidR="00CD37C6">
        <w:t xml:space="preserve"> </w:t>
      </w:r>
      <w:r>
        <w:t>jurisdictions</w:t>
      </w:r>
      <w:r w:rsidR="00CD37C6">
        <w:t xml:space="preserve"> </w:t>
      </w:r>
      <w:r>
        <w:t>and</w:t>
      </w:r>
      <w:r w:rsidR="00CD37C6">
        <w:t xml:space="preserve"> </w:t>
      </w:r>
      <w:r>
        <w:t>trading</w:t>
      </w:r>
      <w:r w:rsidR="00CD37C6">
        <w:t xml:space="preserve"> </w:t>
      </w:r>
      <w:r>
        <w:t>partners.</w:t>
      </w:r>
      <w:r w:rsidR="00CD37C6">
        <w:t xml:space="preserve"> </w:t>
      </w:r>
    </w:p>
    <w:p w14:paraId="130DDB5A" w14:textId="49FFA27F" w:rsidR="009F127E" w:rsidRDefault="00000000" w:rsidP="008E4EA4">
      <w:pPr>
        <w:pStyle w:val="Bullet"/>
      </w:pPr>
      <w:r>
        <w:t>Domestic</w:t>
      </w:r>
      <w:r w:rsidR="00CD37C6">
        <w:t xml:space="preserve"> </w:t>
      </w:r>
      <w:r>
        <w:t>and</w:t>
      </w:r>
      <w:r w:rsidR="00CD37C6">
        <w:t xml:space="preserve"> </w:t>
      </w:r>
      <w:r>
        <w:t>export</w:t>
      </w:r>
      <w:r w:rsidR="00CD37C6">
        <w:t xml:space="preserve"> </w:t>
      </w:r>
      <w:r>
        <w:t>markets</w:t>
      </w:r>
      <w:r w:rsidR="00CD37C6">
        <w:t xml:space="preserve"> </w:t>
      </w:r>
      <w:r>
        <w:t>for</w:t>
      </w:r>
      <w:r w:rsidR="00CD37C6">
        <w:t xml:space="preserve"> </w:t>
      </w:r>
      <w:r>
        <w:t>livestock</w:t>
      </w:r>
      <w:r w:rsidR="00CD37C6">
        <w:t xml:space="preserve"> </w:t>
      </w:r>
      <w:r>
        <w:t>and</w:t>
      </w:r>
      <w:r w:rsidR="00CD37C6">
        <w:t xml:space="preserve"> </w:t>
      </w:r>
      <w:r>
        <w:t>livestock</w:t>
      </w:r>
      <w:r w:rsidR="00CD37C6">
        <w:t xml:space="preserve"> </w:t>
      </w:r>
      <w:r>
        <w:t>products</w:t>
      </w:r>
      <w:r w:rsidR="00CD37C6">
        <w:t xml:space="preserve"> </w:t>
      </w:r>
      <w:r>
        <w:t>are</w:t>
      </w:r>
      <w:r w:rsidR="00CD37C6">
        <w:t xml:space="preserve"> </w:t>
      </w:r>
      <w:r>
        <w:t>maintained</w:t>
      </w:r>
      <w:r w:rsidR="00CD37C6">
        <w:t xml:space="preserve"> </w:t>
      </w:r>
      <w:r>
        <w:t>and</w:t>
      </w:r>
      <w:r w:rsidR="00CD37C6">
        <w:t xml:space="preserve"> </w:t>
      </w:r>
      <w:r>
        <w:t>enhanced</w:t>
      </w:r>
      <w:r w:rsidR="00CD37C6">
        <w:t xml:space="preserve"> </w:t>
      </w:r>
      <w:r>
        <w:t>(including</w:t>
      </w:r>
      <w:r w:rsidR="00CD37C6">
        <w:t xml:space="preserve"> </w:t>
      </w:r>
      <w:r>
        <w:t>food</w:t>
      </w:r>
      <w:r w:rsidR="00CD37C6">
        <w:t xml:space="preserve"> </w:t>
      </w:r>
      <w:r>
        <w:t>security).</w:t>
      </w:r>
    </w:p>
    <w:p w14:paraId="15A4D0A2" w14:textId="51E95107" w:rsidR="009F127E" w:rsidRPr="009B4482" w:rsidRDefault="00000000" w:rsidP="008E4EA4">
      <w:pPr>
        <w:pStyle w:val="Bullet"/>
        <w:rPr>
          <w:rFonts w:asciiTheme="minorHAnsi" w:hAnsiTheme="minorHAnsi" w:cstheme="minorHAnsi"/>
        </w:rPr>
      </w:pPr>
      <w:r w:rsidRPr="009B4482">
        <w:rPr>
          <w:rFonts w:asciiTheme="minorHAnsi" w:hAnsiTheme="minorHAnsi" w:cstheme="minorHAnsi"/>
        </w:rPr>
        <w:t>Indirect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benefits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beyond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the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scope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of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the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purposes/objectives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of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the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  <w:i/>
          <w:iCs/>
        </w:rPr>
        <w:t>Livestock</w:t>
      </w:r>
      <w:r w:rsidR="00CD37C6" w:rsidRPr="009B4482">
        <w:rPr>
          <w:rFonts w:asciiTheme="minorHAnsi" w:hAnsiTheme="minorHAnsi" w:cstheme="minorHAnsi"/>
          <w:i/>
          <w:iCs/>
        </w:rPr>
        <w:t xml:space="preserve"> </w:t>
      </w:r>
      <w:r w:rsidRPr="009B4482">
        <w:rPr>
          <w:rFonts w:asciiTheme="minorHAnsi" w:hAnsiTheme="minorHAnsi" w:cstheme="minorHAnsi"/>
          <w:i/>
          <w:iCs/>
        </w:rPr>
        <w:t>Disease</w:t>
      </w:r>
      <w:r w:rsidR="00CD37C6" w:rsidRPr="009B4482">
        <w:rPr>
          <w:rFonts w:asciiTheme="minorHAnsi" w:hAnsiTheme="minorHAnsi" w:cstheme="minorHAnsi"/>
          <w:i/>
          <w:iCs/>
        </w:rPr>
        <w:t xml:space="preserve"> </w:t>
      </w:r>
      <w:r w:rsidRPr="009B4482">
        <w:rPr>
          <w:rFonts w:asciiTheme="minorHAnsi" w:hAnsiTheme="minorHAnsi" w:cstheme="minorHAnsi"/>
          <w:i/>
          <w:iCs/>
        </w:rPr>
        <w:t>Control</w:t>
      </w:r>
      <w:r w:rsidR="00CD37C6" w:rsidRPr="009B4482">
        <w:rPr>
          <w:rFonts w:asciiTheme="minorHAnsi" w:hAnsiTheme="minorHAnsi" w:cstheme="minorHAnsi"/>
          <w:i/>
          <w:iCs/>
        </w:rPr>
        <w:t xml:space="preserve"> </w:t>
      </w:r>
      <w:r w:rsidRPr="009B4482">
        <w:rPr>
          <w:rFonts w:asciiTheme="minorHAnsi" w:hAnsiTheme="minorHAnsi" w:cstheme="minorHAnsi"/>
          <w:i/>
          <w:iCs/>
        </w:rPr>
        <w:t>Act</w:t>
      </w:r>
      <w:r w:rsidR="00CD37C6" w:rsidRPr="009B4482">
        <w:rPr>
          <w:rFonts w:asciiTheme="minorHAnsi" w:hAnsiTheme="minorHAnsi" w:cstheme="minorHAnsi"/>
          <w:i/>
          <w:iCs/>
        </w:rPr>
        <w:t xml:space="preserve"> </w:t>
      </w:r>
      <w:r w:rsidRPr="009B4482">
        <w:rPr>
          <w:rFonts w:asciiTheme="minorHAnsi" w:hAnsiTheme="minorHAnsi" w:cstheme="minorHAnsi"/>
          <w:i/>
          <w:iCs/>
        </w:rPr>
        <w:t>1994</w:t>
      </w:r>
      <w:r w:rsidRPr="009B4482">
        <w:rPr>
          <w:rFonts w:asciiTheme="minorHAnsi" w:hAnsiTheme="minorHAnsi" w:cstheme="minorHAnsi"/>
        </w:rPr>
        <w:t>:</w:t>
      </w:r>
    </w:p>
    <w:p w14:paraId="6EE48E85" w14:textId="31BC7A6A" w:rsidR="009F127E" w:rsidRDefault="00000000">
      <w:pPr>
        <w:pStyle w:val="Bullet2"/>
      </w:pPr>
      <w:r>
        <w:t>public</w:t>
      </w:r>
      <w:r w:rsidR="00CD37C6">
        <w:t xml:space="preserve"> </w:t>
      </w:r>
      <w:r>
        <w:t>health</w:t>
      </w:r>
      <w:r w:rsidR="00CD37C6">
        <w:t xml:space="preserve"> </w:t>
      </w:r>
      <w:r>
        <w:t>is</w:t>
      </w:r>
      <w:r w:rsidR="00CD37C6">
        <w:t xml:space="preserve"> </w:t>
      </w:r>
      <w:r>
        <w:t>protected</w:t>
      </w:r>
    </w:p>
    <w:p w14:paraId="513C82F2" w14:textId="00D43D98" w:rsidR="009F127E" w:rsidRDefault="00000000">
      <w:pPr>
        <w:pStyle w:val="Bullet2"/>
      </w:pPr>
      <w:r>
        <w:t>improved</w:t>
      </w:r>
      <w:r w:rsidR="00CD37C6">
        <w:t xml:space="preserve"> </w:t>
      </w:r>
      <w:r>
        <w:t>animal</w:t>
      </w:r>
      <w:r w:rsidR="00CD37C6">
        <w:t xml:space="preserve"> </w:t>
      </w:r>
      <w:r>
        <w:t>health</w:t>
      </w:r>
    </w:p>
    <w:p w14:paraId="197856DB" w14:textId="17A8C109" w:rsidR="009F127E" w:rsidRDefault="00000000">
      <w:pPr>
        <w:pStyle w:val="Bullet2"/>
      </w:pPr>
      <w:r>
        <w:t>broader</w:t>
      </w:r>
      <w:r w:rsidR="00CD37C6">
        <w:t xml:space="preserve"> </w:t>
      </w:r>
      <w:r>
        <w:t>community</w:t>
      </w:r>
      <w:r w:rsidR="00CD37C6">
        <w:t xml:space="preserve"> </w:t>
      </w:r>
      <w:r>
        <w:t>confidence</w:t>
      </w:r>
      <w:r w:rsidR="00CD37C6">
        <w:t xml:space="preserve"> </w:t>
      </w:r>
      <w:r>
        <w:t>in</w:t>
      </w:r>
      <w:r w:rsidR="00CD37C6">
        <w:t xml:space="preserve"> </w:t>
      </w:r>
      <w:r>
        <w:t>the</w:t>
      </w:r>
      <w:r w:rsidR="00CD37C6">
        <w:t xml:space="preserve"> </w:t>
      </w:r>
      <w:r>
        <w:t>food</w:t>
      </w:r>
      <w:r w:rsidR="00CD37C6">
        <w:t xml:space="preserve"> </w:t>
      </w:r>
      <w:r>
        <w:t>supply</w:t>
      </w:r>
      <w:r w:rsidR="00CD37C6">
        <w:t xml:space="preserve"> </w:t>
      </w:r>
      <w:r>
        <w:t>chain</w:t>
      </w:r>
    </w:p>
    <w:p w14:paraId="38A8DA56" w14:textId="464A789A" w:rsidR="009F127E" w:rsidRDefault="00000000">
      <w:pPr>
        <w:pStyle w:val="Bullet2"/>
      </w:pPr>
      <w:r>
        <w:t>improve</w:t>
      </w:r>
      <w:r w:rsidR="00CD37C6">
        <w:t xml:space="preserve"> </w:t>
      </w:r>
      <w:r>
        <w:t>future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Victorian</w:t>
      </w:r>
      <w:r w:rsidR="00CD37C6">
        <w:t xml:space="preserve"> </w:t>
      </w:r>
      <w:r>
        <w:t>livestock</w:t>
      </w:r>
      <w:r w:rsidR="00CD37C6">
        <w:t xml:space="preserve"> </w:t>
      </w:r>
      <w:r>
        <w:t>industry</w:t>
      </w:r>
    </w:p>
    <w:p w14:paraId="40CCF9B9" w14:textId="3D314BCF" w:rsidR="009F127E" w:rsidRDefault="00000000">
      <w:pPr>
        <w:pStyle w:val="Bullet2"/>
      </w:pPr>
      <w:r>
        <w:t>Victoria</w:t>
      </w:r>
      <w:r w:rsidR="00CD37C6">
        <w:t xml:space="preserve"> </w:t>
      </w:r>
      <w:r>
        <w:t>maintains</w:t>
      </w:r>
      <w:r w:rsidR="00CD37C6">
        <w:t xml:space="preserve"> </w:t>
      </w:r>
      <w:r>
        <w:t>a</w:t>
      </w:r>
      <w:r w:rsidR="00CD37C6">
        <w:t xml:space="preserve"> </w:t>
      </w:r>
      <w:r>
        <w:t>competitive</w:t>
      </w:r>
      <w:r w:rsidR="00CD37C6">
        <w:t xml:space="preserve"> </w:t>
      </w:r>
      <w:r>
        <w:t>advantage</w:t>
      </w:r>
      <w:r w:rsidR="00CD37C6">
        <w:t xml:space="preserve"> </w:t>
      </w:r>
      <w:r>
        <w:t>in</w:t>
      </w:r>
      <w:r w:rsidR="00CD37C6">
        <w:t xml:space="preserve"> </w:t>
      </w:r>
      <w:r>
        <w:t>market</w:t>
      </w:r>
      <w:r w:rsidR="00CD37C6">
        <w:t xml:space="preserve"> </w:t>
      </w:r>
      <w:r>
        <w:t>access</w:t>
      </w:r>
    </w:p>
    <w:p w14:paraId="1294F7F1" w14:textId="5AB2D52A" w:rsidR="009F127E" w:rsidRDefault="00000000">
      <w:pPr>
        <w:pStyle w:val="Bullet2"/>
      </w:pPr>
      <w:r>
        <w:t>supply</w:t>
      </w:r>
      <w:r w:rsidR="00CD37C6">
        <w:t xml:space="preserve"> </w:t>
      </w:r>
      <w:r>
        <w:t>chain</w:t>
      </w:r>
      <w:r w:rsidR="00CD37C6">
        <w:t xml:space="preserve"> </w:t>
      </w:r>
      <w:r>
        <w:t>has</w:t>
      </w:r>
      <w:r w:rsidR="00CD37C6">
        <w:t xml:space="preserve"> </w:t>
      </w:r>
      <w:r>
        <w:t>collective</w:t>
      </w:r>
      <w:r w:rsidR="00CD37C6">
        <w:t xml:space="preserve"> </w:t>
      </w:r>
      <w:r>
        <w:t>capability</w:t>
      </w:r>
      <w:r w:rsidR="00CD37C6">
        <w:t xml:space="preserve"> </w:t>
      </w:r>
      <w:r>
        <w:t>and</w:t>
      </w:r>
      <w:r w:rsidR="00CD37C6">
        <w:t xml:space="preserve"> </w:t>
      </w:r>
      <w:r>
        <w:t>is</w:t>
      </w:r>
      <w:r w:rsidR="00CD37C6">
        <w:t xml:space="preserve"> </w:t>
      </w:r>
      <w:r>
        <w:t>responsive</w:t>
      </w:r>
      <w:r w:rsidR="00CD37C6">
        <w:t xml:space="preserve"> </w:t>
      </w:r>
      <w:r>
        <w:t>and</w:t>
      </w:r>
      <w:r w:rsidR="00CD37C6">
        <w:t xml:space="preserve"> </w:t>
      </w:r>
      <w:r>
        <w:t>resilient</w:t>
      </w:r>
      <w:r w:rsidR="00CD37C6">
        <w:t xml:space="preserve"> </w:t>
      </w:r>
      <w:r>
        <w:t>to</w:t>
      </w:r>
      <w:r w:rsidR="00CD37C6">
        <w:t xml:space="preserve"> </w:t>
      </w:r>
      <w:r>
        <w:t>market</w:t>
      </w:r>
      <w:r w:rsidR="00CD37C6">
        <w:t xml:space="preserve"> </w:t>
      </w:r>
      <w:r>
        <w:t>threats</w:t>
      </w:r>
    </w:p>
    <w:p w14:paraId="77F881D5" w14:textId="409C5575" w:rsidR="009F127E" w:rsidRDefault="00000000">
      <w:pPr>
        <w:pStyle w:val="Bullet2"/>
      </w:pPr>
      <w:r>
        <w:t>improved</w:t>
      </w:r>
      <w:r w:rsidR="00CD37C6">
        <w:t xml:space="preserve"> </w:t>
      </w:r>
      <w:r>
        <w:t>on</w:t>
      </w:r>
      <w:r w:rsidR="00CD37C6">
        <w:t xml:space="preserve"> </w:t>
      </w:r>
      <w:r>
        <w:t>farm</w:t>
      </w:r>
      <w:r w:rsidR="00CD37C6">
        <w:t xml:space="preserve"> </w:t>
      </w:r>
      <w:r>
        <w:t>biosecurity</w:t>
      </w:r>
    </w:p>
    <w:p w14:paraId="1399CBCE" w14:textId="4B602934" w:rsidR="009F127E" w:rsidRDefault="00000000">
      <w:pPr>
        <w:pStyle w:val="Bullet2"/>
      </w:pPr>
      <w:r>
        <w:t>improved</w:t>
      </w:r>
      <w:r w:rsidR="00CD37C6">
        <w:t xml:space="preserve"> </w:t>
      </w:r>
      <w:r>
        <w:t>preparedness</w:t>
      </w:r>
      <w:r w:rsidR="00CD37C6">
        <w:t xml:space="preserve"> </w:t>
      </w:r>
      <w:r>
        <w:t>for</w:t>
      </w:r>
      <w:r w:rsidR="00CD37C6">
        <w:t xml:space="preserve"> </w:t>
      </w:r>
      <w:r>
        <w:t>disease</w:t>
      </w:r>
      <w:r w:rsidR="00CD37C6">
        <w:t xml:space="preserve"> </w:t>
      </w:r>
      <w:r>
        <w:t>outbreaks</w:t>
      </w:r>
    </w:p>
    <w:p w14:paraId="0E2C6865" w14:textId="5D64052C" w:rsidR="009F127E" w:rsidRDefault="00000000">
      <w:pPr>
        <w:pStyle w:val="Bullet2end"/>
        <w:rPr>
          <w:spacing w:val="-2"/>
        </w:rPr>
      </w:pPr>
      <w:r>
        <w:rPr>
          <w:spacing w:val="-2"/>
        </w:rPr>
        <w:t>improving</w:t>
      </w:r>
      <w:r w:rsidR="00CD37C6">
        <w:rPr>
          <w:spacing w:val="-2"/>
        </w:rPr>
        <w:t xml:space="preserve"> </w:t>
      </w:r>
      <w:r>
        <w:rPr>
          <w:spacing w:val="-2"/>
        </w:rPr>
        <w:t>sustainability</w:t>
      </w:r>
      <w:r w:rsidR="00CD37C6">
        <w:rPr>
          <w:spacing w:val="-2"/>
        </w:rPr>
        <w:t xml:space="preserve"> </w:t>
      </w:r>
      <w:r>
        <w:rPr>
          <w:spacing w:val="-2"/>
        </w:rPr>
        <w:t>and</w:t>
      </w:r>
      <w:r w:rsidR="00CD37C6">
        <w:rPr>
          <w:spacing w:val="-2"/>
        </w:rPr>
        <w:t xml:space="preserve"> </w:t>
      </w:r>
      <w:r>
        <w:rPr>
          <w:spacing w:val="-2"/>
        </w:rPr>
        <w:t>profitability</w:t>
      </w:r>
      <w:r w:rsidR="00CD37C6">
        <w:rPr>
          <w:spacing w:val="-2"/>
        </w:rPr>
        <w:t xml:space="preserve"> </w:t>
      </w:r>
      <w:r>
        <w:rPr>
          <w:spacing w:val="-2"/>
        </w:rPr>
        <w:t>for</w:t>
      </w:r>
      <w:r w:rsidR="00CD37C6">
        <w:rPr>
          <w:spacing w:val="-2"/>
        </w:rPr>
        <w:t xml:space="preserve"> </w:t>
      </w:r>
      <w:r>
        <w:rPr>
          <w:spacing w:val="-2"/>
        </w:rPr>
        <w:t>the</w:t>
      </w:r>
      <w:r w:rsidR="00CD37C6">
        <w:rPr>
          <w:spacing w:val="-2"/>
        </w:rPr>
        <w:t xml:space="preserve"> </w:t>
      </w:r>
      <w:r>
        <w:rPr>
          <w:spacing w:val="-2"/>
        </w:rPr>
        <w:t>benefit</w:t>
      </w:r>
      <w:r w:rsidR="00CD37C6">
        <w:rPr>
          <w:spacing w:val="-2"/>
        </w:rPr>
        <w:t xml:space="preserve"> </w:t>
      </w:r>
      <w:r>
        <w:rPr>
          <w:spacing w:val="-2"/>
        </w:rPr>
        <w:t>of</w:t>
      </w:r>
      <w:r w:rsidR="00CD37C6">
        <w:rPr>
          <w:spacing w:val="-2"/>
        </w:rPr>
        <w:t xml:space="preserve"> </w:t>
      </w:r>
      <w:r>
        <w:rPr>
          <w:spacing w:val="-2"/>
        </w:rPr>
        <w:t>Victorian</w:t>
      </w:r>
      <w:r w:rsidR="00CD37C6">
        <w:rPr>
          <w:spacing w:val="-2"/>
        </w:rPr>
        <w:t xml:space="preserve"> </w:t>
      </w:r>
      <w:r>
        <w:rPr>
          <w:spacing w:val="-2"/>
        </w:rPr>
        <w:t>sheep</w:t>
      </w:r>
      <w:r w:rsidR="00CD37C6">
        <w:rPr>
          <w:spacing w:val="-2"/>
        </w:rPr>
        <w:t xml:space="preserve"> </w:t>
      </w:r>
      <w:r>
        <w:rPr>
          <w:spacing w:val="-2"/>
        </w:rPr>
        <w:t>and</w:t>
      </w:r>
      <w:r w:rsidR="00CD37C6">
        <w:rPr>
          <w:spacing w:val="-2"/>
        </w:rPr>
        <w:t xml:space="preserve"> </w:t>
      </w:r>
      <w:r>
        <w:rPr>
          <w:spacing w:val="-2"/>
        </w:rPr>
        <w:t>goat</w:t>
      </w:r>
      <w:r w:rsidR="00CD37C6">
        <w:rPr>
          <w:spacing w:val="-2"/>
        </w:rPr>
        <w:t xml:space="preserve"> </w:t>
      </w:r>
      <w:r>
        <w:rPr>
          <w:spacing w:val="-2"/>
        </w:rPr>
        <w:t>producers.</w:t>
      </w:r>
    </w:p>
    <w:p w14:paraId="160FDB03" w14:textId="59829AA6" w:rsidR="009F127E" w:rsidRDefault="00000000" w:rsidP="008E4EA4">
      <w:pPr>
        <w:pStyle w:val="Heading3"/>
      </w:pPr>
      <w:bookmarkStart w:id="14" w:name="_Toc116548272"/>
      <w:r>
        <w:t>APPENDIX</w:t>
      </w:r>
      <w:r w:rsidR="00CD37C6">
        <w:t xml:space="preserve"> </w:t>
      </w:r>
      <w:r>
        <w:t>3</w:t>
      </w:r>
      <w:r w:rsidR="00CD37C6">
        <w:t xml:space="preserve"> </w:t>
      </w:r>
      <w:r>
        <w:t>–</w:t>
      </w:r>
      <w:r w:rsidR="00CD37C6">
        <w:t xml:space="preserve"> </w:t>
      </w:r>
      <w:r>
        <w:t>STATEMENT</w:t>
      </w:r>
      <w:r w:rsidR="00CD37C6">
        <w:t xml:space="preserve"> </w:t>
      </w:r>
      <w:r>
        <w:t>OF</w:t>
      </w:r>
      <w:r w:rsidR="00CD37C6">
        <w:t xml:space="preserve"> </w:t>
      </w:r>
      <w:r>
        <w:t>STRATEGIC</w:t>
      </w:r>
      <w:r w:rsidR="00CD37C6">
        <w:t xml:space="preserve"> </w:t>
      </w:r>
      <w:r>
        <w:t>INTENT</w:t>
      </w:r>
      <w:r w:rsidR="00CD37C6">
        <w:t xml:space="preserve"> </w:t>
      </w:r>
      <w:r>
        <w:t>FOR</w:t>
      </w:r>
      <w:r w:rsidR="00CD37C6">
        <w:t xml:space="preserve"> </w:t>
      </w:r>
      <w:r>
        <w:t>THE</w:t>
      </w:r>
      <w:r w:rsidR="00CD37C6">
        <w:t xml:space="preserve"> </w:t>
      </w:r>
      <w:r>
        <w:t>SWINE</w:t>
      </w:r>
      <w:r w:rsidR="00CD37C6">
        <w:t xml:space="preserve"> </w:t>
      </w:r>
      <w:r>
        <w:t>COMPENSATION</w:t>
      </w:r>
      <w:r w:rsidR="00CD37C6">
        <w:t xml:space="preserve"> </w:t>
      </w:r>
      <w:r>
        <w:t>FUND</w:t>
      </w:r>
      <w:bookmarkEnd w:id="14"/>
    </w:p>
    <w:p w14:paraId="7951D09D" w14:textId="1BA9E9DC" w:rsidR="009F127E" w:rsidRPr="009B4482" w:rsidRDefault="00000000" w:rsidP="009B4482">
      <w:pPr>
        <w:pStyle w:val="Normalbeforebullet"/>
        <w:rPr>
          <w:b/>
          <w:bCs/>
        </w:rPr>
      </w:pPr>
      <w:r w:rsidRPr="009B4482">
        <w:rPr>
          <w:b/>
          <w:bCs/>
        </w:rPr>
        <w:t>Focus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areas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for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investment</w:t>
      </w:r>
    </w:p>
    <w:p w14:paraId="52BCFEA9" w14:textId="2E15694B" w:rsidR="009F127E" w:rsidRDefault="00000000" w:rsidP="008E4EA4">
      <w:pPr>
        <w:pStyle w:val="Bullet"/>
      </w:pPr>
      <w:r>
        <w:t>Training</w:t>
      </w:r>
      <w:r w:rsidR="00CD37C6">
        <w:t xml:space="preserve"> </w:t>
      </w:r>
      <w:r>
        <w:t>and</w:t>
      </w:r>
      <w:r w:rsidR="00CD37C6">
        <w:t xml:space="preserve"> </w:t>
      </w:r>
      <w:r>
        <w:t>capability</w:t>
      </w:r>
      <w:r w:rsidR="00CD37C6">
        <w:t xml:space="preserve"> </w:t>
      </w:r>
      <w:r>
        <w:t>of</w:t>
      </w:r>
      <w:r w:rsidR="00CD37C6">
        <w:t xml:space="preserve"> </w:t>
      </w:r>
      <w:r>
        <w:t>government</w:t>
      </w:r>
      <w:r w:rsidR="00CD37C6">
        <w:t xml:space="preserve"> </w:t>
      </w:r>
      <w:r>
        <w:t>and</w:t>
      </w:r>
      <w:r w:rsidR="00CD37C6">
        <w:t xml:space="preserve"> </w:t>
      </w:r>
      <w:r>
        <w:t>industry</w:t>
      </w:r>
      <w:r w:rsidR="00CD37C6">
        <w:t xml:space="preserve"> </w:t>
      </w:r>
      <w:r>
        <w:t>(on</w:t>
      </w:r>
      <w:r w:rsidR="00CD37C6">
        <w:t xml:space="preserve"> </w:t>
      </w:r>
      <w:r>
        <w:t>prevention,</w:t>
      </w:r>
      <w:r w:rsidR="00CD37C6">
        <w:t xml:space="preserve"> </w:t>
      </w:r>
      <w:r>
        <w:t>control</w:t>
      </w:r>
      <w:r w:rsidR="00CD37C6">
        <w:t xml:space="preserve"> </w:t>
      </w:r>
      <w:r>
        <w:t>etc.).</w:t>
      </w:r>
    </w:p>
    <w:p w14:paraId="37827B54" w14:textId="321E765D" w:rsidR="009F127E" w:rsidRDefault="00000000" w:rsidP="008E4EA4">
      <w:pPr>
        <w:pStyle w:val="Bullet"/>
      </w:pPr>
      <w:r>
        <w:t>Surveillance</w:t>
      </w:r>
      <w:r w:rsidR="00CD37C6">
        <w:t xml:space="preserve"> </w:t>
      </w:r>
      <w:r>
        <w:t>–</w:t>
      </w:r>
      <w:r w:rsidR="00CD37C6">
        <w:t xml:space="preserve"> </w:t>
      </w:r>
      <w:r>
        <w:t>domestic</w:t>
      </w:r>
      <w:r w:rsidR="00CD37C6">
        <w:t xml:space="preserve"> </w:t>
      </w:r>
      <w:r>
        <w:t>and</w:t>
      </w:r>
      <w:r w:rsidR="00CD37C6">
        <w:t xml:space="preserve"> </w:t>
      </w:r>
      <w:r>
        <w:t>feral</w:t>
      </w:r>
      <w:r w:rsidR="00CD37C6">
        <w:t xml:space="preserve"> </w:t>
      </w:r>
      <w:r>
        <w:t>pigs</w:t>
      </w:r>
      <w:r w:rsidR="00CD37C6">
        <w:t xml:space="preserve"> </w:t>
      </w:r>
      <w:r>
        <w:t>(</w:t>
      </w:r>
      <w:proofErr w:type="gramStart"/>
      <w:r>
        <w:t>e.g.</w:t>
      </w:r>
      <w:proofErr w:type="gramEnd"/>
      <w:r w:rsidR="00CD37C6">
        <w:t xml:space="preserve"> </w:t>
      </w:r>
      <w:r>
        <w:t>anti</w:t>
      </w:r>
      <w:r>
        <w:rPr>
          <w:rFonts w:ascii="Cambria Math" w:hAnsi="Cambria Math" w:cs="Cambria Math"/>
        </w:rPr>
        <w:t>‑</w:t>
      </w:r>
      <w:r>
        <w:t>biotics),</w:t>
      </w:r>
      <w:r w:rsidR="00CD37C6">
        <w:t xml:space="preserve"> </w:t>
      </w:r>
      <w:r>
        <w:t>exotic</w:t>
      </w:r>
      <w:r w:rsidR="00CD37C6">
        <w:t xml:space="preserve"> </w:t>
      </w:r>
      <w:r>
        <w:t>disease;</w:t>
      </w:r>
      <w:r w:rsidR="00CD37C6">
        <w:t xml:space="preserve"> </w:t>
      </w:r>
      <w:r>
        <w:t>collection</w:t>
      </w:r>
      <w:r w:rsidR="00CD37C6">
        <w:t xml:space="preserve"> </w:t>
      </w:r>
      <w:r>
        <w:t>and</w:t>
      </w:r>
      <w:r w:rsidR="00CD37C6">
        <w:t xml:space="preserve"> </w:t>
      </w:r>
      <w:r>
        <w:t>use</w:t>
      </w:r>
      <w:r w:rsidR="00CD37C6">
        <w:t xml:space="preserve"> </w:t>
      </w:r>
      <w:r>
        <w:t>of</w:t>
      </w:r>
      <w:r w:rsidR="00CD37C6">
        <w:t xml:space="preserve"> </w:t>
      </w:r>
      <w:r>
        <w:t>information</w:t>
      </w:r>
      <w:r w:rsidR="00CD37C6">
        <w:t xml:space="preserve"> </w:t>
      </w:r>
      <w:r>
        <w:t>to</w:t>
      </w:r>
      <w:r w:rsidR="00CD37C6">
        <w:t xml:space="preserve"> </w:t>
      </w:r>
      <w:r>
        <w:t>inform</w:t>
      </w:r>
      <w:r w:rsidR="00CD37C6">
        <w:t xml:space="preserve"> </w:t>
      </w:r>
      <w:r>
        <w:t>decision</w:t>
      </w:r>
      <w:r w:rsidR="00CD37C6">
        <w:t xml:space="preserve"> </w:t>
      </w:r>
      <w:r>
        <w:t>making.</w:t>
      </w:r>
    </w:p>
    <w:p w14:paraId="23C20881" w14:textId="27D8EE11" w:rsidR="009F127E" w:rsidRDefault="00000000" w:rsidP="008E4EA4">
      <w:pPr>
        <w:pStyle w:val="Bullet"/>
      </w:pPr>
      <w:r>
        <w:t>Supporting</w:t>
      </w:r>
      <w:r w:rsidR="00CD37C6">
        <w:t xml:space="preserve"> </w:t>
      </w:r>
      <w:r>
        <w:t>industry</w:t>
      </w:r>
      <w:r w:rsidR="00CD37C6">
        <w:t xml:space="preserve"> </w:t>
      </w:r>
      <w:r>
        <w:t>on</w:t>
      </w:r>
      <w:r w:rsidR="00CD37C6">
        <w:t xml:space="preserve"> </w:t>
      </w:r>
      <w:r>
        <w:t>technical/legal</w:t>
      </w:r>
      <w:r w:rsidR="00CD37C6">
        <w:t xml:space="preserve"> </w:t>
      </w:r>
      <w:r>
        <w:t>advocacy</w:t>
      </w:r>
      <w:r w:rsidR="00CD37C6">
        <w:t xml:space="preserve"> </w:t>
      </w:r>
      <w:r>
        <w:t>regarding</w:t>
      </w:r>
      <w:r w:rsidR="00CD37C6">
        <w:t xml:space="preserve"> </w:t>
      </w:r>
      <w:r>
        <w:t>policy.</w:t>
      </w:r>
      <w:r w:rsidR="00CD37C6">
        <w:t xml:space="preserve"> </w:t>
      </w:r>
    </w:p>
    <w:p w14:paraId="65CCFF2C" w14:textId="7804D2D2" w:rsidR="009F127E" w:rsidRDefault="00000000" w:rsidP="008E4EA4">
      <w:pPr>
        <w:pStyle w:val="Bullet"/>
      </w:pPr>
      <w:r>
        <w:t>Research</w:t>
      </w:r>
      <w:r w:rsidR="00CD37C6">
        <w:t xml:space="preserve"> </w:t>
      </w:r>
      <w:r>
        <w:t>and</w:t>
      </w:r>
      <w:r w:rsidR="00CD37C6">
        <w:t xml:space="preserve"> </w:t>
      </w:r>
      <w:r>
        <w:t>development</w:t>
      </w:r>
      <w:r w:rsidR="00CD37C6">
        <w:t xml:space="preserve"> </w:t>
      </w:r>
      <w:r>
        <w:t>–</w:t>
      </w:r>
      <w:r w:rsidR="00CD37C6">
        <w:t xml:space="preserve"> </w:t>
      </w:r>
      <w:proofErr w:type="gramStart"/>
      <w:r>
        <w:t>e.g.</w:t>
      </w:r>
      <w:proofErr w:type="gramEnd"/>
      <w:r w:rsidR="00CD37C6">
        <w:t xml:space="preserve"> </w:t>
      </w:r>
      <w:r>
        <w:t>vaccines</w:t>
      </w:r>
      <w:r w:rsidR="00CD37C6">
        <w:t xml:space="preserve"> </w:t>
      </w:r>
      <w:r>
        <w:t>and</w:t>
      </w:r>
      <w:r w:rsidR="00CD37C6">
        <w:t xml:space="preserve"> </w:t>
      </w:r>
      <w:r>
        <w:t>other</w:t>
      </w:r>
      <w:r w:rsidR="00CD37C6">
        <w:t xml:space="preserve"> </w:t>
      </w:r>
      <w:r>
        <w:t>identified</w:t>
      </w:r>
      <w:r w:rsidR="00CD37C6">
        <w:t xml:space="preserve"> </w:t>
      </w:r>
      <w:r>
        <w:t>priority</w:t>
      </w:r>
      <w:r w:rsidR="00CD37C6">
        <w:t xml:space="preserve"> </w:t>
      </w:r>
      <w:r>
        <w:t>areas.</w:t>
      </w:r>
    </w:p>
    <w:p w14:paraId="046631AD" w14:textId="297406BF" w:rsidR="009F127E" w:rsidRDefault="00000000" w:rsidP="008E4EA4">
      <w:pPr>
        <w:pStyle w:val="Bullet"/>
      </w:pPr>
      <w:r>
        <w:t>Building/consolidating</w:t>
      </w:r>
      <w:r w:rsidR="00CD37C6">
        <w:t xml:space="preserve"> </w:t>
      </w:r>
      <w:r>
        <w:t>and</w:t>
      </w:r>
      <w:r w:rsidR="00CD37C6">
        <w:t xml:space="preserve"> </w:t>
      </w:r>
      <w:r>
        <w:t>sharing</w:t>
      </w:r>
      <w:r w:rsidR="00CD37C6">
        <w:t xml:space="preserve"> </w:t>
      </w:r>
      <w:r>
        <w:t>swine</w:t>
      </w:r>
      <w:r w:rsidR="00CD37C6">
        <w:t xml:space="preserve"> </w:t>
      </w:r>
      <w:r>
        <w:t>data</w:t>
      </w:r>
      <w:r w:rsidR="00CD37C6">
        <w:t xml:space="preserve"> </w:t>
      </w:r>
      <w:r>
        <w:t>sources</w:t>
      </w:r>
      <w:r w:rsidR="00CD37C6">
        <w:t xml:space="preserve"> </w:t>
      </w:r>
      <w:r>
        <w:t>for</w:t>
      </w:r>
      <w:r w:rsidR="00CD37C6">
        <w:t xml:space="preserve"> </w:t>
      </w:r>
      <w:r>
        <w:t>control</w:t>
      </w:r>
      <w:r w:rsidR="00CD37C6">
        <w:t xml:space="preserve"> </w:t>
      </w:r>
      <w:r>
        <w:t>management</w:t>
      </w:r>
      <w:r w:rsidR="00CD37C6">
        <w:t xml:space="preserve"> </w:t>
      </w:r>
      <w:r>
        <w:t>etc.</w:t>
      </w:r>
      <w:r w:rsidR="00CD37C6">
        <w:t xml:space="preserve"> </w:t>
      </w:r>
      <w:r>
        <w:t>(sharing</w:t>
      </w:r>
      <w:r w:rsidR="00CD37C6">
        <w:t xml:space="preserve"> </w:t>
      </w:r>
      <w:r>
        <w:t>between</w:t>
      </w:r>
      <w:r w:rsidR="00CD37C6">
        <w:t xml:space="preserve"> </w:t>
      </w:r>
      <w:r>
        <w:t>govt</w:t>
      </w:r>
      <w:r w:rsidR="00CD37C6">
        <w:t xml:space="preserve"> </w:t>
      </w:r>
      <w:r>
        <w:t>and</w:t>
      </w:r>
      <w:r w:rsidR="00CD37C6">
        <w:t xml:space="preserve"> </w:t>
      </w:r>
      <w:r>
        <w:t>industry).</w:t>
      </w:r>
    </w:p>
    <w:p w14:paraId="5F8C6288" w14:textId="3300D48F" w:rsidR="009F127E" w:rsidRDefault="00000000" w:rsidP="008E4EA4">
      <w:pPr>
        <w:pStyle w:val="Bullet"/>
      </w:pPr>
      <w:r>
        <w:t>Improved</w:t>
      </w:r>
      <w:r w:rsidR="00CD37C6">
        <w:t xml:space="preserve"> </w:t>
      </w:r>
      <w:r>
        <w:t>preparedness</w:t>
      </w:r>
      <w:r w:rsidR="00CD37C6">
        <w:t xml:space="preserve"> </w:t>
      </w:r>
      <w:r>
        <w:t>for</w:t>
      </w:r>
      <w:r w:rsidR="00CD37C6">
        <w:t xml:space="preserve"> </w:t>
      </w:r>
      <w:r>
        <w:t>outbreaks</w:t>
      </w:r>
      <w:r w:rsidR="00CD37C6">
        <w:t xml:space="preserve"> </w:t>
      </w:r>
      <w:r>
        <w:t>including</w:t>
      </w:r>
      <w:r w:rsidR="00CD37C6">
        <w:t xml:space="preserve"> </w:t>
      </w:r>
      <w:r>
        <w:t>farm</w:t>
      </w:r>
      <w:r w:rsidR="00CD37C6">
        <w:t xml:space="preserve"> </w:t>
      </w:r>
      <w:r>
        <w:t>level</w:t>
      </w:r>
      <w:r w:rsidR="00CD37C6">
        <w:t xml:space="preserve"> </w:t>
      </w:r>
      <w:r>
        <w:t>contingency</w:t>
      </w:r>
      <w:r w:rsidR="00CD37C6">
        <w:t xml:space="preserve"> </w:t>
      </w:r>
      <w:r>
        <w:t>plans.</w:t>
      </w:r>
    </w:p>
    <w:p w14:paraId="27ACED73" w14:textId="49AAB9A5" w:rsidR="009F127E" w:rsidRDefault="00000000" w:rsidP="008E4EA4">
      <w:pPr>
        <w:pStyle w:val="Bullet"/>
      </w:pPr>
      <w:r>
        <w:t>Addressing</w:t>
      </w:r>
      <w:r w:rsidR="00CD37C6">
        <w:t xml:space="preserve"> </w:t>
      </w:r>
      <w:r>
        <w:t>succession</w:t>
      </w:r>
      <w:r w:rsidR="00CD37C6">
        <w:t xml:space="preserve"> </w:t>
      </w:r>
      <w:r>
        <w:t>planning</w:t>
      </w:r>
      <w:r w:rsidR="00CD37C6">
        <w:t xml:space="preserve"> </w:t>
      </w:r>
      <w:r>
        <w:t>and</w:t>
      </w:r>
      <w:r w:rsidR="00CD37C6">
        <w:t xml:space="preserve"> </w:t>
      </w:r>
      <w:r>
        <w:t>corporate</w:t>
      </w:r>
      <w:r w:rsidR="00CD37C6">
        <w:t xml:space="preserve"> </w:t>
      </w:r>
      <w:r>
        <w:t>knowledge</w:t>
      </w:r>
      <w:r w:rsidR="00CD37C6">
        <w:t xml:space="preserve"> </w:t>
      </w:r>
      <w:r>
        <w:t>of</w:t>
      </w:r>
      <w:r w:rsidR="00CD37C6">
        <w:t xml:space="preserve"> </w:t>
      </w:r>
      <w:r>
        <w:t>evolving</w:t>
      </w:r>
      <w:r w:rsidR="00CD37C6">
        <w:t xml:space="preserve"> </w:t>
      </w:r>
      <w:r>
        <w:t>pig</w:t>
      </w:r>
      <w:r w:rsidR="00CD37C6">
        <w:t xml:space="preserve"> </w:t>
      </w:r>
      <w:r>
        <w:t>industry.</w:t>
      </w:r>
    </w:p>
    <w:p w14:paraId="301E19CA" w14:textId="6DEEA126" w:rsidR="009F127E" w:rsidRDefault="00000000" w:rsidP="008E4EA4">
      <w:pPr>
        <w:pStyle w:val="Bullet"/>
      </w:pPr>
      <w:r>
        <w:t>Education</w:t>
      </w:r>
      <w:r w:rsidR="00CD37C6">
        <w:t xml:space="preserve"> </w:t>
      </w:r>
      <w:r>
        <w:t>and</w:t>
      </w:r>
      <w:r w:rsidR="00CD37C6">
        <w:t xml:space="preserve"> </w:t>
      </w:r>
      <w:r>
        <w:t>extension:</w:t>
      </w:r>
    </w:p>
    <w:p w14:paraId="0DD01907" w14:textId="0DD8F4D1" w:rsidR="009F127E" w:rsidRDefault="00000000">
      <w:pPr>
        <w:pStyle w:val="Bullet2"/>
      </w:pPr>
      <w:r>
        <w:t>consumer,</w:t>
      </w:r>
      <w:r w:rsidR="00CD37C6">
        <w:t xml:space="preserve"> </w:t>
      </w:r>
      <w:proofErr w:type="gramStart"/>
      <w:r>
        <w:t>community</w:t>
      </w:r>
      <w:proofErr w:type="gramEnd"/>
      <w:r w:rsidR="00CD37C6">
        <w:t xml:space="preserve"> </w:t>
      </w:r>
      <w:r>
        <w:t>and</w:t>
      </w:r>
      <w:r w:rsidR="00CD37C6">
        <w:t xml:space="preserve"> </w:t>
      </w:r>
      <w:r>
        <w:t>students</w:t>
      </w:r>
    </w:p>
    <w:p w14:paraId="035CCF54" w14:textId="5947B921" w:rsidR="009F127E" w:rsidRDefault="00000000">
      <w:pPr>
        <w:pStyle w:val="Bullet2"/>
      </w:pPr>
      <w:r>
        <w:t>swill</w:t>
      </w:r>
      <w:r w:rsidR="00CD37C6">
        <w:t xml:space="preserve"> </w:t>
      </w:r>
      <w:r>
        <w:t>feeding</w:t>
      </w:r>
      <w:r w:rsidR="00CD37C6">
        <w:t xml:space="preserve"> </w:t>
      </w:r>
      <w:r>
        <w:t>–</w:t>
      </w:r>
      <w:r w:rsidR="00CD37C6">
        <w:t xml:space="preserve"> </w:t>
      </w:r>
      <w:r>
        <w:t>better</w:t>
      </w:r>
      <w:r w:rsidR="00CD37C6">
        <w:t xml:space="preserve"> </w:t>
      </w:r>
      <w:r>
        <w:t>awareness</w:t>
      </w:r>
    </w:p>
    <w:p w14:paraId="1A8A7C52" w14:textId="77777777" w:rsidR="009F127E" w:rsidRDefault="00000000">
      <w:pPr>
        <w:pStyle w:val="Bullet2"/>
      </w:pPr>
      <w:r>
        <w:t>traceability</w:t>
      </w:r>
    </w:p>
    <w:p w14:paraId="4DD00F1C" w14:textId="5807D992" w:rsidR="009F127E" w:rsidRDefault="00000000">
      <w:pPr>
        <w:pStyle w:val="Bullet2"/>
      </w:pPr>
      <w:r>
        <w:t>mixed</w:t>
      </w:r>
      <w:r w:rsidR="00CD37C6">
        <w:t xml:space="preserve"> </w:t>
      </w:r>
      <w:r>
        <w:t>species</w:t>
      </w:r>
      <w:r w:rsidR="00CD37C6">
        <w:t xml:space="preserve"> </w:t>
      </w:r>
      <w:r>
        <w:t>awareness</w:t>
      </w:r>
      <w:r w:rsidR="00CD37C6">
        <w:t xml:space="preserve"> </w:t>
      </w:r>
      <w:r>
        <w:t>and</w:t>
      </w:r>
      <w:r w:rsidR="00CD37C6">
        <w:t xml:space="preserve"> </w:t>
      </w:r>
      <w:r>
        <w:t>interaction</w:t>
      </w:r>
    </w:p>
    <w:p w14:paraId="41E07D4A" w14:textId="096E57FE" w:rsidR="009F127E" w:rsidRDefault="00000000" w:rsidP="009B4482">
      <w:pPr>
        <w:pStyle w:val="Bullet2end"/>
        <w:spacing w:after="200"/>
        <w:ind w:left="568" w:hanging="284"/>
        <w:rPr>
          <w:spacing w:val="-4"/>
        </w:rPr>
      </w:pPr>
      <w:r>
        <w:rPr>
          <w:spacing w:val="-4"/>
        </w:rPr>
        <w:t>small</w:t>
      </w:r>
      <w:r w:rsidR="00CD37C6">
        <w:rPr>
          <w:spacing w:val="-4"/>
        </w:rPr>
        <w:t xml:space="preserve"> </w:t>
      </w:r>
      <w:r>
        <w:rPr>
          <w:spacing w:val="-4"/>
        </w:rPr>
        <w:t>producer</w:t>
      </w:r>
      <w:r w:rsidR="00CD37C6">
        <w:rPr>
          <w:spacing w:val="-4"/>
        </w:rPr>
        <w:t xml:space="preserve"> </w:t>
      </w:r>
      <w:r>
        <w:rPr>
          <w:spacing w:val="-4"/>
        </w:rPr>
        <w:t>legal</w:t>
      </w:r>
      <w:r w:rsidR="00CD37C6">
        <w:rPr>
          <w:spacing w:val="-4"/>
        </w:rPr>
        <w:t xml:space="preserve"> </w:t>
      </w:r>
      <w:r>
        <w:rPr>
          <w:spacing w:val="-4"/>
        </w:rPr>
        <w:t>and</w:t>
      </w:r>
      <w:r w:rsidR="00CD37C6">
        <w:rPr>
          <w:spacing w:val="-4"/>
        </w:rPr>
        <w:t xml:space="preserve"> </w:t>
      </w:r>
      <w:r>
        <w:rPr>
          <w:spacing w:val="-4"/>
        </w:rPr>
        <w:t>biosecurity</w:t>
      </w:r>
      <w:r w:rsidR="00CD37C6">
        <w:rPr>
          <w:spacing w:val="-4"/>
        </w:rPr>
        <w:t xml:space="preserve"> </w:t>
      </w:r>
      <w:r>
        <w:rPr>
          <w:spacing w:val="-4"/>
        </w:rPr>
        <w:t>obligations.</w:t>
      </w:r>
    </w:p>
    <w:p w14:paraId="5C334ABC" w14:textId="0E3FE9BC" w:rsidR="009F127E" w:rsidRPr="009B4482" w:rsidRDefault="00000000" w:rsidP="009B4482">
      <w:pPr>
        <w:pStyle w:val="Normalbeforebullet"/>
        <w:rPr>
          <w:b/>
          <w:bCs/>
        </w:rPr>
      </w:pPr>
      <w:r w:rsidRPr="009B4482">
        <w:rPr>
          <w:b/>
          <w:bCs/>
        </w:rPr>
        <w:lastRenderedPageBreak/>
        <w:t>Medium-term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outcomes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(3-5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years)</w:t>
      </w:r>
    </w:p>
    <w:p w14:paraId="36C6F9BF" w14:textId="575EC818" w:rsidR="009F127E" w:rsidRPr="009B4482" w:rsidRDefault="00000000" w:rsidP="008E4EA4">
      <w:pPr>
        <w:pStyle w:val="Bullet"/>
        <w:rPr>
          <w:rFonts w:asciiTheme="minorHAnsi" w:hAnsiTheme="minorHAnsi" w:cstheme="minorHAnsi"/>
        </w:rPr>
      </w:pPr>
      <w:r w:rsidRPr="009B4482">
        <w:rPr>
          <w:rFonts w:asciiTheme="minorHAnsi" w:hAnsiTheme="minorHAnsi" w:cstheme="minorHAnsi"/>
        </w:rPr>
        <w:t>Adoption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and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compliance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with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the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  <w:i/>
          <w:iCs/>
        </w:rPr>
        <w:t>Livestock</w:t>
      </w:r>
      <w:r w:rsidR="00CD37C6" w:rsidRPr="009B4482">
        <w:rPr>
          <w:rFonts w:asciiTheme="minorHAnsi" w:hAnsiTheme="minorHAnsi" w:cstheme="minorHAnsi"/>
          <w:i/>
          <w:iCs/>
        </w:rPr>
        <w:t xml:space="preserve"> </w:t>
      </w:r>
      <w:r w:rsidRPr="009B4482">
        <w:rPr>
          <w:rFonts w:asciiTheme="minorHAnsi" w:hAnsiTheme="minorHAnsi" w:cstheme="minorHAnsi"/>
          <w:i/>
          <w:iCs/>
        </w:rPr>
        <w:t>Disease</w:t>
      </w:r>
      <w:r w:rsidR="00CD37C6" w:rsidRPr="009B4482">
        <w:rPr>
          <w:rFonts w:asciiTheme="minorHAnsi" w:hAnsiTheme="minorHAnsi" w:cstheme="minorHAnsi"/>
          <w:i/>
          <w:iCs/>
        </w:rPr>
        <w:t xml:space="preserve"> </w:t>
      </w:r>
      <w:r w:rsidRPr="009B4482">
        <w:rPr>
          <w:rFonts w:asciiTheme="minorHAnsi" w:hAnsiTheme="minorHAnsi" w:cstheme="minorHAnsi"/>
          <w:i/>
          <w:iCs/>
        </w:rPr>
        <w:t>Control</w:t>
      </w:r>
      <w:r w:rsidR="00CD37C6" w:rsidRPr="009B4482">
        <w:rPr>
          <w:rFonts w:asciiTheme="minorHAnsi" w:hAnsiTheme="minorHAnsi" w:cstheme="minorHAnsi"/>
          <w:i/>
          <w:iCs/>
        </w:rPr>
        <w:t xml:space="preserve"> </w:t>
      </w:r>
      <w:r w:rsidRPr="009B4482">
        <w:rPr>
          <w:rFonts w:asciiTheme="minorHAnsi" w:hAnsiTheme="minorHAnsi" w:cstheme="minorHAnsi"/>
          <w:i/>
          <w:iCs/>
        </w:rPr>
        <w:t>Act</w:t>
      </w:r>
      <w:r w:rsidR="00CD37C6" w:rsidRPr="009B4482">
        <w:rPr>
          <w:rFonts w:asciiTheme="minorHAnsi" w:hAnsiTheme="minorHAnsi" w:cstheme="minorHAnsi"/>
          <w:i/>
          <w:iCs/>
        </w:rPr>
        <w:t xml:space="preserve"> </w:t>
      </w:r>
      <w:r w:rsidRPr="009B4482">
        <w:rPr>
          <w:rFonts w:asciiTheme="minorHAnsi" w:hAnsiTheme="minorHAnsi" w:cstheme="minorHAnsi"/>
          <w:i/>
          <w:iCs/>
        </w:rPr>
        <w:t>1994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(including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biosecurity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related)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requirements.</w:t>
      </w:r>
    </w:p>
    <w:p w14:paraId="0A67DA00" w14:textId="7CDCFD02" w:rsidR="009F127E" w:rsidRDefault="00000000" w:rsidP="008E4EA4">
      <w:pPr>
        <w:pStyle w:val="Bullet"/>
      </w:pPr>
      <w:r>
        <w:t>Active</w:t>
      </w:r>
      <w:r w:rsidR="00CD37C6">
        <w:t xml:space="preserve"> </w:t>
      </w:r>
      <w:r>
        <w:t>participation</w:t>
      </w:r>
      <w:r w:rsidR="00CD37C6">
        <w:t xml:space="preserve"> </w:t>
      </w:r>
      <w:r>
        <w:t>in</w:t>
      </w:r>
      <w:r w:rsidR="00CD37C6">
        <w:t xml:space="preserve"> </w:t>
      </w:r>
      <w:r>
        <w:t>education</w:t>
      </w:r>
      <w:r w:rsidR="00CD37C6">
        <w:t xml:space="preserve"> </w:t>
      </w:r>
      <w:r>
        <w:t>and</w:t>
      </w:r>
      <w:r w:rsidR="00CD37C6">
        <w:t xml:space="preserve"> </w:t>
      </w:r>
      <w:r>
        <w:t>training</w:t>
      </w:r>
      <w:r w:rsidR="00CD37C6">
        <w:t xml:space="preserve"> </w:t>
      </w:r>
      <w:r>
        <w:t>programs</w:t>
      </w:r>
      <w:r w:rsidR="00CD37C6">
        <w:t xml:space="preserve"> </w:t>
      </w:r>
      <w:r>
        <w:t>(</w:t>
      </w:r>
      <w:proofErr w:type="gramStart"/>
      <w:r>
        <w:t>e.g.</w:t>
      </w:r>
      <w:proofErr w:type="gramEnd"/>
      <w:r w:rsidR="00CD37C6">
        <w:t xml:space="preserve"> </w:t>
      </w:r>
      <w:r>
        <w:t>Pigs</w:t>
      </w:r>
      <w:r w:rsidR="00CD37C6">
        <w:t xml:space="preserve"> </w:t>
      </w:r>
      <w:r>
        <w:t>In</w:t>
      </w:r>
      <w:r w:rsidR="00CD37C6">
        <w:t xml:space="preserve"> </w:t>
      </w:r>
      <w:r>
        <w:t>Schools,</w:t>
      </w:r>
      <w:r w:rsidR="00CD37C6">
        <w:t xml:space="preserve"> </w:t>
      </w:r>
      <w:r>
        <w:t>online</w:t>
      </w:r>
      <w:r w:rsidR="00CD37C6">
        <w:t xml:space="preserve"> </w:t>
      </w:r>
      <w:r>
        <w:t>education</w:t>
      </w:r>
      <w:r w:rsidR="00CD37C6">
        <w:t xml:space="preserve"> </w:t>
      </w:r>
      <w:r>
        <w:t>platforms).</w:t>
      </w:r>
    </w:p>
    <w:p w14:paraId="4D22DBA9" w14:textId="14ABC07E" w:rsidR="009F127E" w:rsidRDefault="00000000" w:rsidP="008E4EA4">
      <w:pPr>
        <w:pStyle w:val="Bullet"/>
        <w:rPr>
          <w:spacing w:val="-2"/>
        </w:rPr>
      </w:pPr>
      <w:r>
        <w:rPr>
          <w:spacing w:val="-2"/>
        </w:rPr>
        <w:t>Victorian</w:t>
      </w:r>
      <w:r w:rsidR="00CD37C6">
        <w:rPr>
          <w:spacing w:val="-2"/>
        </w:rPr>
        <w:t xml:space="preserve"> </w:t>
      </w:r>
      <w:r>
        <w:rPr>
          <w:spacing w:val="-2"/>
        </w:rPr>
        <w:t>swine</w:t>
      </w:r>
      <w:r w:rsidR="00CD37C6">
        <w:rPr>
          <w:spacing w:val="-2"/>
        </w:rPr>
        <w:t xml:space="preserve"> </w:t>
      </w:r>
      <w:r>
        <w:rPr>
          <w:spacing w:val="-2"/>
        </w:rPr>
        <w:t>industry</w:t>
      </w:r>
      <w:r w:rsidR="00CD37C6">
        <w:rPr>
          <w:spacing w:val="-2"/>
        </w:rPr>
        <w:t xml:space="preserve"> </w:t>
      </w:r>
      <w:r>
        <w:rPr>
          <w:spacing w:val="-2"/>
        </w:rPr>
        <w:t>is</w:t>
      </w:r>
      <w:r w:rsidR="00CD37C6">
        <w:rPr>
          <w:spacing w:val="-2"/>
        </w:rPr>
        <w:t xml:space="preserve"> </w:t>
      </w:r>
      <w:r>
        <w:rPr>
          <w:spacing w:val="-2"/>
        </w:rPr>
        <w:t>informed</w:t>
      </w:r>
      <w:r w:rsidR="00CD37C6">
        <w:rPr>
          <w:spacing w:val="-2"/>
        </w:rPr>
        <w:t xml:space="preserve"> </w:t>
      </w:r>
      <w:r>
        <w:rPr>
          <w:spacing w:val="-2"/>
        </w:rPr>
        <w:t>of</w:t>
      </w:r>
      <w:r w:rsidR="00CD37C6">
        <w:rPr>
          <w:spacing w:val="-2"/>
        </w:rPr>
        <w:t xml:space="preserve"> </w:t>
      </w:r>
      <w:r>
        <w:rPr>
          <w:spacing w:val="-2"/>
        </w:rPr>
        <w:t>SCF</w:t>
      </w:r>
      <w:r w:rsidR="00CD37C6">
        <w:rPr>
          <w:spacing w:val="-2"/>
        </w:rPr>
        <w:t xml:space="preserve"> </w:t>
      </w:r>
      <w:r>
        <w:rPr>
          <w:spacing w:val="-2"/>
        </w:rPr>
        <w:t>funded</w:t>
      </w:r>
      <w:r w:rsidR="00CD37C6">
        <w:rPr>
          <w:spacing w:val="-2"/>
        </w:rPr>
        <w:t xml:space="preserve"> </w:t>
      </w:r>
      <w:r>
        <w:rPr>
          <w:spacing w:val="-2"/>
        </w:rPr>
        <w:t>projects</w:t>
      </w:r>
      <w:r w:rsidR="00CD37C6">
        <w:rPr>
          <w:spacing w:val="-2"/>
        </w:rPr>
        <w:t xml:space="preserve"> </w:t>
      </w:r>
      <w:r>
        <w:rPr>
          <w:spacing w:val="-2"/>
        </w:rPr>
        <w:t>and</w:t>
      </w:r>
      <w:r w:rsidR="00CD37C6">
        <w:rPr>
          <w:spacing w:val="-2"/>
        </w:rPr>
        <w:t xml:space="preserve"> </w:t>
      </w:r>
      <w:r>
        <w:rPr>
          <w:spacing w:val="-2"/>
        </w:rPr>
        <w:t>see</w:t>
      </w:r>
      <w:r w:rsidR="00CD37C6">
        <w:rPr>
          <w:spacing w:val="-2"/>
        </w:rPr>
        <w:t xml:space="preserve"> </w:t>
      </w:r>
      <w:r>
        <w:rPr>
          <w:spacing w:val="-2"/>
        </w:rPr>
        <w:t>the</w:t>
      </w:r>
      <w:r w:rsidR="00CD37C6">
        <w:rPr>
          <w:spacing w:val="-2"/>
        </w:rPr>
        <w:t xml:space="preserve"> </w:t>
      </w:r>
      <w:r>
        <w:rPr>
          <w:spacing w:val="-2"/>
        </w:rPr>
        <w:t>benefits</w:t>
      </w:r>
      <w:r w:rsidR="00CD37C6">
        <w:rPr>
          <w:spacing w:val="-2"/>
        </w:rPr>
        <w:t xml:space="preserve"> </w:t>
      </w:r>
      <w:r>
        <w:rPr>
          <w:spacing w:val="-2"/>
        </w:rPr>
        <w:t>of</w:t>
      </w:r>
      <w:r w:rsidR="00CD37C6">
        <w:rPr>
          <w:spacing w:val="-2"/>
        </w:rPr>
        <w:t xml:space="preserve"> </w:t>
      </w:r>
      <w:r>
        <w:rPr>
          <w:spacing w:val="-2"/>
        </w:rPr>
        <w:t>these</w:t>
      </w:r>
      <w:r w:rsidR="00CD37C6">
        <w:rPr>
          <w:spacing w:val="-2"/>
        </w:rPr>
        <w:t xml:space="preserve"> </w:t>
      </w:r>
      <w:r>
        <w:rPr>
          <w:spacing w:val="-2"/>
        </w:rPr>
        <w:t>investments.</w:t>
      </w:r>
    </w:p>
    <w:p w14:paraId="4D51BBEF" w14:textId="40B9F506" w:rsidR="009F127E" w:rsidRDefault="00000000" w:rsidP="008E4EA4">
      <w:pPr>
        <w:pStyle w:val="Bullet"/>
      </w:pPr>
      <w:r>
        <w:t>Investment</w:t>
      </w:r>
      <w:r w:rsidR="00CD37C6">
        <w:t xml:space="preserve"> </w:t>
      </w:r>
      <w:r>
        <w:t>by</w:t>
      </w:r>
      <w:r w:rsidR="00CD37C6">
        <w:t xml:space="preserve"> </w:t>
      </w:r>
      <w:r>
        <w:t>the</w:t>
      </w:r>
      <w:r w:rsidR="00CD37C6">
        <w:t xml:space="preserve"> </w:t>
      </w:r>
      <w:r>
        <w:t>SCF</w:t>
      </w:r>
      <w:r w:rsidR="00CD37C6">
        <w:t xml:space="preserve"> </w:t>
      </w:r>
      <w:r>
        <w:t>provides</w:t>
      </w:r>
      <w:r w:rsidR="00CD37C6">
        <w:t xml:space="preserve"> </w:t>
      </w:r>
      <w:r>
        <w:t>value</w:t>
      </w:r>
      <w:r w:rsidR="00CD37C6">
        <w:t xml:space="preserve"> </w:t>
      </w:r>
      <w:r>
        <w:t>for</w:t>
      </w:r>
      <w:r w:rsidR="00CD37C6">
        <w:t xml:space="preserve"> </w:t>
      </w:r>
      <w:r>
        <w:t>money</w:t>
      </w:r>
      <w:r w:rsidR="00CD37C6">
        <w:t xml:space="preserve"> </w:t>
      </w:r>
      <w:r>
        <w:t>and</w:t>
      </w:r>
      <w:r w:rsidR="00CD37C6">
        <w:t xml:space="preserve"> </w:t>
      </w:r>
      <w:r>
        <w:t>actively</w:t>
      </w:r>
      <w:r w:rsidR="00CD37C6">
        <w:t xml:space="preserve"> </w:t>
      </w:r>
      <w:r>
        <w:t>mitigates</w:t>
      </w:r>
      <w:r w:rsidR="00CD37C6">
        <w:t xml:space="preserve"> </w:t>
      </w:r>
      <w:r>
        <w:t>risks</w:t>
      </w:r>
      <w:r w:rsidR="00CD37C6">
        <w:t xml:space="preserve"> </w:t>
      </w:r>
      <w:r>
        <w:t>of</w:t>
      </w:r>
      <w:r w:rsidR="00CD37C6">
        <w:t xml:space="preserve"> </w:t>
      </w:r>
      <w:r>
        <w:t>disease.</w:t>
      </w:r>
    </w:p>
    <w:p w14:paraId="53A39BFC" w14:textId="27251325" w:rsidR="009F127E" w:rsidRDefault="00000000" w:rsidP="009B4482">
      <w:pPr>
        <w:pStyle w:val="Bulletlast"/>
      </w:pPr>
      <w:r>
        <w:t>Vigilant</w:t>
      </w:r>
      <w:r w:rsidR="00CD37C6">
        <w:t xml:space="preserve"> </w:t>
      </w:r>
      <w:r>
        <w:t>about</w:t>
      </w:r>
      <w:r w:rsidR="00CD37C6">
        <w:t xml:space="preserve"> </w:t>
      </w:r>
      <w:r>
        <w:t>biosecurity</w:t>
      </w:r>
      <w:r w:rsidR="00CD37C6">
        <w:t xml:space="preserve"> </w:t>
      </w:r>
      <w:r>
        <w:t>risks</w:t>
      </w:r>
      <w:r w:rsidR="00CD37C6">
        <w:t xml:space="preserve"> </w:t>
      </w:r>
      <w:r>
        <w:t>and</w:t>
      </w:r>
      <w:r w:rsidR="00CD37C6">
        <w:t xml:space="preserve"> </w:t>
      </w:r>
      <w:r>
        <w:t>proactive</w:t>
      </w:r>
      <w:r w:rsidR="00CD37C6">
        <w:t xml:space="preserve"> </w:t>
      </w:r>
      <w:r>
        <w:t>engagement</w:t>
      </w:r>
      <w:r w:rsidR="00CD37C6">
        <w:t xml:space="preserve"> </w:t>
      </w:r>
      <w:r>
        <w:t>through</w:t>
      </w:r>
      <w:r w:rsidR="00CD37C6">
        <w:t xml:space="preserve"> </w:t>
      </w:r>
      <w:r>
        <w:t>active</w:t>
      </w:r>
      <w:r w:rsidR="00CD37C6">
        <w:t xml:space="preserve"> </w:t>
      </w:r>
      <w:r>
        <w:t>purchasing</w:t>
      </w:r>
      <w:r w:rsidR="00CD37C6">
        <w:t xml:space="preserve"> </w:t>
      </w:r>
      <w:r>
        <w:t>of</w:t>
      </w:r>
      <w:r w:rsidR="00CD37C6">
        <w:t xml:space="preserve"> </w:t>
      </w:r>
      <w:r>
        <w:t>Victorian</w:t>
      </w:r>
      <w:r w:rsidR="00CD37C6">
        <w:t xml:space="preserve"> </w:t>
      </w:r>
      <w:r>
        <w:t>pork</w:t>
      </w:r>
      <w:r w:rsidR="00CD37C6">
        <w:t xml:space="preserve"> </w:t>
      </w:r>
      <w:r>
        <w:t>products.</w:t>
      </w:r>
      <w:r w:rsidR="00CD37C6">
        <w:t xml:space="preserve"> </w:t>
      </w:r>
    </w:p>
    <w:p w14:paraId="1C1787F7" w14:textId="3E22999F" w:rsidR="009F127E" w:rsidRPr="009B4482" w:rsidRDefault="00000000" w:rsidP="009B4482">
      <w:pPr>
        <w:pStyle w:val="Normalbeforebullet"/>
        <w:rPr>
          <w:b/>
          <w:bCs/>
        </w:rPr>
      </w:pPr>
      <w:r w:rsidRPr="009B4482">
        <w:rPr>
          <w:b/>
          <w:bCs/>
        </w:rPr>
        <w:t>Long-term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outcomes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(10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+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years)</w:t>
      </w:r>
    </w:p>
    <w:p w14:paraId="4DC7C235" w14:textId="2FE20AC9" w:rsidR="009F127E" w:rsidRDefault="00000000" w:rsidP="008E4EA4">
      <w:pPr>
        <w:pStyle w:val="Bullet"/>
      </w:pPr>
      <w:r>
        <w:t>Improved</w:t>
      </w:r>
      <w:r w:rsidR="00CD37C6">
        <w:t xml:space="preserve"> </w:t>
      </w:r>
      <w:r>
        <w:t>animal</w:t>
      </w:r>
      <w:r w:rsidR="00CD37C6">
        <w:t xml:space="preserve"> </w:t>
      </w:r>
      <w:r>
        <w:t>health.</w:t>
      </w:r>
    </w:p>
    <w:p w14:paraId="03723CEE" w14:textId="4D1A858F" w:rsidR="009F127E" w:rsidRDefault="00000000" w:rsidP="008E4EA4">
      <w:pPr>
        <w:pStyle w:val="Bullet"/>
      </w:pPr>
      <w:r>
        <w:t>Long</w:t>
      </w:r>
      <w:r w:rsidR="00CD37C6">
        <w:t xml:space="preserve"> </w:t>
      </w:r>
      <w:r>
        <w:t>term</w:t>
      </w:r>
      <w:r w:rsidR="00CD37C6">
        <w:t xml:space="preserve"> </w:t>
      </w:r>
      <w:r>
        <w:t>sustainability</w:t>
      </w:r>
      <w:r w:rsidR="00CD37C6">
        <w:t xml:space="preserve"> </w:t>
      </w:r>
      <w:r>
        <w:t>and</w:t>
      </w:r>
      <w:r w:rsidR="00CD37C6">
        <w:t xml:space="preserve"> </w:t>
      </w:r>
      <w:r>
        <w:t>productivity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pig</w:t>
      </w:r>
      <w:r w:rsidR="00CD37C6">
        <w:t xml:space="preserve"> </w:t>
      </w:r>
      <w:r>
        <w:t>industry</w:t>
      </w:r>
      <w:r w:rsidR="00CD37C6">
        <w:t xml:space="preserve"> </w:t>
      </w:r>
      <w:r>
        <w:t>in</w:t>
      </w:r>
      <w:r w:rsidR="00CD37C6">
        <w:t xml:space="preserve"> </w:t>
      </w:r>
      <w:r>
        <w:t>Victoria.</w:t>
      </w:r>
    </w:p>
    <w:p w14:paraId="5098297D" w14:textId="297F1A63" w:rsidR="009F127E" w:rsidRDefault="00000000" w:rsidP="008E4EA4">
      <w:pPr>
        <w:pStyle w:val="Bullet"/>
      </w:pPr>
      <w:r>
        <w:t>Proactive</w:t>
      </w:r>
      <w:r w:rsidR="00CD37C6">
        <w:t xml:space="preserve"> </w:t>
      </w:r>
      <w:r>
        <w:t>approaches</w:t>
      </w:r>
      <w:r w:rsidR="00CD37C6">
        <w:t xml:space="preserve"> </w:t>
      </w:r>
      <w:r>
        <w:t>used</w:t>
      </w:r>
      <w:r w:rsidR="00CD37C6">
        <w:t xml:space="preserve"> </w:t>
      </w:r>
      <w:r>
        <w:t>to</w:t>
      </w:r>
      <w:r w:rsidR="00CD37C6">
        <w:t xml:space="preserve"> </w:t>
      </w:r>
      <w:r>
        <w:t>detect</w:t>
      </w:r>
      <w:r w:rsidR="00CD37C6">
        <w:t xml:space="preserve"> </w:t>
      </w:r>
      <w:r>
        <w:t>and</w:t>
      </w:r>
      <w:r w:rsidR="00CD37C6">
        <w:t xml:space="preserve"> </w:t>
      </w:r>
      <w:r>
        <w:t>manage</w:t>
      </w:r>
      <w:r w:rsidR="00CD37C6">
        <w:t xml:space="preserve"> </w:t>
      </w:r>
      <w:r>
        <w:t>swine</w:t>
      </w:r>
      <w:r w:rsidR="00CD37C6">
        <w:t xml:space="preserve"> </w:t>
      </w:r>
      <w:r>
        <w:t>disease.</w:t>
      </w:r>
    </w:p>
    <w:p w14:paraId="787C6EA2" w14:textId="1944880E" w:rsidR="009F127E" w:rsidRDefault="00000000" w:rsidP="008E4EA4">
      <w:pPr>
        <w:pStyle w:val="Bullet"/>
      </w:pPr>
      <w:r>
        <w:rPr>
          <w:spacing w:val="-2"/>
        </w:rPr>
        <w:t>Strong</w:t>
      </w:r>
      <w:r w:rsidR="00CD37C6">
        <w:rPr>
          <w:spacing w:val="-2"/>
        </w:rPr>
        <w:t xml:space="preserve"> </w:t>
      </w:r>
      <w:r>
        <w:rPr>
          <w:spacing w:val="-2"/>
        </w:rPr>
        <w:t>capability</w:t>
      </w:r>
      <w:r w:rsidR="00CD37C6">
        <w:rPr>
          <w:spacing w:val="-2"/>
        </w:rPr>
        <w:t xml:space="preserve"> </w:t>
      </w:r>
      <w:r>
        <w:rPr>
          <w:spacing w:val="-2"/>
        </w:rPr>
        <w:t>of</w:t>
      </w:r>
      <w:r w:rsidR="00CD37C6">
        <w:rPr>
          <w:spacing w:val="-2"/>
        </w:rPr>
        <w:t xml:space="preserve"> </w:t>
      </w:r>
      <w:r>
        <w:rPr>
          <w:spacing w:val="-2"/>
        </w:rPr>
        <w:t>government</w:t>
      </w:r>
      <w:r w:rsidR="00CD37C6">
        <w:rPr>
          <w:spacing w:val="-2"/>
        </w:rPr>
        <w:t xml:space="preserve"> </w:t>
      </w:r>
      <w:r>
        <w:rPr>
          <w:spacing w:val="-2"/>
        </w:rPr>
        <w:t>and</w:t>
      </w:r>
      <w:r w:rsidR="00CD37C6">
        <w:rPr>
          <w:spacing w:val="-2"/>
        </w:rPr>
        <w:t xml:space="preserve"> </w:t>
      </w:r>
      <w:r>
        <w:rPr>
          <w:spacing w:val="-2"/>
        </w:rPr>
        <w:t>industry</w:t>
      </w:r>
      <w:r w:rsidR="00CD37C6">
        <w:rPr>
          <w:spacing w:val="-2"/>
        </w:rPr>
        <w:t xml:space="preserve"> </w:t>
      </w:r>
      <w:r>
        <w:t>to</w:t>
      </w:r>
      <w:r w:rsidR="00CD37C6">
        <w:t xml:space="preserve"> </w:t>
      </w:r>
      <w:r>
        <w:t>effectively</w:t>
      </w:r>
      <w:r w:rsidR="00CD37C6">
        <w:t xml:space="preserve"> </w:t>
      </w:r>
      <w:r>
        <w:t>respond</w:t>
      </w:r>
      <w:r w:rsidR="00CD37C6">
        <w:t xml:space="preserve"> </w:t>
      </w:r>
      <w:r>
        <w:t>to</w:t>
      </w:r>
      <w:r w:rsidR="00CD37C6">
        <w:t xml:space="preserve"> </w:t>
      </w:r>
      <w:r>
        <w:t>outbreaks.</w:t>
      </w:r>
    </w:p>
    <w:p w14:paraId="58AD2EF7" w14:textId="6F8C787E" w:rsidR="009F127E" w:rsidRDefault="00000000" w:rsidP="008E4EA4">
      <w:pPr>
        <w:pStyle w:val="Bullet"/>
      </w:pPr>
      <w:r>
        <w:t>Strong</w:t>
      </w:r>
      <w:r w:rsidR="00CD37C6">
        <w:t xml:space="preserve"> </w:t>
      </w:r>
      <w:r>
        <w:t>homeland</w:t>
      </w:r>
      <w:r w:rsidR="00CD37C6">
        <w:t xml:space="preserve"> </w:t>
      </w:r>
      <w:r>
        <w:t>biosecurity.</w:t>
      </w:r>
    </w:p>
    <w:p w14:paraId="06EFAC26" w14:textId="596CBC04" w:rsidR="009F127E" w:rsidRDefault="00000000" w:rsidP="008E4EA4">
      <w:pPr>
        <w:pStyle w:val="Bullet"/>
      </w:pPr>
      <w:r>
        <w:t>Sound</w:t>
      </w:r>
      <w:r w:rsidR="00CD37C6">
        <w:t xml:space="preserve"> </w:t>
      </w:r>
      <w:r>
        <w:t>understanding</w:t>
      </w:r>
      <w:r w:rsidR="00CD37C6">
        <w:t xml:space="preserve"> </w:t>
      </w:r>
      <w:r>
        <w:t>of</w:t>
      </w:r>
      <w:r w:rsidR="00CD37C6">
        <w:t xml:space="preserve"> </w:t>
      </w:r>
      <w:r>
        <w:t>disease</w:t>
      </w:r>
      <w:r w:rsidR="00CD37C6">
        <w:t xml:space="preserve"> </w:t>
      </w:r>
      <w:r>
        <w:t>within</w:t>
      </w:r>
      <w:r w:rsidR="00CD37C6">
        <w:t xml:space="preserve"> </w:t>
      </w:r>
      <w:r>
        <w:t>herds</w:t>
      </w:r>
      <w:r w:rsidR="00CD37C6">
        <w:t xml:space="preserve"> </w:t>
      </w:r>
      <w:r>
        <w:t>and</w:t>
      </w:r>
      <w:r w:rsidR="00CD37C6">
        <w:t xml:space="preserve"> </w:t>
      </w:r>
      <w:r>
        <w:t>the</w:t>
      </w:r>
      <w:r w:rsidR="00CD37C6">
        <w:t xml:space="preserve"> </w:t>
      </w:r>
      <w:r>
        <w:t>feral</w:t>
      </w:r>
      <w:r w:rsidR="00CD37C6">
        <w:t xml:space="preserve"> </w:t>
      </w:r>
      <w:r>
        <w:t>pig</w:t>
      </w:r>
      <w:r w:rsidR="00CD37C6">
        <w:t xml:space="preserve"> </w:t>
      </w:r>
      <w:r>
        <w:t>population.</w:t>
      </w:r>
    </w:p>
    <w:p w14:paraId="33ABEF4B" w14:textId="54CCB90B" w:rsidR="009F127E" w:rsidRDefault="00000000" w:rsidP="008E4EA4">
      <w:pPr>
        <w:pStyle w:val="Bulletlast"/>
      </w:pPr>
      <w:r>
        <w:t>Improved</w:t>
      </w:r>
      <w:r w:rsidR="00CD37C6">
        <w:t xml:space="preserve"> </w:t>
      </w:r>
      <w:r>
        <w:t>awareness</w:t>
      </w:r>
      <w:r w:rsidR="00CD37C6">
        <w:t xml:space="preserve"> </w:t>
      </w:r>
      <w:r>
        <w:t>and</w:t>
      </w:r>
      <w:r w:rsidR="00CD37C6">
        <w:t xml:space="preserve"> </w:t>
      </w:r>
      <w:r>
        <w:t>understanding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benefits</w:t>
      </w:r>
      <w:r w:rsidR="00CD37C6">
        <w:t xml:space="preserve"> </w:t>
      </w:r>
      <w:r>
        <w:t>of</w:t>
      </w:r>
      <w:r w:rsidR="00CD37C6">
        <w:t xml:space="preserve"> </w:t>
      </w:r>
      <w:r>
        <w:t>the</w:t>
      </w:r>
      <w:r w:rsidR="00CD37C6">
        <w:t xml:space="preserve"> </w:t>
      </w:r>
      <w:r>
        <w:t>pig</w:t>
      </w:r>
      <w:r w:rsidR="00CD37C6">
        <w:t xml:space="preserve"> </w:t>
      </w:r>
      <w:r>
        <w:t>industry.</w:t>
      </w:r>
    </w:p>
    <w:p w14:paraId="5741EFF5" w14:textId="6B52DE33" w:rsidR="009F127E" w:rsidRDefault="00000000" w:rsidP="008E4EA4">
      <w:pPr>
        <w:pStyle w:val="Heading3"/>
      </w:pPr>
      <w:bookmarkStart w:id="15" w:name="_Toc116548273"/>
      <w:r>
        <w:t>APPENDIX</w:t>
      </w:r>
      <w:r w:rsidR="00CD37C6">
        <w:t xml:space="preserve"> </w:t>
      </w:r>
      <w:r>
        <w:t>4</w:t>
      </w:r>
      <w:r w:rsidR="00CD37C6">
        <w:t xml:space="preserve"> </w:t>
      </w:r>
      <w:r>
        <w:t>–</w:t>
      </w:r>
      <w:r w:rsidR="00CD37C6">
        <w:t xml:space="preserve"> </w:t>
      </w:r>
      <w:r>
        <w:t>STATEMENT</w:t>
      </w:r>
      <w:r w:rsidR="00CD37C6">
        <w:t xml:space="preserve"> </w:t>
      </w:r>
      <w:r>
        <w:t>OF</w:t>
      </w:r>
      <w:r w:rsidR="00CD37C6">
        <w:t xml:space="preserve"> </w:t>
      </w:r>
      <w:r>
        <w:t>STRATEGIC</w:t>
      </w:r>
      <w:r w:rsidR="00CD37C6">
        <w:t xml:space="preserve"> </w:t>
      </w:r>
      <w:r>
        <w:t>INTENT</w:t>
      </w:r>
      <w:r w:rsidR="00CD37C6">
        <w:t xml:space="preserve"> </w:t>
      </w:r>
      <w:r>
        <w:t>FOR</w:t>
      </w:r>
      <w:r w:rsidR="00CD37C6">
        <w:t xml:space="preserve"> </w:t>
      </w:r>
      <w:r>
        <w:t>THE</w:t>
      </w:r>
      <w:r w:rsidR="00CD37C6">
        <w:t xml:space="preserve"> </w:t>
      </w:r>
      <w:proofErr w:type="gramStart"/>
      <w:r>
        <w:t>HONEY</w:t>
      </w:r>
      <w:r w:rsidR="00CD37C6">
        <w:t xml:space="preserve"> </w:t>
      </w:r>
      <w:r>
        <w:t>BEE</w:t>
      </w:r>
      <w:proofErr w:type="gramEnd"/>
      <w:r w:rsidR="00CD37C6">
        <w:t xml:space="preserve"> </w:t>
      </w:r>
      <w:r>
        <w:t>COMPENSATION</w:t>
      </w:r>
      <w:r w:rsidR="00CD37C6">
        <w:t xml:space="preserve"> </w:t>
      </w:r>
      <w:r>
        <w:t>AND</w:t>
      </w:r>
      <w:r w:rsidR="00CD37C6">
        <w:t xml:space="preserve"> </w:t>
      </w:r>
      <w:r>
        <w:t>INDUSTRY</w:t>
      </w:r>
      <w:r w:rsidR="009B4482">
        <w:t xml:space="preserve"> </w:t>
      </w:r>
      <w:r>
        <w:t>DEVELOPMENT</w:t>
      </w:r>
      <w:r w:rsidR="00CD37C6">
        <w:t xml:space="preserve"> </w:t>
      </w:r>
      <w:r>
        <w:t>FUND</w:t>
      </w:r>
      <w:bookmarkEnd w:id="15"/>
    </w:p>
    <w:p w14:paraId="179F77ED" w14:textId="7E579C46" w:rsidR="009F127E" w:rsidRPr="009B4482" w:rsidRDefault="00000000" w:rsidP="009B4482">
      <w:pPr>
        <w:pStyle w:val="Normalbeforebullet"/>
        <w:rPr>
          <w:b/>
          <w:bCs/>
        </w:rPr>
      </w:pPr>
      <w:r w:rsidRPr="009B4482">
        <w:rPr>
          <w:b/>
          <w:bCs/>
        </w:rPr>
        <w:t>Focus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areas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for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investment</w:t>
      </w:r>
    </w:p>
    <w:p w14:paraId="5BC8847B" w14:textId="46814ED5" w:rsidR="009F127E" w:rsidRDefault="00000000" w:rsidP="008E4EA4">
      <w:pPr>
        <w:pStyle w:val="Bullet"/>
      </w:pPr>
      <w:r>
        <w:t>Research</w:t>
      </w:r>
      <w:r w:rsidR="00CD37C6">
        <w:t xml:space="preserve"> </w:t>
      </w:r>
      <w:r>
        <w:t>and</w:t>
      </w:r>
      <w:r w:rsidR="00CD37C6">
        <w:t xml:space="preserve"> </w:t>
      </w:r>
      <w:r>
        <w:t>Development:</w:t>
      </w:r>
    </w:p>
    <w:p w14:paraId="368F442B" w14:textId="513209DE" w:rsidR="009F127E" w:rsidRDefault="00000000">
      <w:pPr>
        <w:pStyle w:val="Bullet2"/>
      </w:pPr>
      <w:r>
        <w:t>development</w:t>
      </w:r>
      <w:r w:rsidR="00CD37C6">
        <w:t xml:space="preserve"> </w:t>
      </w:r>
      <w:r>
        <w:t>of</w:t>
      </w:r>
      <w:r w:rsidR="00CD37C6">
        <w:t xml:space="preserve"> </w:t>
      </w:r>
      <w:r>
        <w:t>innovative</w:t>
      </w:r>
      <w:r w:rsidR="00CD37C6">
        <w:t xml:space="preserve"> </w:t>
      </w:r>
      <w:r>
        <w:t>control</w:t>
      </w:r>
      <w:r w:rsidR="00CD37C6">
        <w:t xml:space="preserve"> </w:t>
      </w:r>
      <w:r>
        <w:t>techniques</w:t>
      </w:r>
      <w:r w:rsidR="00CD37C6">
        <w:t xml:space="preserve"> </w:t>
      </w:r>
      <w:r>
        <w:t>to</w:t>
      </w:r>
      <w:r w:rsidR="00CD37C6">
        <w:t xml:space="preserve"> </w:t>
      </w:r>
      <w:r>
        <w:t>prevent</w:t>
      </w:r>
      <w:r w:rsidR="00CD37C6">
        <w:t xml:space="preserve"> </w:t>
      </w:r>
      <w:r>
        <w:t>and</w:t>
      </w:r>
      <w:r w:rsidR="00CD37C6">
        <w:t xml:space="preserve"> </w:t>
      </w:r>
      <w:r>
        <w:t>manage</w:t>
      </w:r>
      <w:r w:rsidR="00CD37C6">
        <w:t xml:space="preserve"> </w:t>
      </w:r>
      <w:r>
        <w:t>AFB</w:t>
      </w:r>
    </w:p>
    <w:p w14:paraId="3136E529" w14:textId="7A9E8162" w:rsidR="009F127E" w:rsidRDefault="00000000">
      <w:pPr>
        <w:pStyle w:val="Bullet2"/>
      </w:pPr>
      <w:r>
        <w:t>nutrition</w:t>
      </w:r>
      <w:r w:rsidR="00CD37C6">
        <w:t xml:space="preserve"> </w:t>
      </w:r>
      <w:r>
        <w:t>and</w:t>
      </w:r>
      <w:r w:rsidR="00CD37C6">
        <w:t xml:space="preserve"> </w:t>
      </w:r>
      <w:r>
        <w:t>AFB</w:t>
      </w:r>
      <w:r w:rsidR="00CD37C6">
        <w:t xml:space="preserve"> </w:t>
      </w:r>
      <w:r>
        <w:t>genetic</w:t>
      </w:r>
      <w:r w:rsidR="00CD37C6">
        <w:t xml:space="preserve"> </w:t>
      </w:r>
      <w:r>
        <w:t>breeding</w:t>
      </w:r>
      <w:r w:rsidR="00CD37C6">
        <w:t xml:space="preserve"> </w:t>
      </w:r>
      <w:r>
        <w:t>programs</w:t>
      </w:r>
    </w:p>
    <w:p w14:paraId="220230EF" w14:textId="4A13E819" w:rsidR="009F127E" w:rsidRDefault="00000000">
      <w:pPr>
        <w:pStyle w:val="Bullet2"/>
      </w:pPr>
      <w:r>
        <w:t>benchmarking</w:t>
      </w:r>
      <w:r w:rsidR="00CD37C6">
        <w:t xml:space="preserve"> </w:t>
      </w:r>
      <w:r>
        <w:t>against</w:t>
      </w:r>
      <w:r w:rsidR="00CD37C6">
        <w:t xml:space="preserve"> </w:t>
      </w:r>
      <w:r>
        <w:t>national</w:t>
      </w:r>
      <w:r w:rsidR="00CD37C6">
        <w:t xml:space="preserve"> </w:t>
      </w:r>
      <w:r>
        <w:t>and</w:t>
      </w:r>
      <w:r w:rsidR="00CD37C6">
        <w:t xml:space="preserve"> </w:t>
      </w:r>
      <w:r>
        <w:t>international</w:t>
      </w:r>
      <w:r w:rsidR="00CD37C6">
        <w:t xml:space="preserve"> </w:t>
      </w:r>
      <w:r>
        <w:t>AFB</w:t>
      </w:r>
      <w:r w:rsidR="00CD37C6">
        <w:t xml:space="preserve"> </w:t>
      </w:r>
      <w:r>
        <w:t>standards.</w:t>
      </w:r>
    </w:p>
    <w:p w14:paraId="491C0EE6" w14:textId="0C587CBE" w:rsidR="009F127E" w:rsidRDefault="00000000" w:rsidP="008E4EA4">
      <w:pPr>
        <w:pStyle w:val="Bullet"/>
      </w:pPr>
      <w:r>
        <w:t>Assistance</w:t>
      </w:r>
      <w:r w:rsidR="00CD37C6">
        <w:t xml:space="preserve"> </w:t>
      </w:r>
      <w:r>
        <w:t>to</w:t>
      </w:r>
      <w:r w:rsidR="00CD37C6">
        <w:t xml:space="preserve"> </w:t>
      </w:r>
      <w:r>
        <w:t>beekeepers</w:t>
      </w:r>
      <w:r w:rsidR="00CD37C6">
        <w:t xml:space="preserve"> </w:t>
      </w:r>
      <w:r>
        <w:t>in</w:t>
      </w:r>
      <w:r w:rsidR="00CD37C6">
        <w:t xml:space="preserve"> </w:t>
      </w:r>
      <w:r>
        <w:t>relation</w:t>
      </w:r>
      <w:r w:rsidR="00CD37C6">
        <w:t xml:space="preserve"> </w:t>
      </w:r>
      <w:r>
        <w:t>to:</w:t>
      </w:r>
    </w:p>
    <w:p w14:paraId="547471BC" w14:textId="56F46A86" w:rsidR="009F127E" w:rsidRDefault="00000000">
      <w:pPr>
        <w:pStyle w:val="Bullet2"/>
      </w:pPr>
      <w:r>
        <w:t>building</w:t>
      </w:r>
      <w:r w:rsidR="00CD37C6">
        <w:t xml:space="preserve"> </w:t>
      </w:r>
      <w:proofErr w:type="gramStart"/>
      <w:r>
        <w:t>honey</w:t>
      </w:r>
      <w:r w:rsidR="00CD37C6">
        <w:t xml:space="preserve"> </w:t>
      </w:r>
      <w:r>
        <w:t>bee</w:t>
      </w:r>
      <w:proofErr w:type="gramEnd"/>
      <w:r w:rsidR="00CD37C6">
        <w:t xml:space="preserve"> </w:t>
      </w:r>
      <w:r>
        <w:t>resistance</w:t>
      </w:r>
      <w:r w:rsidR="00CD37C6">
        <w:t xml:space="preserve"> </w:t>
      </w:r>
      <w:r>
        <w:t>to</w:t>
      </w:r>
      <w:r w:rsidR="00CD37C6">
        <w:t xml:space="preserve"> </w:t>
      </w:r>
      <w:r>
        <w:t>AFB</w:t>
      </w:r>
    </w:p>
    <w:p w14:paraId="123C0D85" w14:textId="41712D08" w:rsidR="009F127E" w:rsidRDefault="00000000">
      <w:pPr>
        <w:pStyle w:val="Bullet2"/>
      </w:pPr>
      <w:r>
        <w:t>understanding</w:t>
      </w:r>
      <w:r w:rsidR="00CD37C6">
        <w:t xml:space="preserve"> </w:t>
      </w:r>
      <w:r>
        <w:t>of</w:t>
      </w:r>
      <w:r w:rsidR="00CD37C6">
        <w:t xml:space="preserve"> </w:t>
      </w:r>
      <w:r>
        <w:t>supplementary</w:t>
      </w:r>
      <w:r w:rsidR="00CD37C6">
        <w:t xml:space="preserve"> </w:t>
      </w:r>
      <w:r>
        <w:t>feeding</w:t>
      </w:r>
      <w:r w:rsidR="00CD37C6">
        <w:t xml:space="preserve"> </w:t>
      </w:r>
      <w:r>
        <w:t>of</w:t>
      </w:r>
      <w:r w:rsidR="00CD37C6">
        <w:t xml:space="preserve"> </w:t>
      </w:r>
      <w:r>
        <w:t>bees/husbandry</w:t>
      </w:r>
      <w:r w:rsidR="00CD37C6">
        <w:t xml:space="preserve"> </w:t>
      </w:r>
      <w:r>
        <w:t>practices</w:t>
      </w:r>
      <w:r w:rsidR="00CD37C6">
        <w:t xml:space="preserve"> </w:t>
      </w:r>
      <w:r>
        <w:t>to</w:t>
      </w:r>
      <w:r w:rsidR="00CD37C6">
        <w:t xml:space="preserve"> </w:t>
      </w:r>
      <w:r>
        <w:t>maintain</w:t>
      </w:r>
      <w:r w:rsidR="00CD37C6">
        <w:t xml:space="preserve"> </w:t>
      </w:r>
      <w:r>
        <w:t>healthy</w:t>
      </w:r>
      <w:r w:rsidR="00CD37C6">
        <w:t xml:space="preserve"> </w:t>
      </w:r>
      <w:proofErr w:type="gramStart"/>
      <w:r>
        <w:t>honey</w:t>
      </w:r>
      <w:r w:rsidR="00CD37C6">
        <w:t xml:space="preserve"> </w:t>
      </w:r>
      <w:r>
        <w:t>bee</w:t>
      </w:r>
      <w:proofErr w:type="gramEnd"/>
      <w:r w:rsidR="00CD37C6">
        <w:t xml:space="preserve"> </w:t>
      </w:r>
      <w:r>
        <w:t>pollination</w:t>
      </w:r>
      <w:r w:rsidR="00CD37C6">
        <w:t xml:space="preserve"> </w:t>
      </w:r>
      <w:r>
        <w:t>stocks</w:t>
      </w:r>
    </w:p>
    <w:p w14:paraId="24DF6117" w14:textId="1C70DF37" w:rsidR="009F127E" w:rsidRDefault="00000000" w:rsidP="009B4482">
      <w:pPr>
        <w:pStyle w:val="Bullet2"/>
        <w:spacing w:after="200"/>
        <w:ind w:left="568" w:hanging="284"/>
      </w:pPr>
      <w:r>
        <w:t>improving</w:t>
      </w:r>
      <w:r w:rsidR="00CD37C6">
        <w:t xml:space="preserve"> </w:t>
      </w:r>
      <w:proofErr w:type="gramStart"/>
      <w:r>
        <w:t>bee</w:t>
      </w:r>
      <w:r w:rsidR="00CD37C6">
        <w:t xml:space="preserve"> </w:t>
      </w:r>
      <w:r>
        <w:t>keeper</w:t>
      </w:r>
      <w:proofErr w:type="gramEnd"/>
      <w:r w:rsidR="00CD37C6">
        <w:t xml:space="preserve"> </w:t>
      </w:r>
      <w:r>
        <w:t>competency</w:t>
      </w:r>
      <w:r w:rsidR="00CD37C6">
        <w:t xml:space="preserve"> </w:t>
      </w:r>
      <w:r>
        <w:t>through</w:t>
      </w:r>
      <w:r w:rsidR="00CD37C6">
        <w:t xml:space="preserve"> </w:t>
      </w:r>
      <w:r>
        <w:t>initiatives</w:t>
      </w:r>
      <w:r w:rsidR="00CD37C6">
        <w:t xml:space="preserve"> </w:t>
      </w:r>
      <w:r>
        <w:t>such</w:t>
      </w:r>
      <w:r w:rsidR="00CD37C6">
        <w:t xml:space="preserve"> </w:t>
      </w:r>
      <w:r>
        <w:t>as</w:t>
      </w:r>
      <w:r w:rsidR="00CD37C6">
        <w:t xml:space="preserve"> </w:t>
      </w:r>
      <w:r>
        <w:t>education,</w:t>
      </w:r>
      <w:r w:rsidR="00CD37C6">
        <w:t xml:space="preserve"> </w:t>
      </w:r>
      <w:r>
        <w:t>awareness,</w:t>
      </w:r>
      <w:r w:rsidR="00CD37C6">
        <w:t xml:space="preserve"> </w:t>
      </w:r>
      <w:r>
        <w:t>disease</w:t>
      </w:r>
      <w:r w:rsidR="00CD37C6">
        <w:t xml:space="preserve"> </w:t>
      </w:r>
      <w:r>
        <w:t>treatment</w:t>
      </w:r>
      <w:r w:rsidR="00CD37C6">
        <w:t xml:space="preserve"> </w:t>
      </w:r>
      <w:r>
        <w:t>and</w:t>
      </w:r>
      <w:r w:rsidR="00CD37C6">
        <w:t xml:space="preserve"> </w:t>
      </w:r>
      <w:r>
        <w:t>management</w:t>
      </w:r>
      <w:r w:rsidR="00CD37C6">
        <w:t xml:space="preserve"> </w:t>
      </w:r>
      <w:r>
        <w:t>and</w:t>
      </w:r>
      <w:r w:rsidR="00CD37C6">
        <w:t xml:space="preserve"> </w:t>
      </w:r>
      <w:r>
        <w:t>training.</w:t>
      </w:r>
    </w:p>
    <w:p w14:paraId="289C648E" w14:textId="786D2B9F" w:rsidR="009F127E" w:rsidRPr="009B4482" w:rsidRDefault="00000000" w:rsidP="009B4482">
      <w:pPr>
        <w:pStyle w:val="Normalbeforebullet"/>
        <w:rPr>
          <w:b/>
          <w:bCs/>
        </w:rPr>
      </w:pPr>
      <w:r w:rsidRPr="009B4482">
        <w:rPr>
          <w:b/>
          <w:bCs/>
        </w:rPr>
        <w:t>Medium-term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outcomes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(3-5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years)</w:t>
      </w:r>
    </w:p>
    <w:p w14:paraId="12CA7414" w14:textId="3CA233A9" w:rsidR="009F127E" w:rsidRDefault="00000000" w:rsidP="008E4EA4">
      <w:pPr>
        <w:pStyle w:val="Bulletlast"/>
      </w:pPr>
      <w:proofErr w:type="gramStart"/>
      <w:r>
        <w:t>Bee</w:t>
      </w:r>
      <w:r w:rsidR="00CD37C6">
        <w:t xml:space="preserve"> </w:t>
      </w:r>
      <w:r>
        <w:t>keepers</w:t>
      </w:r>
      <w:proofErr w:type="gramEnd"/>
      <w:r w:rsidR="00CD37C6">
        <w:t xml:space="preserve"> </w:t>
      </w:r>
      <w:r>
        <w:t>are</w:t>
      </w:r>
      <w:r w:rsidR="00CD37C6">
        <w:t xml:space="preserve"> </w:t>
      </w:r>
      <w:r>
        <w:t>accurately</w:t>
      </w:r>
      <w:r w:rsidR="00CD37C6">
        <w:t xml:space="preserve"> </w:t>
      </w:r>
      <w:r>
        <w:t>identifying</w:t>
      </w:r>
      <w:r w:rsidR="00CD37C6">
        <w:t xml:space="preserve"> </w:t>
      </w:r>
      <w:r>
        <w:t>and</w:t>
      </w:r>
      <w:r w:rsidR="00CD37C6">
        <w:t xml:space="preserve"> </w:t>
      </w:r>
      <w:r>
        <w:t>reporting</w:t>
      </w:r>
      <w:r w:rsidR="00CD37C6">
        <w:t xml:space="preserve"> </w:t>
      </w:r>
      <w:r>
        <w:t>AFB.</w:t>
      </w:r>
      <w:r w:rsidR="00CD37C6">
        <w:t xml:space="preserve"> </w:t>
      </w:r>
    </w:p>
    <w:p w14:paraId="7BD3EA98" w14:textId="0C47667C" w:rsidR="009F127E" w:rsidRDefault="00000000" w:rsidP="008E4EA4">
      <w:pPr>
        <w:pStyle w:val="Bulletlast"/>
      </w:pPr>
      <w:r>
        <w:t>Implementation</w:t>
      </w:r>
      <w:r w:rsidR="00CD37C6">
        <w:t xml:space="preserve"> </w:t>
      </w:r>
      <w:r>
        <w:t>of</w:t>
      </w:r>
      <w:r w:rsidR="00CD37C6">
        <w:t xml:space="preserve"> </w:t>
      </w:r>
      <w:r>
        <w:t>a</w:t>
      </w:r>
      <w:r w:rsidR="00CD37C6">
        <w:t xml:space="preserve"> </w:t>
      </w:r>
      <w:r>
        <w:t>robust</w:t>
      </w:r>
      <w:r w:rsidR="00CD37C6">
        <w:t xml:space="preserve"> </w:t>
      </w:r>
      <w:r>
        <w:t>model</w:t>
      </w:r>
      <w:r w:rsidR="00CD37C6">
        <w:t xml:space="preserve"> </w:t>
      </w:r>
      <w:r>
        <w:t>of</w:t>
      </w:r>
      <w:r w:rsidR="00CD37C6">
        <w:t xml:space="preserve"> </w:t>
      </w:r>
      <w:r>
        <w:t>cover</w:t>
      </w:r>
      <w:r w:rsidR="00CD37C6">
        <w:t xml:space="preserve"> </w:t>
      </w:r>
      <w:r>
        <w:t>for</w:t>
      </w:r>
      <w:r w:rsidR="00CD37C6">
        <w:t xml:space="preserve"> </w:t>
      </w:r>
      <w:r>
        <w:t>industry</w:t>
      </w:r>
      <w:r w:rsidR="00CD37C6">
        <w:t xml:space="preserve"> </w:t>
      </w:r>
      <w:r>
        <w:t>and</w:t>
      </w:r>
      <w:r w:rsidR="00CD37C6">
        <w:t xml:space="preserve"> </w:t>
      </w:r>
      <w:r>
        <w:t>government</w:t>
      </w:r>
      <w:r w:rsidR="00CD37C6">
        <w:t xml:space="preserve"> </w:t>
      </w:r>
      <w:r>
        <w:t>to</w:t>
      </w:r>
      <w:r w:rsidR="00CD37C6">
        <w:t xml:space="preserve"> </w:t>
      </w:r>
      <w:r>
        <w:t>effectively</w:t>
      </w:r>
      <w:r w:rsidR="00CD37C6">
        <w:t xml:space="preserve"> </w:t>
      </w:r>
      <w:r>
        <w:t>respond</w:t>
      </w:r>
      <w:r w:rsidR="00CD37C6">
        <w:t xml:space="preserve"> </w:t>
      </w:r>
      <w:r>
        <w:t>to</w:t>
      </w:r>
      <w:r w:rsidR="00CD37C6">
        <w:t xml:space="preserve"> </w:t>
      </w:r>
      <w:r>
        <w:t>a</w:t>
      </w:r>
      <w:r w:rsidR="00CD37C6">
        <w:t xml:space="preserve"> </w:t>
      </w:r>
      <w:r>
        <w:t>biosecurity</w:t>
      </w:r>
      <w:r w:rsidR="00CD37C6">
        <w:t xml:space="preserve"> </w:t>
      </w:r>
      <w:r>
        <w:t>apiary</w:t>
      </w:r>
      <w:r w:rsidR="00CD37C6">
        <w:t xml:space="preserve"> </w:t>
      </w:r>
      <w:r>
        <w:t>incident.</w:t>
      </w:r>
    </w:p>
    <w:p w14:paraId="0BDBC66D" w14:textId="50136598" w:rsidR="009F127E" w:rsidRDefault="00000000" w:rsidP="008E4EA4">
      <w:pPr>
        <w:pStyle w:val="Bulletlast"/>
      </w:pPr>
      <w:r>
        <w:t>Government</w:t>
      </w:r>
      <w:r w:rsidR="00CD37C6">
        <w:t xml:space="preserve"> </w:t>
      </w:r>
      <w:r>
        <w:t>and</w:t>
      </w:r>
      <w:r w:rsidR="00CD37C6">
        <w:t xml:space="preserve"> </w:t>
      </w:r>
      <w:r>
        <w:t>industry</w:t>
      </w:r>
      <w:r w:rsidR="00CD37C6">
        <w:t xml:space="preserve"> </w:t>
      </w:r>
      <w:r>
        <w:t>actively</w:t>
      </w:r>
      <w:r w:rsidR="00CD37C6">
        <w:t xml:space="preserve"> </w:t>
      </w:r>
      <w:r>
        <w:t>share</w:t>
      </w:r>
      <w:r w:rsidR="00CD37C6">
        <w:t xml:space="preserve"> </w:t>
      </w:r>
      <w:r>
        <w:t>data</w:t>
      </w:r>
      <w:r w:rsidR="00CD37C6">
        <w:t xml:space="preserve"> </w:t>
      </w:r>
      <w:r>
        <w:t>and</w:t>
      </w:r>
      <w:r w:rsidR="00CD37C6">
        <w:t xml:space="preserve"> </w:t>
      </w:r>
      <w:r>
        <w:t>intelligence</w:t>
      </w:r>
      <w:r w:rsidR="00CD37C6">
        <w:t xml:space="preserve"> </w:t>
      </w:r>
      <w:r>
        <w:t>for</w:t>
      </w:r>
      <w:r w:rsidR="00CD37C6">
        <w:t xml:space="preserve"> </w:t>
      </w:r>
      <w:r>
        <w:t>purposes</w:t>
      </w:r>
      <w:r w:rsidR="00CD37C6">
        <w:t xml:space="preserve"> </w:t>
      </w:r>
      <w:r>
        <w:t>of</w:t>
      </w:r>
      <w:r w:rsidR="00CD37C6">
        <w:t xml:space="preserve"> </w:t>
      </w:r>
      <w:r>
        <w:t>prevention</w:t>
      </w:r>
      <w:r w:rsidR="00CD37C6">
        <w:t xml:space="preserve"> </w:t>
      </w:r>
      <w:r>
        <w:t>and</w:t>
      </w:r>
      <w:r w:rsidR="00CD37C6">
        <w:t xml:space="preserve"> </w:t>
      </w:r>
      <w:r>
        <w:t>control</w:t>
      </w:r>
      <w:r w:rsidR="00CD37C6">
        <w:t xml:space="preserve"> </w:t>
      </w:r>
      <w:r>
        <w:t>management</w:t>
      </w:r>
      <w:r w:rsidR="00CD37C6">
        <w:t xml:space="preserve"> </w:t>
      </w:r>
      <w:r>
        <w:t>of</w:t>
      </w:r>
      <w:r w:rsidR="00CD37C6">
        <w:t xml:space="preserve"> </w:t>
      </w:r>
      <w:r>
        <w:t>AFB.</w:t>
      </w:r>
    </w:p>
    <w:p w14:paraId="09580B28" w14:textId="696301EB" w:rsidR="009F127E" w:rsidRPr="009B4482" w:rsidRDefault="00000000" w:rsidP="008E4EA4">
      <w:pPr>
        <w:pStyle w:val="Bulletlast"/>
        <w:rPr>
          <w:rFonts w:asciiTheme="minorHAnsi" w:hAnsiTheme="minorHAnsi" w:cstheme="minorHAnsi"/>
        </w:rPr>
      </w:pPr>
      <w:r w:rsidRPr="009B4482">
        <w:rPr>
          <w:rFonts w:asciiTheme="minorHAnsi" w:hAnsiTheme="minorHAnsi" w:cstheme="minorHAnsi"/>
        </w:rPr>
        <w:t>State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government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continues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to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protect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key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public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land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sites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(</w:t>
      </w:r>
      <w:proofErr w:type="gramStart"/>
      <w:r w:rsidRPr="009B4482">
        <w:rPr>
          <w:rFonts w:asciiTheme="minorHAnsi" w:hAnsiTheme="minorHAnsi" w:cstheme="minorHAnsi"/>
        </w:rPr>
        <w:t>e.g.</w:t>
      </w:r>
      <w:proofErr w:type="gramEnd"/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state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forests)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in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alignment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with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</w:rPr>
        <w:t>the</w:t>
      </w:r>
      <w:r w:rsidR="00CD37C6" w:rsidRPr="009B4482">
        <w:rPr>
          <w:rFonts w:asciiTheme="minorHAnsi" w:hAnsiTheme="minorHAnsi" w:cstheme="minorHAnsi"/>
        </w:rPr>
        <w:t xml:space="preserve"> </w:t>
      </w:r>
      <w:r w:rsidRPr="009B4482">
        <w:rPr>
          <w:rFonts w:asciiTheme="minorHAnsi" w:hAnsiTheme="minorHAnsi" w:cstheme="minorHAnsi"/>
          <w:i/>
          <w:iCs/>
        </w:rPr>
        <w:t>Livestock</w:t>
      </w:r>
      <w:r w:rsidR="00CD37C6" w:rsidRPr="009B4482">
        <w:rPr>
          <w:rFonts w:asciiTheme="minorHAnsi" w:hAnsiTheme="minorHAnsi" w:cstheme="minorHAnsi"/>
          <w:i/>
          <w:iCs/>
        </w:rPr>
        <w:t xml:space="preserve"> </w:t>
      </w:r>
      <w:r w:rsidRPr="009B4482">
        <w:rPr>
          <w:rFonts w:asciiTheme="minorHAnsi" w:hAnsiTheme="minorHAnsi" w:cstheme="minorHAnsi"/>
          <w:i/>
          <w:iCs/>
        </w:rPr>
        <w:t>Disease</w:t>
      </w:r>
      <w:r w:rsidR="00CD37C6" w:rsidRPr="009B4482">
        <w:rPr>
          <w:rFonts w:asciiTheme="minorHAnsi" w:hAnsiTheme="minorHAnsi" w:cstheme="minorHAnsi"/>
          <w:i/>
          <w:iCs/>
        </w:rPr>
        <w:t xml:space="preserve"> </w:t>
      </w:r>
      <w:r w:rsidRPr="009B4482">
        <w:rPr>
          <w:rFonts w:asciiTheme="minorHAnsi" w:hAnsiTheme="minorHAnsi" w:cstheme="minorHAnsi"/>
          <w:i/>
          <w:iCs/>
        </w:rPr>
        <w:t>Control</w:t>
      </w:r>
      <w:r w:rsidR="00CD37C6" w:rsidRPr="009B4482">
        <w:rPr>
          <w:rFonts w:asciiTheme="minorHAnsi" w:hAnsiTheme="minorHAnsi" w:cstheme="minorHAnsi"/>
          <w:i/>
          <w:iCs/>
        </w:rPr>
        <w:t xml:space="preserve"> </w:t>
      </w:r>
      <w:r w:rsidRPr="009B4482">
        <w:rPr>
          <w:rFonts w:asciiTheme="minorHAnsi" w:hAnsiTheme="minorHAnsi" w:cstheme="minorHAnsi"/>
          <w:i/>
          <w:iCs/>
        </w:rPr>
        <w:t>Act</w:t>
      </w:r>
      <w:r w:rsidR="00CD37C6" w:rsidRPr="009B4482">
        <w:rPr>
          <w:rFonts w:asciiTheme="minorHAnsi" w:hAnsiTheme="minorHAnsi" w:cstheme="minorHAnsi"/>
          <w:i/>
          <w:iCs/>
        </w:rPr>
        <w:t xml:space="preserve"> </w:t>
      </w:r>
      <w:r w:rsidRPr="009B4482">
        <w:rPr>
          <w:rFonts w:asciiTheme="minorHAnsi" w:hAnsiTheme="minorHAnsi" w:cstheme="minorHAnsi"/>
          <w:i/>
          <w:iCs/>
        </w:rPr>
        <w:t>1994</w:t>
      </w:r>
      <w:r w:rsidRPr="009B4482">
        <w:rPr>
          <w:rFonts w:asciiTheme="minorHAnsi" w:hAnsiTheme="minorHAnsi" w:cstheme="minorHAnsi"/>
        </w:rPr>
        <w:t>.</w:t>
      </w:r>
    </w:p>
    <w:p w14:paraId="11B0C2EB" w14:textId="1033A3CC" w:rsidR="009F127E" w:rsidRDefault="00000000" w:rsidP="008E4EA4">
      <w:pPr>
        <w:pStyle w:val="Bulletlast"/>
      </w:pPr>
      <w:r>
        <w:lastRenderedPageBreak/>
        <w:t>Industry</w:t>
      </w:r>
      <w:r w:rsidR="00CD37C6">
        <w:t xml:space="preserve"> </w:t>
      </w:r>
      <w:r>
        <w:t>actively</w:t>
      </w:r>
      <w:r w:rsidR="00CD37C6">
        <w:t xml:space="preserve"> </w:t>
      </w:r>
      <w:r>
        <w:t>participates</w:t>
      </w:r>
      <w:r w:rsidR="00CD37C6">
        <w:t xml:space="preserve"> </w:t>
      </w:r>
      <w:r>
        <w:t>in</w:t>
      </w:r>
      <w:r w:rsidR="00CD37C6">
        <w:t xml:space="preserve"> </w:t>
      </w:r>
      <w:r>
        <w:t>preparation,</w:t>
      </w:r>
      <w:r w:rsidR="00CD37C6">
        <w:t xml:space="preserve"> </w:t>
      </w:r>
      <w:r>
        <w:t>control</w:t>
      </w:r>
      <w:r w:rsidR="00CD37C6">
        <w:t xml:space="preserve"> </w:t>
      </w:r>
      <w:r>
        <w:t>and</w:t>
      </w:r>
      <w:r w:rsidR="00CD37C6">
        <w:t xml:space="preserve"> </w:t>
      </w:r>
      <w:r>
        <w:t>eradication</w:t>
      </w:r>
      <w:r w:rsidR="00CD37C6">
        <w:t xml:space="preserve"> </w:t>
      </w:r>
      <w:r>
        <w:t>education,</w:t>
      </w:r>
      <w:r w:rsidR="00CD37C6">
        <w:t xml:space="preserve"> </w:t>
      </w:r>
      <w:proofErr w:type="gramStart"/>
      <w:r>
        <w:t>awareness</w:t>
      </w:r>
      <w:proofErr w:type="gramEnd"/>
      <w:r w:rsidR="00CD37C6">
        <w:t xml:space="preserve"> </w:t>
      </w:r>
      <w:r>
        <w:t>and</w:t>
      </w:r>
      <w:r w:rsidR="00CD37C6">
        <w:t xml:space="preserve"> </w:t>
      </w:r>
      <w:r>
        <w:t>training</w:t>
      </w:r>
      <w:r w:rsidR="00CD37C6">
        <w:t xml:space="preserve"> </w:t>
      </w:r>
      <w:r>
        <w:t>programs.</w:t>
      </w:r>
    </w:p>
    <w:p w14:paraId="3A78DD50" w14:textId="57C39BB5" w:rsidR="009F127E" w:rsidRPr="009B4482" w:rsidRDefault="00000000" w:rsidP="009B4482">
      <w:pPr>
        <w:pStyle w:val="Normalbeforebullet"/>
        <w:rPr>
          <w:b/>
          <w:bCs/>
        </w:rPr>
      </w:pPr>
      <w:r w:rsidRPr="009B4482">
        <w:rPr>
          <w:b/>
          <w:bCs/>
        </w:rPr>
        <w:t>Long-term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outcomes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(10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+</w:t>
      </w:r>
      <w:r w:rsidR="00CD37C6" w:rsidRPr="009B4482">
        <w:rPr>
          <w:b/>
          <w:bCs/>
        </w:rPr>
        <w:t xml:space="preserve"> </w:t>
      </w:r>
      <w:r w:rsidRPr="009B4482">
        <w:rPr>
          <w:b/>
          <w:bCs/>
        </w:rPr>
        <w:t>years)</w:t>
      </w:r>
    </w:p>
    <w:p w14:paraId="49CF211A" w14:textId="5A65A8BE" w:rsidR="009F127E" w:rsidRDefault="00000000" w:rsidP="008E4EA4">
      <w:pPr>
        <w:pStyle w:val="Bullet"/>
      </w:pPr>
      <w:r>
        <w:t>Ongoing</w:t>
      </w:r>
      <w:r w:rsidR="00CD37C6">
        <w:t xml:space="preserve"> </w:t>
      </w:r>
      <w:r>
        <w:t>effective</w:t>
      </w:r>
      <w:r w:rsidR="00CD37C6">
        <w:t xml:space="preserve"> </w:t>
      </w:r>
      <w:r>
        <w:t>early</w:t>
      </w:r>
      <w:r w:rsidR="00CD37C6">
        <w:t xml:space="preserve"> </w:t>
      </w:r>
      <w:r>
        <w:t>detection</w:t>
      </w:r>
      <w:r w:rsidR="00CD37C6">
        <w:t xml:space="preserve"> </w:t>
      </w:r>
      <w:r>
        <w:t>and</w:t>
      </w:r>
      <w:r w:rsidR="00CD37C6">
        <w:t xml:space="preserve"> </w:t>
      </w:r>
      <w:r>
        <w:t>prevention</w:t>
      </w:r>
      <w:r w:rsidR="00CD37C6">
        <w:t xml:space="preserve"> </w:t>
      </w:r>
      <w:r>
        <w:t>of</w:t>
      </w:r>
      <w:r w:rsidR="00CD37C6">
        <w:t xml:space="preserve"> </w:t>
      </w:r>
      <w:r>
        <w:t>AFB</w:t>
      </w:r>
      <w:r w:rsidR="00CD37C6">
        <w:t xml:space="preserve"> </w:t>
      </w:r>
      <w:r>
        <w:t>to</w:t>
      </w:r>
      <w:r w:rsidR="00CD37C6">
        <w:t xml:space="preserve"> </w:t>
      </w:r>
      <w:r>
        <w:t>minimise</w:t>
      </w:r>
      <w:r w:rsidR="00CD37C6">
        <w:t xml:space="preserve"> </w:t>
      </w:r>
      <w:r>
        <w:t>the</w:t>
      </w:r>
      <w:r w:rsidR="00CD37C6">
        <w:t xml:space="preserve"> </w:t>
      </w:r>
      <w:r>
        <w:t>spread</w:t>
      </w:r>
      <w:r w:rsidR="00CD37C6">
        <w:t xml:space="preserve"> </w:t>
      </w:r>
      <w:r>
        <w:t>and</w:t>
      </w:r>
      <w:r w:rsidR="00CD37C6">
        <w:t xml:space="preserve"> </w:t>
      </w:r>
      <w:r>
        <w:t>impact.</w:t>
      </w:r>
      <w:r w:rsidR="00CD37C6">
        <w:t xml:space="preserve"> </w:t>
      </w:r>
    </w:p>
    <w:p w14:paraId="2A35B086" w14:textId="3EE27728" w:rsidR="009F127E" w:rsidRDefault="00000000" w:rsidP="008E4EA4">
      <w:pPr>
        <w:pStyle w:val="Bullet"/>
      </w:pPr>
      <w:r>
        <w:t>Higher</w:t>
      </w:r>
      <w:r w:rsidR="00CD37C6">
        <w:t xml:space="preserve"> </w:t>
      </w:r>
      <w:r>
        <w:t>standards</w:t>
      </w:r>
      <w:r w:rsidR="00CD37C6">
        <w:t xml:space="preserve"> </w:t>
      </w:r>
      <w:r>
        <w:t>of</w:t>
      </w:r>
      <w:r w:rsidR="00CD37C6">
        <w:t xml:space="preserve"> </w:t>
      </w:r>
      <w:r>
        <w:t>bee</w:t>
      </w:r>
      <w:r w:rsidR="00CD37C6">
        <w:t xml:space="preserve"> </w:t>
      </w:r>
      <w:r>
        <w:t>keeping</w:t>
      </w:r>
      <w:r w:rsidR="00CD37C6">
        <w:t xml:space="preserve"> </w:t>
      </w:r>
      <w:r>
        <w:t>are</w:t>
      </w:r>
      <w:r w:rsidR="00CD37C6">
        <w:t xml:space="preserve"> </w:t>
      </w:r>
      <w:r>
        <w:t>achieved</w:t>
      </w:r>
      <w:r w:rsidR="00CD37C6">
        <w:t xml:space="preserve"> </w:t>
      </w:r>
      <w:r>
        <w:t>to</w:t>
      </w:r>
      <w:r w:rsidR="00CD37C6">
        <w:t xml:space="preserve"> </w:t>
      </w:r>
      <w:r>
        <w:t>maintain</w:t>
      </w:r>
      <w:r w:rsidR="00CD37C6">
        <w:t xml:space="preserve"> </w:t>
      </w:r>
      <w:r>
        <w:t>a</w:t>
      </w:r>
      <w:r w:rsidR="00CD37C6">
        <w:t xml:space="preserve"> </w:t>
      </w:r>
      <w:r>
        <w:t>viable</w:t>
      </w:r>
      <w:r w:rsidR="00CD37C6">
        <w:t xml:space="preserve"> </w:t>
      </w:r>
      <w:r>
        <w:t>apiary</w:t>
      </w:r>
      <w:r w:rsidR="00CD37C6">
        <w:t xml:space="preserve"> </w:t>
      </w:r>
      <w:r>
        <w:t>industry</w:t>
      </w:r>
      <w:r w:rsidR="00CD37C6">
        <w:t xml:space="preserve"> </w:t>
      </w:r>
      <w:r>
        <w:t>through</w:t>
      </w:r>
      <w:r w:rsidR="00CD37C6">
        <w:t xml:space="preserve"> </w:t>
      </w:r>
      <w:r>
        <w:t>application</w:t>
      </w:r>
      <w:r w:rsidR="00CD37C6">
        <w:t xml:space="preserve"> </w:t>
      </w:r>
      <w:r>
        <w:t>of</w:t>
      </w:r>
      <w:r w:rsidR="00CD37C6">
        <w:t xml:space="preserve"> </w:t>
      </w:r>
      <w:r>
        <w:t>best</w:t>
      </w:r>
      <w:r w:rsidR="00CD37C6">
        <w:t xml:space="preserve"> </w:t>
      </w:r>
      <w:r>
        <w:t>practice.</w:t>
      </w:r>
    </w:p>
    <w:p w14:paraId="68C1C27E" w14:textId="4D517F0D" w:rsidR="009F127E" w:rsidRDefault="00000000" w:rsidP="008E4EA4">
      <w:pPr>
        <w:pStyle w:val="Bullet"/>
      </w:pPr>
      <w:r>
        <w:t>Enhanced</w:t>
      </w:r>
      <w:r w:rsidR="00CD37C6">
        <w:t xml:space="preserve"> </w:t>
      </w:r>
      <w:r>
        <w:t>international</w:t>
      </w:r>
      <w:r w:rsidR="00CD37C6">
        <w:t xml:space="preserve"> </w:t>
      </w:r>
      <w:r>
        <w:t>market</w:t>
      </w:r>
      <w:r w:rsidR="00CD37C6">
        <w:t xml:space="preserve"> </w:t>
      </w:r>
      <w:r>
        <w:t>access</w:t>
      </w:r>
      <w:r w:rsidR="00CD37C6">
        <w:t xml:space="preserve"> </w:t>
      </w:r>
      <w:r>
        <w:t>and</w:t>
      </w:r>
      <w:r w:rsidR="00CD37C6">
        <w:t xml:space="preserve"> </w:t>
      </w:r>
      <w:r>
        <w:t>product</w:t>
      </w:r>
      <w:r w:rsidR="00CD37C6">
        <w:t xml:space="preserve"> </w:t>
      </w:r>
      <w:r>
        <w:t>integrity.</w:t>
      </w:r>
    </w:p>
    <w:p w14:paraId="6C4F565B" w14:textId="74EEB7FA" w:rsidR="009F127E" w:rsidRDefault="00000000" w:rsidP="008E4EA4">
      <w:pPr>
        <w:pStyle w:val="Bullet"/>
      </w:pPr>
      <w:r>
        <w:t>Maintaining</w:t>
      </w:r>
      <w:r w:rsidR="00CD37C6">
        <w:t xml:space="preserve"> </w:t>
      </w:r>
      <w:r>
        <w:t>and</w:t>
      </w:r>
      <w:r w:rsidR="00CD37C6">
        <w:t xml:space="preserve"> </w:t>
      </w:r>
      <w:r>
        <w:t>enhancing</w:t>
      </w:r>
      <w:r w:rsidR="00CD37C6">
        <w:t xml:space="preserve"> </w:t>
      </w:r>
      <w:r>
        <w:t>collaborative</w:t>
      </w:r>
      <w:r w:rsidR="00CD37C6">
        <w:t xml:space="preserve"> </w:t>
      </w:r>
      <w:r>
        <w:t>relationships</w:t>
      </w:r>
      <w:r w:rsidR="00CD37C6">
        <w:t xml:space="preserve"> </w:t>
      </w:r>
      <w:r>
        <w:t>between</w:t>
      </w:r>
      <w:r w:rsidR="00CD37C6">
        <w:t xml:space="preserve"> </w:t>
      </w:r>
      <w:r>
        <w:t>government</w:t>
      </w:r>
      <w:r w:rsidR="00CD37C6">
        <w:t xml:space="preserve"> </w:t>
      </w:r>
      <w:r>
        <w:t>and</w:t>
      </w:r>
      <w:r w:rsidR="00CD37C6">
        <w:t xml:space="preserve"> </w:t>
      </w:r>
      <w:r>
        <w:t>industry.</w:t>
      </w:r>
    </w:p>
    <w:p w14:paraId="3AB0C131" w14:textId="77777777" w:rsidR="007F7D04" w:rsidRDefault="007F7D04" w:rsidP="008E4EA4"/>
    <w:sectPr w:rsidR="007F7D04" w:rsidSect="008E4EA4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IC Medium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auto"/>
    <w:notTrueType/>
    <w:pitch w:val="variable"/>
    <w:sig w:usb0="00000007" w:usb1="00000000" w:usb2="00000000" w:usb3="00000000" w:csb0="00000093" w:csb1="00000000"/>
  </w:font>
  <w:font w:name="VIC Semi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 Medium Italic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EC"/>
    <w:multiLevelType w:val="hybridMultilevel"/>
    <w:tmpl w:val="9C3633AE"/>
    <w:lvl w:ilvl="0" w:tplc="58DC5624">
      <w:start w:val="1"/>
      <w:numFmt w:val="decimal"/>
      <w:pStyle w:val="Heading2numbered"/>
      <w:lvlText w:val="%1."/>
      <w:lvlJc w:val="left"/>
      <w:pPr>
        <w:ind w:left="454" w:hanging="454"/>
      </w:pPr>
      <w:rPr>
        <w:rFonts w:ascii="Arial" w:eastAsia="Arial" w:hAnsi="Arial" w:cs="Arial" w:hint="default"/>
        <w:color w:val="383834"/>
        <w:spacing w:val="-2"/>
        <w:w w:val="103"/>
        <w:sz w:val="32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4ADC"/>
    <w:multiLevelType w:val="hybridMultilevel"/>
    <w:tmpl w:val="366428BC"/>
    <w:lvl w:ilvl="0" w:tplc="E4C4CAF2">
      <w:start w:val="1"/>
      <w:numFmt w:val="decimal"/>
      <w:pStyle w:val="Numbered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E277B"/>
    <w:multiLevelType w:val="hybridMultilevel"/>
    <w:tmpl w:val="58725F06"/>
    <w:lvl w:ilvl="0" w:tplc="007E26F4">
      <w:start w:val="1"/>
      <w:numFmt w:val="bullet"/>
      <w:pStyle w:val="TableBullet"/>
      <w:lvlText w:val=""/>
      <w:lvlJc w:val="left"/>
      <w:pPr>
        <w:ind w:left="567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2CF6C8A"/>
    <w:multiLevelType w:val="hybridMultilevel"/>
    <w:tmpl w:val="06F8BC4C"/>
    <w:lvl w:ilvl="0" w:tplc="68A05D72">
      <w:start w:val="1"/>
      <w:numFmt w:val="decimal"/>
      <w:pStyle w:val="Heading5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42A07"/>
    <w:multiLevelType w:val="hybridMultilevel"/>
    <w:tmpl w:val="A8C2C1A2"/>
    <w:lvl w:ilvl="0" w:tplc="5EF43A4A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27018"/>
    <w:multiLevelType w:val="hybridMultilevel"/>
    <w:tmpl w:val="D83868C0"/>
    <w:lvl w:ilvl="0" w:tplc="255821DE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46C2F"/>
    <w:multiLevelType w:val="hybridMultilevel"/>
    <w:tmpl w:val="1898F8C0"/>
    <w:lvl w:ilvl="0" w:tplc="6BA8646C">
      <w:start w:val="1"/>
      <w:numFmt w:val="decimal"/>
      <w:pStyle w:val="ListParagraph"/>
      <w:lvlText w:val="%1."/>
      <w:lvlJc w:val="left"/>
      <w:pPr>
        <w:ind w:left="369" w:hanging="369"/>
      </w:pPr>
      <w:rPr>
        <w:rFonts w:ascii="Arial" w:eastAsia="Arial" w:hAnsi="Arial" w:cs="Arial" w:hint="default"/>
        <w:color w:val="383834"/>
        <w:spacing w:val="-2"/>
        <w:w w:val="103"/>
        <w:sz w:val="20"/>
        <w:szCs w:val="20"/>
        <w:lang w:val="en-AU" w:eastAsia="en-US" w:bidi="ar-SA"/>
      </w:rPr>
    </w:lvl>
    <w:lvl w:ilvl="1" w:tplc="93AEFE8E">
      <w:numFmt w:val="bullet"/>
      <w:lvlText w:val="•"/>
      <w:lvlJc w:val="left"/>
      <w:pPr>
        <w:ind w:left="3078" w:hanging="369"/>
      </w:pPr>
      <w:rPr>
        <w:rFonts w:hint="default"/>
        <w:lang w:val="en-AU" w:eastAsia="en-US" w:bidi="ar-SA"/>
      </w:rPr>
    </w:lvl>
    <w:lvl w:ilvl="2" w:tplc="12D4977C">
      <w:numFmt w:val="bullet"/>
      <w:lvlText w:val="•"/>
      <w:lvlJc w:val="left"/>
      <w:pPr>
        <w:ind w:left="3976" w:hanging="369"/>
      </w:pPr>
      <w:rPr>
        <w:rFonts w:hint="default"/>
        <w:lang w:val="en-AU" w:eastAsia="en-US" w:bidi="ar-SA"/>
      </w:rPr>
    </w:lvl>
    <w:lvl w:ilvl="3" w:tplc="DF12600A">
      <w:numFmt w:val="bullet"/>
      <w:lvlText w:val="•"/>
      <w:lvlJc w:val="left"/>
      <w:pPr>
        <w:ind w:left="4875" w:hanging="369"/>
      </w:pPr>
      <w:rPr>
        <w:rFonts w:hint="default"/>
        <w:lang w:val="en-AU" w:eastAsia="en-US" w:bidi="ar-SA"/>
      </w:rPr>
    </w:lvl>
    <w:lvl w:ilvl="4" w:tplc="E3CA3F6E">
      <w:numFmt w:val="bullet"/>
      <w:lvlText w:val="•"/>
      <w:lvlJc w:val="left"/>
      <w:pPr>
        <w:ind w:left="5773" w:hanging="369"/>
      </w:pPr>
      <w:rPr>
        <w:rFonts w:hint="default"/>
        <w:lang w:val="en-AU" w:eastAsia="en-US" w:bidi="ar-SA"/>
      </w:rPr>
    </w:lvl>
    <w:lvl w:ilvl="5" w:tplc="CBBC68C0">
      <w:numFmt w:val="bullet"/>
      <w:lvlText w:val="•"/>
      <w:lvlJc w:val="left"/>
      <w:pPr>
        <w:ind w:left="6672" w:hanging="369"/>
      </w:pPr>
      <w:rPr>
        <w:rFonts w:hint="default"/>
        <w:lang w:val="en-AU" w:eastAsia="en-US" w:bidi="ar-SA"/>
      </w:rPr>
    </w:lvl>
    <w:lvl w:ilvl="6" w:tplc="E9A064E6">
      <w:numFmt w:val="bullet"/>
      <w:lvlText w:val="•"/>
      <w:lvlJc w:val="left"/>
      <w:pPr>
        <w:ind w:left="7570" w:hanging="369"/>
      </w:pPr>
      <w:rPr>
        <w:rFonts w:hint="default"/>
        <w:lang w:val="en-AU" w:eastAsia="en-US" w:bidi="ar-SA"/>
      </w:rPr>
    </w:lvl>
    <w:lvl w:ilvl="7" w:tplc="4A0AAF2E">
      <w:numFmt w:val="bullet"/>
      <w:lvlText w:val="•"/>
      <w:lvlJc w:val="left"/>
      <w:pPr>
        <w:ind w:left="8468" w:hanging="369"/>
      </w:pPr>
      <w:rPr>
        <w:rFonts w:hint="default"/>
        <w:lang w:val="en-AU" w:eastAsia="en-US" w:bidi="ar-SA"/>
      </w:rPr>
    </w:lvl>
    <w:lvl w:ilvl="8" w:tplc="0CD834B4">
      <w:numFmt w:val="bullet"/>
      <w:lvlText w:val="•"/>
      <w:lvlJc w:val="left"/>
      <w:pPr>
        <w:ind w:left="9367" w:hanging="369"/>
      </w:pPr>
      <w:rPr>
        <w:rFonts w:hint="default"/>
        <w:lang w:val="en-AU" w:eastAsia="en-US" w:bidi="ar-SA"/>
      </w:rPr>
    </w:lvl>
  </w:abstractNum>
  <w:num w:numId="1" w16cid:durableId="2009015306">
    <w:abstractNumId w:val="5"/>
  </w:num>
  <w:num w:numId="2" w16cid:durableId="1433743228">
    <w:abstractNumId w:val="4"/>
  </w:num>
  <w:num w:numId="3" w16cid:durableId="1738241617">
    <w:abstractNumId w:val="5"/>
  </w:num>
  <w:num w:numId="4" w16cid:durableId="1303387699">
    <w:abstractNumId w:val="0"/>
  </w:num>
  <w:num w:numId="5" w16cid:durableId="1032653031">
    <w:abstractNumId w:val="3"/>
  </w:num>
  <w:num w:numId="6" w16cid:durableId="1004626520">
    <w:abstractNumId w:val="6"/>
  </w:num>
  <w:num w:numId="7" w16cid:durableId="603683863">
    <w:abstractNumId w:val="2"/>
  </w:num>
  <w:num w:numId="8" w16cid:durableId="274675945">
    <w:abstractNumId w:val="1"/>
  </w:num>
  <w:num w:numId="9" w16cid:durableId="19281490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bordersDoNotSurroundHeader/>
  <w:bordersDoNotSurroundFooter/>
  <w:proofState w:spelling="clean" w:grammar="clean"/>
  <w:defaultTabStop w:val="284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"/>
  <w:noLineBreaksBefore w:lang="ja-JP" w:val="!),.:;?]}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A4"/>
    <w:rsid w:val="00564D5B"/>
    <w:rsid w:val="0058589D"/>
    <w:rsid w:val="005C4339"/>
    <w:rsid w:val="007B6A30"/>
    <w:rsid w:val="007F7D04"/>
    <w:rsid w:val="008053FC"/>
    <w:rsid w:val="008E4EA4"/>
    <w:rsid w:val="009B4482"/>
    <w:rsid w:val="009F127E"/>
    <w:rsid w:val="00AF540B"/>
    <w:rsid w:val="00BE2964"/>
    <w:rsid w:val="00CD37C6"/>
    <w:rsid w:val="00E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AB826"/>
  <w14:defaultImageDpi w14:val="0"/>
  <w15:docId w15:val="{56F623E5-BF7C-CA4E-B6F1-C4E858C4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98"/>
    <w:pPr>
      <w:suppressAutoHyphens/>
      <w:spacing w:after="200" w:line="240" w:lineRule="atLeast"/>
    </w:pPr>
    <w:rPr>
      <w:rFonts w:ascii="Arial" w:eastAsia="MS Mincho" w:hAnsi="Arial" w:cs="Arial"/>
      <w:sz w:val="22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0B"/>
    <w:pPr>
      <w:keepNext/>
      <w:keepLines/>
      <w:spacing w:before="480"/>
      <w:outlineLvl w:val="0"/>
    </w:pPr>
    <w:rPr>
      <w:rFonts w:eastAsia="MS Gothic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EA4"/>
    <w:pPr>
      <w:keepNext/>
      <w:keepLines/>
      <w:spacing w:before="36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4EA4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4EA4"/>
    <w:pPr>
      <w:keepNext/>
      <w:keepLines/>
      <w:spacing w:before="200"/>
      <w:outlineLvl w:val="3"/>
    </w:pPr>
    <w:rPr>
      <w:rFonts w:eastAsia="MS Gothic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4EA4"/>
    <w:pPr>
      <w:numPr>
        <w:numId w:val="5"/>
      </w:numPr>
      <w:spacing w:before="240" w:after="60"/>
      <w:outlineLvl w:val="4"/>
    </w:pPr>
    <w:rPr>
      <w:rFonts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4EA4"/>
    <w:p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L1">
    <w:name w:val="&gt;HL1"/>
    <w:basedOn w:val="NoParagraphStyle"/>
    <w:uiPriority w:val="99"/>
    <w:pPr>
      <w:suppressAutoHyphens/>
      <w:spacing w:after="708" w:line="562" w:lineRule="atLeast"/>
    </w:pPr>
    <w:rPr>
      <w:rFonts w:ascii="VIC Medium" w:hAnsi="VIC Medium" w:cs="VIC Medium"/>
      <w:caps/>
      <w:color w:val="000F00"/>
      <w:spacing w:val="-15"/>
      <w:sz w:val="50"/>
      <w:szCs w:val="50"/>
      <w:lang w:val="en-GB"/>
    </w:rPr>
  </w:style>
  <w:style w:type="paragraph" w:customStyle="1" w:styleId="Bodycopy">
    <w:name w:val="&gt;Body copy"/>
    <w:basedOn w:val="NoParagraphStyle"/>
    <w:uiPriority w:val="99"/>
    <w:pPr>
      <w:suppressAutoHyphens/>
      <w:spacing w:before="113" w:line="230" w:lineRule="atLeast"/>
    </w:pPr>
    <w:rPr>
      <w:rFonts w:ascii="VIC Light" w:hAnsi="VIC Light" w:cs="VIC Light"/>
      <w:sz w:val="18"/>
      <w:szCs w:val="18"/>
      <w:lang w:val="en-GB"/>
    </w:rPr>
  </w:style>
  <w:style w:type="paragraph" w:customStyle="1" w:styleId="HL2">
    <w:name w:val="&gt;HL2"/>
    <w:basedOn w:val="Bodycopy"/>
    <w:uiPriority w:val="99"/>
    <w:pPr>
      <w:tabs>
        <w:tab w:val="left" w:pos="283"/>
      </w:tabs>
      <w:spacing w:before="227" w:line="240" w:lineRule="atLeast"/>
      <w:ind w:left="283" w:hanging="283"/>
    </w:pPr>
    <w:rPr>
      <w:rFonts w:ascii="VIC Medium" w:hAnsi="VIC Medium" w:cs="VIC Medium"/>
      <w:caps/>
      <w:color w:val="000F00"/>
      <w:sz w:val="22"/>
      <w:szCs w:val="22"/>
    </w:rPr>
  </w:style>
  <w:style w:type="paragraph" w:customStyle="1" w:styleId="Bullet1">
    <w:name w:val="&gt;Bullet 1"/>
    <w:basedOn w:val="Bodycopy"/>
    <w:uiPriority w:val="99"/>
    <w:pPr>
      <w:spacing w:before="57"/>
      <w:ind w:left="283" w:hanging="283"/>
    </w:pPr>
  </w:style>
  <w:style w:type="paragraph" w:customStyle="1" w:styleId="Bulletlast1">
    <w:name w:val="&gt;Bullet last 1"/>
    <w:basedOn w:val="Bullet1"/>
    <w:uiPriority w:val="99"/>
    <w:pPr>
      <w:spacing w:after="57"/>
    </w:pPr>
  </w:style>
  <w:style w:type="paragraph" w:customStyle="1" w:styleId="H4">
    <w:name w:val="&gt;H4"/>
    <w:basedOn w:val="NoParagraphStyle"/>
    <w:uiPriority w:val="99"/>
    <w:pPr>
      <w:suppressAutoHyphens/>
      <w:spacing w:before="170" w:line="230" w:lineRule="atLeast"/>
    </w:pPr>
    <w:rPr>
      <w:rFonts w:ascii="VIC Medium" w:hAnsi="VIC Medium" w:cs="VIC Medium"/>
      <w:color w:val="004200"/>
      <w:sz w:val="18"/>
      <w:szCs w:val="18"/>
      <w:lang w:val="en-GB"/>
    </w:rPr>
  </w:style>
  <w:style w:type="paragraph" w:customStyle="1" w:styleId="BulletNumber">
    <w:name w:val="Bullet Number"/>
    <w:basedOn w:val="Bodycopy"/>
    <w:uiPriority w:val="99"/>
    <w:pPr>
      <w:ind w:left="283" w:hanging="283"/>
    </w:pPr>
  </w:style>
  <w:style w:type="paragraph" w:customStyle="1" w:styleId="Bullet2">
    <w:name w:val="Bullet 2"/>
    <w:basedOn w:val="Bullet"/>
    <w:qFormat/>
    <w:rsid w:val="008E4EA4"/>
    <w:pPr>
      <w:numPr>
        <w:numId w:val="2"/>
      </w:numPr>
    </w:pPr>
  </w:style>
  <w:style w:type="paragraph" w:customStyle="1" w:styleId="Bullet2end">
    <w:name w:val="Bullet 2 end"/>
    <w:basedOn w:val="Bullet2"/>
    <w:uiPriority w:val="99"/>
    <w:pPr>
      <w:spacing w:after="57"/>
    </w:pPr>
  </w:style>
  <w:style w:type="paragraph" w:customStyle="1" w:styleId="HL3">
    <w:name w:val="&gt;HL3"/>
    <w:basedOn w:val="Bodycopy"/>
    <w:uiPriority w:val="99"/>
    <w:pPr>
      <w:tabs>
        <w:tab w:val="left" w:pos="283"/>
      </w:tabs>
      <w:spacing w:before="170" w:line="240" w:lineRule="atLeast"/>
    </w:pPr>
    <w:rPr>
      <w:rFonts w:ascii="VIC Medium" w:hAnsi="VIC Medium" w:cs="VIC Medium"/>
      <w:caps/>
      <w:color w:val="000F00"/>
      <w:sz w:val="22"/>
      <w:szCs w:val="22"/>
    </w:rPr>
  </w:style>
  <w:style w:type="paragraph" w:customStyle="1" w:styleId="H5">
    <w:name w:val="&gt;H5"/>
    <w:basedOn w:val="H4"/>
    <w:uiPriority w:val="99"/>
    <w:pPr>
      <w:spacing w:before="113"/>
    </w:pPr>
    <w:rPr>
      <w:color w:val="000000"/>
    </w:rPr>
  </w:style>
  <w:style w:type="character" w:customStyle="1" w:styleId="Heading2Char">
    <w:name w:val="Heading 2 Char"/>
    <w:link w:val="Heading2"/>
    <w:uiPriority w:val="9"/>
    <w:rsid w:val="008E4EA4"/>
    <w:rPr>
      <w:rFonts w:ascii="Arial" w:eastAsia="MS Gothic" w:hAnsi="Arial" w:cs="Times New Roman"/>
      <w:b/>
      <w:bCs/>
      <w:sz w:val="32"/>
      <w:szCs w:val="26"/>
      <w:lang w:eastAsia="en-US"/>
    </w:rPr>
  </w:style>
  <w:style w:type="paragraph" w:customStyle="1" w:styleId="H1tableTables">
    <w:name w:val="H1 table (Tables)"/>
    <w:basedOn w:val="Bodycopy"/>
    <w:uiPriority w:val="99"/>
    <w:pPr>
      <w:ind w:left="340" w:hanging="340"/>
    </w:pPr>
    <w:rPr>
      <w:rFonts w:ascii="VIC SemiBold" w:hAnsi="VIC SemiBold" w:cs="VIC SemiBold"/>
      <w:b/>
      <w:bCs/>
    </w:rPr>
  </w:style>
  <w:style w:type="paragraph" w:customStyle="1" w:styleId="Body6mmindenttableTables">
    <w:name w:val="Body 6mm indent table (Tables)"/>
    <w:basedOn w:val="Bodycopy"/>
    <w:uiPriority w:val="99"/>
    <w:pPr>
      <w:ind w:left="340"/>
    </w:pPr>
  </w:style>
  <w:style w:type="paragraph" w:customStyle="1" w:styleId="Bullet3endtableTables">
    <w:name w:val="Bullet 3 end table (Tables)"/>
    <w:basedOn w:val="Bullet1"/>
    <w:uiPriority w:val="99"/>
    <w:pPr>
      <w:ind w:left="510"/>
    </w:pPr>
  </w:style>
  <w:style w:type="paragraph" w:customStyle="1" w:styleId="Bullet3tableTables">
    <w:name w:val="Bullet 3 table (Tables)"/>
    <w:basedOn w:val="Bullet1"/>
    <w:uiPriority w:val="99"/>
    <w:pPr>
      <w:ind w:left="510"/>
    </w:pPr>
  </w:style>
  <w:style w:type="character" w:customStyle="1" w:styleId="Medium">
    <w:name w:val="Medium"/>
    <w:uiPriority w:val="99"/>
  </w:style>
  <w:style w:type="character" w:customStyle="1" w:styleId="MediumItalic">
    <w:name w:val="Medium Italic"/>
    <w:basedOn w:val="Medium"/>
    <w:uiPriority w:val="99"/>
    <w:rPr>
      <w:i/>
      <w:iCs/>
      <w:lang w:val="en-GB"/>
    </w:rPr>
  </w:style>
  <w:style w:type="character" w:customStyle="1" w:styleId="LightItalic">
    <w:name w:val="Light Italic"/>
    <w:uiPriority w:val="99"/>
    <w:rPr>
      <w:i/>
      <w:iCs/>
    </w:rPr>
  </w:style>
  <w:style w:type="character" w:customStyle="1" w:styleId="Hyperlink3">
    <w:name w:val="Hyperlink 3"/>
    <w:basedOn w:val="Medium"/>
    <w:uiPriority w:val="99"/>
  </w:style>
  <w:style w:type="paragraph" w:customStyle="1" w:styleId="BODY">
    <w:name w:val="BODY"/>
    <w:basedOn w:val="Normal"/>
    <w:uiPriority w:val="99"/>
    <w:rsid w:val="008E4EA4"/>
    <w:pPr>
      <w:autoSpaceDE w:val="0"/>
      <w:autoSpaceDN w:val="0"/>
      <w:adjustRightInd w:val="0"/>
      <w:spacing w:after="113"/>
      <w:textAlignment w:val="center"/>
    </w:pPr>
    <w:rPr>
      <w:rFonts w:ascii="VIC Medium Italic" w:hAnsi="VIC Medium Italic" w:cs="VIC Medium Italic"/>
      <w:color w:val="00000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8E4EA4"/>
    <w:pPr>
      <w:spacing w:after="120"/>
    </w:pPr>
  </w:style>
  <w:style w:type="character" w:customStyle="1" w:styleId="BodyTextChar">
    <w:name w:val="Body Text Char"/>
    <w:link w:val="BodyText"/>
    <w:uiPriority w:val="99"/>
    <w:rsid w:val="008E4EA4"/>
    <w:rPr>
      <w:rFonts w:ascii="Arial" w:eastAsia="MS Mincho" w:hAnsi="Arial" w:cs="Arial"/>
      <w:sz w:val="2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4EA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E4EA4"/>
    <w:rPr>
      <w:rFonts w:ascii="Arial" w:eastAsia="MS Mincho" w:hAnsi="Arial" w:cs="Arial"/>
      <w:sz w:val="22"/>
      <w:szCs w:val="32"/>
      <w:lang w:eastAsia="en-US"/>
    </w:rPr>
  </w:style>
  <w:style w:type="character" w:styleId="BookTitle">
    <w:name w:val="Book Title"/>
    <w:uiPriority w:val="33"/>
    <w:qFormat/>
    <w:rsid w:val="008E4EA4"/>
    <w:rPr>
      <w:rFonts w:ascii="Arial" w:hAnsi="Arial"/>
      <w:b/>
      <w:bCs/>
      <w:i/>
      <w:iCs/>
      <w:spacing w:val="5"/>
    </w:rPr>
  </w:style>
  <w:style w:type="paragraph" w:customStyle="1" w:styleId="Bullet">
    <w:name w:val="Bullet"/>
    <w:basedOn w:val="Normal"/>
    <w:qFormat/>
    <w:rsid w:val="008E4EA4"/>
    <w:pPr>
      <w:numPr>
        <w:numId w:val="3"/>
      </w:numPr>
      <w:spacing w:after="120"/>
    </w:pPr>
  </w:style>
  <w:style w:type="paragraph" w:customStyle="1" w:styleId="Bulletlast">
    <w:name w:val="Bullet last"/>
    <w:basedOn w:val="Bullet"/>
    <w:qFormat/>
    <w:rsid w:val="008E4EA4"/>
    <w:pPr>
      <w:spacing w:after="200"/>
    </w:pPr>
  </w:style>
  <w:style w:type="paragraph" w:customStyle="1" w:styleId="Default">
    <w:name w:val="Default"/>
    <w:rsid w:val="008E4EA4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styleId="Emphasis">
    <w:name w:val="Emphasis"/>
    <w:uiPriority w:val="20"/>
    <w:qFormat/>
    <w:rsid w:val="008E4EA4"/>
    <w:rPr>
      <w:rFonts w:ascii="Arial" w:hAnsi="Arial"/>
      <w:i/>
      <w:iCs/>
    </w:rPr>
  </w:style>
  <w:style w:type="character" w:styleId="FollowedHyperlink">
    <w:name w:val="FollowedHyperlink"/>
    <w:uiPriority w:val="99"/>
    <w:semiHidden/>
    <w:unhideWhenUsed/>
    <w:rsid w:val="008E4EA4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4EA4"/>
    <w:pPr>
      <w:tabs>
        <w:tab w:val="center" w:pos="4320"/>
        <w:tab w:val="right" w:pos="9639"/>
      </w:tabs>
      <w:spacing w:after="0"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8E4EA4"/>
    <w:rPr>
      <w:rFonts w:ascii="Arial" w:eastAsia="MS Mincho" w:hAnsi="Arial" w:cs="Arial"/>
      <w:sz w:val="16"/>
      <w:szCs w:val="32"/>
      <w:lang w:eastAsia="en-US"/>
    </w:rPr>
  </w:style>
  <w:style w:type="character" w:styleId="FootnoteReference">
    <w:name w:val="footnote reference"/>
    <w:uiPriority w:val="99"/>
    <w:unhideWhenUsed/>
    <w:rsid w:val="008E4EA4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E4EA4"/>
    <w:rPr>
      <w:sz w:val="16"/>
    </w:rPr>
  </w:style>
  <w:style w:type="character" w:customStyle="1" w:styleId="FootnoteTextChar">
    <w:name w:val="Footnote Text Char"/>
    <w:link w:val="FootnoteText"/>
    <w:uiPriority w:val="99"/>
    <w:rsid w:val="008E4EA4"/>
    <w:rPr>
      <w:rFonts w:ascii="Arial" w:eastAsia="MS Mincho" w:hAnsi="Arial" w:cs="Arial"/>
      <w:sz w:val="16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4E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E4EA4"/>
    <w:rPr>
      <w:rFonts w:ascii="Arial" w:eastAsia="MS Mincho" w:hAnsi="Arial" w:cs="Arial"/>
      <w:sz w:val="2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AF540B"/>
    <w:rPr>
      <w:rFonts w:ascii="Arial" w:eastAsia="MS Gothic" w:hAnsi="Arial" w:cs="Times New Roman"/>
      <w:b/>
      <w:bCs/>
      <w:sz w:val="36"/>
      <w:szCs w:val="32"/>
      <w:lang w:eastAsia="en-US"/>
    </w:rPr>
  </w:style>
  <w:style w:type="paragraph" w:customStyle="1" w:styleId="Heading2numbered">
    <w:name w:val="Heading 2 numbered"/>
    <w:basedOn w:val="Heading2"/>
    <w:qFormat/>
    <w:rsid w:val="008E4EA4"/>
    <w:pPr>
      <w:numPr>
        <w:numId w:val="4"/>
      </w:numPr>
    </w:pPr>
  </w:style>
  <w:style w:type="character" w:customStyle="1" w:styleId="Heading3Char">
    <w:name w:val="Heading 3 Char"/>
    <w:link w:val="Heading3"/>
    <w:uiPriority w:val="9"/>
    <w:rsid w:val="008E4EA4"/>
    <w:rPr>
      <w:rFonts w:ascii="Arial" w:eastAsia="MS Gothic" w:hAnsi="Arial" w:cs="Arial"/>
      <w:b/>
      <w:bCs/>
      <w:sz w:val="28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8E4EA4"/>
    <w:rPr>
      <w:rFonts w:ascii="Arial" w:eastAsia="MS Gothic" w:hAnsi="Arial" w:cs="Arial"/>
      <w:b/>
      <w:bCs/>
      <w:iCs/>
      <w:szCs w:val="32"/>
      <w:lang w:eastAsia="en-US"/>
    </w:rPr>
  </w:style>
  <w:style w:type="character" w:customStyle="1" w:styleId="Heading5Char">
    <w:name w:val="Heading 5 Char"/>
    <w:link w:val="Heading5"/>
    <w:uiPriority w:val="9"/>
    <w:rsid w:val="008E4EA4"/>
    <w:rPr>
      <w:rFonts w:ascii="Arial" w:eastAsia="MS Mincho" w:hAnsi="Arial" w:cs="Times New Roman"/>
      <w:b/>
      <w:bCs/>
      <w:iCs/>
      <w:sz w:val="22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8E4EA4"/>
    <w:rPr>
      <w:rFonts w:ascii="Arial" w:eastAsia="Times New Roman" w:hAnsi="Arial" w:cs="Times New Roman"/>
      <w:b/>
      <w:bCs/>
      <w:sz w:val="18"/>
      <w:szCs w:val="22"/>
      <w:lang w:eastAsia="en-US"/>
    </w:rPr>
  </w:style>
  <w:style w:type="character" w:styleId="Hyperlink">
    <w:name w:val="Hyperlink"/>
    <w:uiPriority w:val="99"/>
    <w:unhideWhenUsed/>
    <w:rsid w:val="008E4EA4"/>
    <w:rPr>
      <w:rFonts w:ascii="Arial" w:hAnsi="Arial"/>
      <w:color w:val="0000FF"/>
      <w:u w:val="single"/>
    </w:rPr>
  </w:style>
  <w:style w:type="character" w:styleId="IntenseEmphasis">
    <w:name w:val="Intense Emphasis"/>
    <w:uiPriority w:val="21"/>
    <w:qFormat/>
    <w:rsid w:val="008E4EA4"/>
    <w:rPr>
      <w:rFonts w:ascii="Arial" w:hAnsi="Arial"/>
      <w:i/>
      <w:iCs/>
      <w:color w:val="5B9BD5"/>
    </w:rPr>
  </w:style>
  <w:style w:type="character" w:styleId="IntenseReference">
    <w:name w:val="Intense Reference"/>
    <w:uiPriority w:val="32"/>
    <w:qFormat/>
    <w:rsid w:val="008E4EA4"/>
    <w:rPr>
      <w:rFonts w:ascii="Arial" w:hAnsi="Arial"/>
      <w:b/>
      <w:bCs/>
      <w:smallCaps/>
      <w:color w:val="5B9BD5"/>
      <w:spacing w:val="5"/>
    </w:rPr>
  </w:style>
  <w:style w:type="paragraph" w:styleId="ListParagraph">
    <w:name w:val="List Paragraph"/>
    <w:basedOn w:val="Normal"/>
    <w:uiPriority w:val="34"/>
    <w:qFormat/>
    <w:rsid w:val="008E4EA4"/>
    <w:pPr>
      <w:numPr>
        <w:numId w:val="6"/>
      </w:numPr>
      <w:tabs>
        <w:tab w:val="left" w:pos="2180"/>
        <w:tab w:val="left" w:pos="2181"/>
      </w:tabs>
      <w:spacing w:after="120"/>
    </w:pPr>
    <w:rPr>
      <w:rFonts w:eastAsia="Times New Roman"/>
      <w:color w:val="38383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E4E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PageNumber">
    <w:name w:val="page number"/>
    <w:uiPriority w:val="99"/>
    <w:semiHidden/>
    <w:unhideWhenUsed/>
    <w:rsid w:val="008E4EA4"/>
  </w:style>
  <w:style w:type="character" w:styleId="Strong">
    <w:name w:val="Strong"/>
    <w:uiPriority w:val="22"/>
    <w:qFormat/>
    <w:rsid w:val="008E4EA4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EA4"/>
    <w:pPr>
      <w:spacing w:after="360"/>
      <w:outlineLvl w:val="1"/>
    </w:pPr>
    <w:rPr>
      <w:rFonts w:eastAsia="Times New Roman" w:cs="Times New Roman"/>
      <w:b/>
      <w:bCs/>
      <w:sz w:val="24"/>
    </w:rPr>
  </w:style>
  <w:style w:type="character" w:customStyle="1" w:styleId="SubtitleChar">
    <w:name w:val="Subtitle Char"/>
    <w:link w:val="Subtitle"/>
    <w:uiPriority w:val="11"/>
    <w:rsid w:val="008E4EA4"/>
    <w:rPr>
      <w:rFonts w:ascii="Arial" w:eastAsia="Times New Roman" w:hAnsi="Arial" w:cs="Times New Roman"/>
      <w:b/>
      <w:bCs/>
      <w:szCs w:val="32"/>
      <w:lang w:eastAsia="en-US"/>
    </w:rPr>
  </w:style>
  <w:style w:type="character" w:styleId="SubtleEmphasis">
    <w:name w:val="Subtle Emphasis"/>
    <w:uiPriority w:val="19"/>
    <w:qFormat/>
    <w:rsid w:val="008E4EA4"/>
    <w:rPr>
      <w:rFonts w:ascii="Arial" w:hAnsi="Arial"/>
      <w:i/>
      <w:iCs/>
      <w:color w:val="404040"/>
    </w:rPr>
  </w:style>
  <w:style w:type="character" w:styleId="SubtleReference">
    <w:name w:val="Subtle Reference"/>
    <w:uiPriority w:val="31"/>
    <w:qFormat/>
    <w:rsid w:val="008E4EA4"/>
    <w:rPr>
      <w:rFonts w:ascii="Arial" w:hAnsi="Arial"/>
      <w:smallCaps/>
      <w:color w:val="5A5A5A"/>
    </w:rPr>
  </w:style>
  <w:style w:type="paragraph" w:customStyle="1" w:styleId="TableParagraph">
    <w:name w:val="Table Paragraph"/>
    <w:basedOn w:val="Normal"/>
    <w:uiPriority w:val="1"/>
    <w:qFormat/>
    <w:rsid w:val="008E4EA4"/>
    <w:pPr>
      <w:spacing w:before="60" w:after="60" w:line="220" w:lineRule="atLeast"/>
    </w:pPr>
    <w:rPr>
      <w:rFonts w:eastAsia="Arial"/>
      <w:sz w:val="18"/>
      <w:szCs w:val="22"/>
      <w:lang w:eastAsia="en-GB"/>
    </w:rPr>
  </w:style>
  <w:style w:type="paragraph" w:customStyle="1" w:styleId="TableCopy">
    <w:name w:val="Table Copy"/>
    <w:basedOn w:val="TableParagraph"/>
    <w:qFormat/>
    <w:rsid w:val="008E4EA4"/>
    <w:rPr>
      <w:sz w:val="22"/>
    </w:rPr>
  </w:style>
  <w:style w:type="paragraph" w:customStyle="1" w:styleId="TableBullet">
    <w:name w:val="Table Bullet"/>
    <w:basedOn w:val="TableCopy"/>
    <w:qFormat/>
    <w:rsid w:val="008E4EA4"/>
    <w:pPr>
      <w:numPr>
        <w:numId w:val="7"/>
      </w:numPr>
    </w:pPr>
  </w:style>
  <w:style w:type="table" w:styleId="TableGrid">
    <w:name w:val="Table Grid"/>
    <w:basedOn w:val="TableNormal"/>
    <w:uiPriority w:val="59"/>
    <w:rsid w:val="008E4EA4"/>
    <w:rPr>
      <w:rFonts w:ascii="Cambria" w:eastAsia="MS Mincho" w:hAnsi="Cambria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TableGridLight">
    <w:name w:val="Grid Table Light"/>
    <w:basedOn w:val="TableNormal"/>
    <w:uiPriority w:val="40"/>
    <w:rsid w:val="008E4EA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customStyle="1" w:styleId="TableHeading">
    <w:name w:val="Table Heading"/>
    <w:basedOn w:val="Normal"/>
    <w:qFormat/>
    <w:rsid w:val="008E4EA4"/>
    <w:pPr>
      <w:keepNext/>
      <w:spacing w:before="40" w:after="40" w:line="220" w:lineRule="atLeast"/>
    </w:pPr>
    <w:rPr>
      <w:b/>
      <w:szCs w:val="4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E4EA4"/>
    <w:pPr>
      <w:spacing w:after="360" w:line="300" w:lineRule="atLeast"/>
    </w:pPr>
    <w:rPr>
      <w:rFonts w:eastAsia="MS Gothic"/>
      <w:b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E4EA4"/>
    <w:rPr>
      <w:rFonts w:ascii="Arial" w:eastAsia="MS Gothic" w:hAnsi="Arial" w:cs="Arial"/>
      <w:b/>
      <w:spacing w:val="5"/>
      <w:kern w:val="28"/>
      <w:sz w:val="52"/>
      <w:szCs w:val="5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E4EA4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F540B"/>
    <w:pPr>
      <w:tabs>
        <w:tab w:val="left" w:pos="800"/>
        <w:tab w:val="right" w:leader="dot" w:pos="9628"/>
      </w:tabs>
      <w:spacing w:after="0"/>
      <w:ind w:left="568" w:hanging="284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E4EA4"/>
    <w:pPr>
      <w:spacing w:after="0"/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E4EA4"/>
    <w:pPr>
      <w:spacing w:after="0"/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E4EA4"/>
    <w:pPr>
      <w:spacing w:after="0"/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E4EA4"/>
    <w:pPr>
      <w:spacing w:after="0"/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E4EA4"/>
    <w:pPr>
      <w:spacing w:after="0"/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E4EA4"/>
    <w:pPr>
      <w:spacing w:after="0"/>
      <w:ind w:left="1600"/>
    </w:pPr>
    <w:rPr>
      <w:rFonts w:ascii="Cambria" w:hAnsi="Cambria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E4EA4"/>
    <w:pPr>
      <w:spacing w:after="0" w:line="276" w:lineRule="auto"/>
      <w:outlineLvl w:val="9"/>
    </w:pPr>
    <w:rPr>
      <w:color w:val="365F91"/>
      <w:sz w:val="28"/>
      <w:szCs w:val="28"/>
    </w:rPr>
  </w:style>
  <w:style w:type="paragraph" w:customStyle="1" w:styleId="Normalbeforebullet">
    <w:name w:val="Normal before bullet"/>
    <w:basedOn w:val="Normal"/>
    <w:qFormat/>
    <w:rsid w:val="009B4482"/>
    <w:pPr>
      <w:keepNext/>
      <w:spacing w:after="120"/>
    </w:pPr>
  </w:style>
  <w:style w:type="paragraph" w:customStyle="1" w:styleId="Numberedlist">
    <w:name w:val="Numbered list"/>
    <w:basedOn w:val="Normalbeforebullet"/>
    <w:qFormat/>
    <w:rsid w:val="00EF309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caljobsfirst.vic.gov.a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ivacy%40ecodev.vic.gov.au?subject=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jpr.vic.gov.au/privacy" TargetMode="External"/><Relationship Id="rId5" Type="http://schemas.openxmlformats.org/officeDocument/2006/relationships/styles" Target="styles.xml"/><Relationship Id="rId15" Type="http://schemas.openxmlformats.org/officeDocument/2006/relationships/hyperlink" Target="https://agriculture.vic.gov.au/support-and-resources/funds-grants-programs/livestock-biosecurity-funds?utm_source=agriculture-vic-gov-au&amp;utm_medium=vanity-url-301ssredirect&amp;utm_content=livestockbiosecurityfunds&amp;utm_campaign=agriculture" TargetMode="External"/><Relationship Id="rId10" Type="http://schemas.openxmlformats.org/officeDocument/2006/relationships/hyperlink" Target="http://agriculture.vic.gov.au/livestockbiosecurityfund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agriculture.vic.gov.au/support-and-resources/funds-grants-programs/livestock-biosecurity-funds" TargetMode="External"/><Relationship Id="rId14" Type="http://schemas.openxmlformats.org/officeDocument/2006/relationships/hyperlink" Target="https://icn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3C1F94868028B941A9F636D24B6D0CAC" ma:contentTypeVersion="26" ma:contentTypeDescription="DEDJTR Document" ma:contentTypeScope="" ma:versionID="bc231e733822b0db0632826f9c390568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0f208eee-826d-4d53-b58f-52ef28ff7957" targetNamespace="http://schemas.microsoft.com/office/2006/metadata/properties" ma:root="true" ma:fieldsID="4d359cbc43496a7b6ddb8e30b31c9ab9" ns2:_="" ns3:_="" ns4:_="">
    <xsd:import namespace="72567383-1e26-4692-bdad-5f5be69e1590"/>
    <xsd:import namespace="b3cc5fa8-9929-4f74-b449-d7a5840b4704"/>
    <xsd:import namespace="0f208eee-826d-4d53-b58f-52ef28ff7957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Users" minOccurs="0"/>
                <xsd:element ref="ns3:SharedWithDetail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eee-826d-4d53-b58f-52ef28ff7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BA38EA-D19E-4753-A022-2890B5304A8F}"/>
</file>

<file path=customXml/itemProps2.xml><?xml version="1.0" encoding="utf-8"?>
<ds:datastoreItem xmlns:ds="http://schemas.openxmlformats.org/officeDocument/2006/customXml" ds:itemID="{CA4CC42D-7873-4216-8A8E-A1DC176A3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BAB1D-568A-EE4F-ADCE-BC701D32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16</Pages>
  <Words>4959</Words>
  <Characters>28271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Samaa Kirby</cp:lastModifiedBy>
  <cp:revision>6</cp:revision>
  <dcterms:created xsi:type="dcterms:W3CDTF">2022-10-12T22:09:00Z</dcterms:created>
  <dcterms:modified xsi:type="dcterms:W3CDTF">2022-10-26T02:40:00Z</dcterms:modified>
</cp:coreProperties>
</file>