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53E9C" w14:textId="725F918E" w:rsidR="00E217D0" w:rsidRPr="00A534B0" w:rsidRDefault="00E217D0" w:rsidP="00E217D0">
      <w:pPr>
        <w:pStyle w:val="Agtitle"/>
        <w:rPr>
          <w:color w:val="000000" w:themeColor="text1"/>
        </w:rPr>
      </w:pPr>
      <w:r w:rsidRPr="00A534B0">
        <w:rPr>
          <w:color w:val="000000" w:themeColor="text1"/>
        </w:rPr>
        <w:t xml:space="preserve">Dairy Farm Monitor Project </w:t>
      </w:r>
      <w:r w:rsidRPr="00A534B0">
        <w:rPr>
          <w:color w:val="000000" w:themeColor="text1"/>
        </w:rPr>
        <w:br/>
      </w:r>
      <w:r w:rsidR="00143822" w:rsidRPr="00A534B0">
        <w:rPr>
          <w:color w:val="000000" w:themeColor="text1"/>
          <w:sz w:val="28"/>
          <w:szCs w:val="10"/>
        </w:rPr>
        <w:t>2020</w:t>
      </w:r>
      <w:r w:rsidR="00D222B3" w:rsidRPr="00A534B0">
        <w:rPr>
          <w:color w:val="000000" w:themeColor="text1"/>
          <w:sz w:val="28"/>
          <w:szCs w:val="10"/>
        </w:rPr>
        <w:t>-21</w:t>
      </w:r>
      <w:r w:rsidRPr="00A534B0">
        <w:rPr>
          <w:color w:val="000000" w:themeColor="text1"/>
          <w:sz w:val="28"/>
          <w:szCs w:val="10"/>
        </w:rPr>
        <w:t xml:space="preserve"> </w:t>
      </w:r>
      <w:r w:rsidR="008A6FB9" w:rsidRPr="00A534B0">
        <w:rPr>
          <w:color w:val="000000" w:themeColor="text1"/>
          <w:sz w:val="28"/>
          <w:szCs w:val="10"/>
        </w:rPr>
        <w:t>Gippsland</w:t>
      </w:r>
      <w:r w:rsidR="00513AEA" w:rsidRPr="00A534B0">
        <w:rPr>
          <w:color w:val="000000" w:themeColor="text1"/>
          <w:sz w:val="28"/>
          <w:szCs w:val="10"/>
        </w:rPr>
        <w:t xml:space="preserve"> </w:t>
      </w:r>
      <w:r w:rsidRPr="00A534B0">
        <w:rPr>
          <w:color w:val="000000" w:themeColor="text1"/>
          <w:sz w:val="28"/>
          <w:szCs w:val="10"/>
        </w:rPr>
        <w:t>Victoria Overview</w:t>
      </w:r>
    </w:p>
    <w:p w14:paraId="3E60F30C" w14:textId="74812747" w:rsidR="00143822" w:rsidRPr="00A534B0" w:rsidRDefault="00E217D0" w:rsidP="00143822">
      <w:pPr>
        <w:rPr>
          <w:sz w:val="22"/>
          <w:szCs w:val="22"/>
        </w:rPr>
      </w:pPr>
      <w:r w:rsidRPr="00A534B0">
        <w:br/>
      </w:r>
      <w:r w:rsidR="00D9535F" w:rsidRPr="00A534B0">
        <w:rPr>
          <w:sz w:val="22"/>
          <w:szCs w:val="22"/>
        </w:rPr>
        <w:t>The Dairy Farm Monitor Project provide</w:t>
      </w:r>
      <w:r w:rsidR="00513AEA" w:rsidRPr="00A534B0">
        <w:rPr>
          <w:sz w:val="22"/>
          <w:szCs w:val="22"/>
        </w:rPr>
        <w:t>s</w:t>
      </w:r>
      <w:r w:rsidR="00D9535F" w:rsidRPr="00A534B0">
        <w:rPr>
          <w:sz w:val="22"/>
          <w:szCs w:val="22"/>
        </w:rPr>
        <w:t xml:space="preserve"> industry and government with timely, farm level data for developing targeted strategy and decision making. </w:t>
      </w:r>
    </w:p>
    <w:p w14:paraId="440FB41A" w14:textId="2858E3E9" w:rsidR="00E9080D" w:rsidRPr="00A534B0" w:rsidRDefault="00D9535F" w:rsidP="00143822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Encourages the application of whole farm analysis principles on Victorian farm businesses. </w:t>
      </w:r>
    </w:p>
    <w:p w14:paraId="3B515947" w14:textId="003F6678" w:rsidR="00550E0C" w:rsidRPr="00A534B0" w:rsidRDefault="00550E0C" w:rsidP="00143822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In </w:t>
      </w:r>
      <w:r w:rsidR="008A6FB9" w:rsidRPr="00A534B0">
        <w:rPr>
          <w:sz w:val="22"/>
          <w:szCs w:val="22"/>
        </w:rPr>
        <w:t>Gippsland</w:t>
      </w:r>
      <w:r w:rsidRPr="00A534B0">
        <w:rPr>
          <w:sz w:val="22"/>
          <w:szCs w:val="22"/>
        </w:rPr>
        <w:t xml:space="preserve">, </w:t>
      </w:r>
      <w:r w:rsidR="008A6FB9" w:rsidRPr="00A534B0">
        <w:rPr>
          <w:sz w:val="22"/>
          <w:szCs w:val="22"/>
        </w:rPr>
        <w:t>25</w:t>
      </w:r>
      <w:r w:rsidRPr="00A534B0">
        <w:rPr>
          <w:sz w:val="22"/>
          <w:szCs w:val="22"/>
        </w:rPr>
        <w:t xml:space="preserve"> farms are analysed. </w:t>
      </w:r>
    </w:p>
    <w:p w14:paraId="104A6532" w14:textId="20A31861" w:rsidR="00550E0C" w:rsidRPr="00A534B0" w:rsidRDefault="00550E0C" w:rsidP="00550E0C">
      <w:pPr>
        <w:pStyle w:val="Heading1"/>
        <w:rPr>
          <w:color w:val="000000" w:themeColor="text1"/>
        </w:rPr>
      </w:pPr>
      <w:r w:rsidRPr="00A534B0">
        <w:rPr>
          <w:color w:val="000000" w:themeColor="text1"/>
        </w:rPr>
        <w:t xml:space="preserve">Dairying in </w:t>
      </w:r>
      <w:r w:rsidR="009249D1" w:rsidRPr="00A534B0">
        <w:rPr>
          <w:color w:val="000000" w:themeColor="text1"/>
        </w:rPr>
        <w:t>Gippsland</w:t>
      </w:r>
    </w:p>
    <w:p w14:paraId="52BC0F02" w14:textId="1D332C45" w:rsidR="00C87C4C" w:rsidRPr="00A534B0" w:rsidRDefault="00550E0C" w:rsidP="00143822">
      <w:pPr>
        <w:rPr>
          <w:sz w:val="22"/>
          <w:szCs w:val="22"/>
        </w:rPr>
      </w:pPr>
      <w:r w:rsidRPr="00A534B0">
        <w:rPr>
          <w:sz w:val="22"/>
          <w:szCs w:val="22"/>
        </w:rPr>
        <w:t>Approximately 1,</w:t>
      </w:r>
      <w:r w:rsidR="002D536A" w:rsidRPr="00A534B0">
        <w:rPr>
          <w:sz w:val="22"/>
          <w:szCs w:val="22"/>
        </w:rPr>
        <w:t>1</w:t>
      </w:r>
      <w:r w:rsidR="00C87C4C" w:rsidRPr="00A534B0">
        <w:rPr>
          <w:sz w:val="22"/>
          <w:szCs w:val="22"/>
        </w:rPr>
        <w:t>0</w:t>
      </w:r>
      <w:r w:rsidRPr="00A534B0">
        <w:rPr>
          <w:sz w:val="22"/>
          <w:szCs w:val="22"/>
        </w:rPr>
        <w:t xml:space="preserve">0 </w:t>
      </w:r>
      <w:r w:rsidR="00C87C4C" w:rsidRPr="00A534B0">
        <w:rPr>
          <w:sz w:val="22"/>
          <w:szCs w:val="22"/>
        </w:rPr>
        <w:t xml:space="preserve">dairy </w:t>
      </w:r>
      <w:r w:rsidRPr="00A534B0">
        <w:rPr>
          <w:sz w:val="22"/>
          <w:szCs w:val="22"/>
        </w:rPr>
        <w:t>farm</w:t>
      </w:r>
      <w:r w:rsidR="002D536A" w:rsidRPr="00A534B0">
        <w:rPr>
          <w:sz w:val="22"/>
          <w:szCs w:val="22"/>
        </w:rPr>
        <w:t xml:space="preserve"> businesses</w:t>
      </w:r>
      <w:r w:rsidRPr="00A534B0">
        <w:rPr>
          <w:sz w:val="22"/>
          <w:szCs w:val="22"/>
        </w:rPr>
        <w:t xml:space="preserve"> in </w:t>
      </w:r>
      <w:r w:rsidR="009249D1" w:rsidRPr="00A534B0">
        <w:rPr>
          <w:sz w:val="22"/>
          <w:szCs w:val="22"/>
        </w:rPr>
        <w:t>Gippsland</w:t>
      </w:r>
      <w:r w:rsidR="00C87C4C" w:rsidRPr="00A534B0">
        <w:rPr>
          <w:sz w:val="22"/>
          <w:szCs w:val="22"/>
        </w:rPr>
        <w:t xml:space="preserve"> </w:t>
      </w:r>
      <w:r w:rsidR="009249D1" w:rsidRPr="00A534B0">
        <w:rPr>
          <w:sz w:val="22"/>
          <w:szCs w:val="22"/>
        </w:rPr>
        <w:t>produce</w:t>
      </w:r>
      <w:r w:rsidR="000937D1" w:rsidRPr="00A534B0">
        <w:rPr>
          <w:sz w:val="22"/>
          <w:szCs w:val="22"/>
        </w:rPr>
        <w:t>d</w:t>
      </w:r>
      <w:r w:rsidR="009249D1" w:rsidRPr="00A534B0">
        <w:rPr>
          <w:sz w:val="22"/>
          <w:szCs w:val="22"/>
        </w:rPr>
        <w:t xml:space="preserve"> </w:t>
      </w:r>
      <w:r w:rsidR="002D536A" w:rsidRPr="00A534B0">
        <w:rPr>
          <w:sz w:val="22"/>
          <w:szCs w:val="22"/>
        </w:rPr>
        <w:t>2.00</w:t>
      </w:r>
      <w:r w:rsidR="009249D1" w:rsidRPr="00A534B0">
        <w:rPr>
          <w:sz w:val="22"/>
          <w:szCs w:val="22"/>
        </w:rPr>
        <w:t xml:space="preserve"> billion litres of milk </w:t>
      </w:r>
      <w:r w:rsidR="000937D1" w:rsidRPr="00A534B0">
        <w:rPr>
          <w:sz w:val="22"/>
          <w:szCs w:val="22"/>
        </w:rPr>
        <w:t xml:space="preserve">in 2020-21, </w:t>
      </w:r>
      <w:r w:rsidR="009249D1" w:rsidRPr="00A534B0">
        <w:rPr>
          <w:sz w:val="22"/>
          <w:szCs w:val="22"/>
        </w:rPr>
        <w:t xml:space="preserve">accounting for </w:t>
      </w:r>
      <w:r w:rsidR="000937D1" w:rsidRPr="00A534B0">
        <w:rPr>
          <w:sz w:val="22"/>
          <w:szCs w:val="22"/>
        </w:rPr>
        <w:t>36</w:t>
      </w:r>
      <w:r w:rsidR="006A5E26" w:rsidRPr="00A534B0">
        <w:rPr>
          <w:sz w:val="22"/>
          <w:szCs w:val="22"/>
        </w:rPr>
        <w:t xml:space="preserve"> per cent</w:t>
      </w:r>
      <w:r w:rsidR="000937D1" w:rsidRPr="00A534B0">
        <w:rPr>
          <w:sz w:val="22"/>
          <w:szCs w:val="22"/>
        </w:rPr>
        <w:t xml:space="preserve"> of Victoria’s milk production output and 23</w:t>
      </w:r>
      <w:r w:rsidR="006A5E26" w:rsidRPr="00A534B0">
        <w:rPr>
          <w:sz w:val="22"/>
          <w:szCs w:val="22"/>
        </w:rPr>
        <w:t xml:space="preserve"> per cent</w:t>
      </w:r>
      <w:r w:rsidR="000937D1" w:rsidRPr="00A534B0">
        <w:rPr>
          <w:sz w:val="22"/>
          <w:szCs w:val="22"/>
        </w:rPr>
        <w:t xml:space="preserve"> of </w:t>
      </w:r>
      <w:r w:rsidR="009249D1" w:rsidRPr="00A534B0">
        <w:rPr>
          <w:sz w:val="22"/>
          <w:szCs w:val="22"/>
        </w:rPr>
        <w:t>Australia’s milk production</w:t>
      </w:r>
      <w:r w:rsidR="00B10250" w:rsidRPr="00A534B0">
        <w:rPr>
          <w:sz w:val="22"/>
          <w:szCs w:val="22"/>
        </w:rPr>
        <w:t>.</w:t>
      </w:r>
    </w:p>
    <w:p w14:paraId="4BA061E4" w14:textId="401ACFB2" w:rsidR="009C515A" w:rsidRPr="00A534B0" w:rsidRDefault="009C515A" w:rsidP="009C515A">
      <w:pPr>
        <w:pStyle w:val="Heading1"/>
        <w:rPr>
          <w:color w:val="000000" w:themeColor="text1"/>
        </w:rPr>
      </w:pPr>
      <w:r w:rsidRPr="00A534B0">
        <w:rPr>
          <w:color w:val="000000" w:themeColor="text1"/>
        </w:rPr>
        <w:t>Physical farm characteristics</w:t>
      </w:r>
    </w:p>
    <w:p w14:paraId="4438C153" w14:textId="77777777" w:rsidR="000937D1" w:rsidRPr="00A534B0" w:rsidRDefault="007A245E" w:rsidP="00143822">
      <w:pPr>
        <w:rPr>
          <w:sz w:val="22"/>
          <w:szCs w:val="22"/>
        </w:rPr>
      </w:pPr>
      <w:r w:rsidRPr="00A534B0">
        <w:rPr>
          <w:sz w:val="22"/>
          <w:szCs w:val="22"/>
        </w:rPr>
        <w:t>On average, farm</w:t>
      </w:r>
      <w:r w:rsidR="000937D1" w:rsidRPr="00A534B0">
        <w:rPr>
          <w:sz w:val="22"/>
          <w:szCs w:val="22"/>
        </w:rPr>
        <w:t xml:space="preserve"> businesse</w:t>
      </w:r>
      <w:r w:rsidRPr="00A534B0">
        <w:rPr>
          <w:sz w:val="22"/>
          <w:szCs w:val="22"/>
        </w:rPr>
        <w:t>s in</w:t>
      </w:r>
      <w:r w:rsidR="00B10250" w:rsidRPr="00A534B0">
        <w:rPr>
          <w:sz w:val="22"/>
          <w:szCs w:val="22"/>
        </w:rPr>
        <w:t xml:space="preserve"> Gippsland maintained </w:t>
      </w:r>
      <w:r w:rsidR="000937D1" w:rsidRPr="00A534B0">
        <w:rPr>
          <w:sz w:val="22"/>
          <w:szCs w:val="22"/>
        </w:rPr>
        <w:t xml:space="preserve">herd size and milk production, per cow and per hectare. Wet conditions, particularly in south and west Gippsland, contributed to the lower homegrown feed production and economic performance. </w:t>
      </w:r>
    </w:p>
    <w:p w14:paraId="6D2B64ED" w14:textId="64CB7376" w:rsidR="009C515A" w:rsidRPr="00A534B0" w:rsidRDefault="009C515A" w:rsidP="00143822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Average herd size </w:t>
      </w:r>
      <w:r w:rsidR="00B10250" w:rsidRPr="00A534B0">
        <w:rPr>
          <w:sz w:val="22"/>
          <w:szCs w:val="22"/>
        </w:rPr>
        <w:t>remained stable at</w:t>
      </w:r>
      <w:r w:rsidR="007A245E" w:rsidRPr="00A534B0">
        <w:rPr>
          <w:sz w:val="22"/>
          <w:szCs w:val="22"/>
        </w:rPr>
        <w:t xml:space="preserve"> </w:t>
      </w:r>
      <w:r w:rsidR="00B10250" w:rsidRPr="00A534B0">
        <w:rPr>
          <w:sz w:val="22"/>
          <w:szCs w:val="22"/>
        </w:rPr>
        <w:t>3</w:t>
      </w:r>
      <w:r w:rsidR="000937D1" w:rsidRPr="00A534B0">
        <w:rPr>
          <w:sz w:val="22"/>
          <w:szCs w:val="22"/>
        </w:rPr>
        <w:t>08 cows</w:t>
      </w:r>
      <w:r w:rsidR="007A245E" w:rsidRPr="00A534B0">
        <w:rPr>
          <w:sz w:val="22"/>
          <w:szCs w:val="22"/>
        </w:rPr>
        <w:t xml:space="preserve"> </w:t>
      </w:r>
      <w:r w:rsidRPr="00A534B0">
        <w:rPr>
          <w:sz w:val="22"/>
          <w:szCs w:val="22"/>
        </w:rPr>
        <w:t>in 20</w:t>
      </w:r>
      <w:r w:rsidR="000937D1" w:rsidRPr="00A534B0">
        <w:rPr>
          <w:sz w:val="22"/>
          <w:szCs w:val="22"/>
        </w:rPr>
        <w:t>2</w:t>
      </w:r>
      <w:r w:rsidRPr="00A534B0">
        <w:rPr>
          <w:sz w:val="22"/>
          <w:szCs w:val="22"/>
        </w:rPr>
        <w:t>0</w:t>
      </w:r>
      <w:r w:rsidR="000937D1" w:rsidRPr="00A534B0">
        <w:rPr>
          <w:sz w:val="22"/>
          <w:szCs w:val="22"/>
        </w:rPr>
        <w:t>-21</w:t>
      </w:r>
      <w:r w:rsidRPr="00A534B0">
        <w:rPr>
          <w:sz w:val="22"/>
          <w:szCs w:val="22"/>
        </w:rPr>
        <w:t xml:space="preserve"> compared with the previous year. </w:t>
      </w:r>
    </w:p>
    <w:p w14:paraId="607F7648" w14:textId="30B8607A" w:rsidR="009C515A" w:rsidRPr="00A534B0" w:rsidRDefault="009C515A" w:rsidP="00143822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Milk solids sold </w:t>
      </w:r>
      <w:r w:rsidR="00212295" w:rsidRPr="00A534B0">
        <w:rPr>
          <w:sz w:val="22"/>
          <w:szCs w:val="22"/>
        </w:rPr>
        <w:t>remained stable at</w:t>
      </w:r>
      <w:r w:rsidRPr="00A534B0">
        <w:rPr>
          <w:sz w:val="22"/>
          <w:szCs w:val="22"/>
        </w:rPr>
        <w:t xml:space="preserve"> </w:t>
      </w:r>
      <w:r w:rsidR="00186E4F" w:rsidRPr="00A534B0">
        <w:rPr>
          <w:sz w:val="22"/>
          <w:szCs w:val="22"/>
        </w:rPr>
        <w:t>48</w:t>
      </w:r>
      <w:r w:rsidR="00212295" w:rsidRPr="00A534B0">
        <w:rPr>
          <w:sz w:val="22"/>
          <w:szCs w:val="22"/>
        </w:rPr>
        <w:t>5</w:t>
      </w:r>
      <w:r w:rsidR="00186E4F" w:rsidRPr="00A534B0">
        <w:rPr>
          <w:sz w:val="22"/>
          <w:szCs w:val="22"/>
        </w:rPr>
        <w:t xml:space="preserve"> kilogram of milk solids</w:t>
      </w:r>
      <w:r w:rsidRPr="00A534B0">
        <w:rPr>
          <w:sz w:val="22"/>
          <w:szCs w:val="22"/>
        </w:rPr>
        <w:t xml:space="preserve"> </w:t>
      </w:r>
      <w:r w:rsidR="00186E4F" w:rsidRPr="00A534B0">
        <w:rPr>
          <w:sz w:val="22"/>
          <w:szCs w:val="22"/>
        </w:rPr>
        <w:t>(</w:t>
      </w:r>
      <w:r w:rsidRPr="00A534B0">
        <w:rPr>
          <w:sz w:val="22"/>
          <w:szCs w:val="22"/>
        </w:rPr>
        <w:t>kg MS</w:t>
      </w:r>
      <w:r w:rsidR="00186E4F" w:rsidRPr="00A534B0">
        <w:rPr>
          <w:sz w:val="22"/>
          <w:szCs w:val="22"/>
        </w:rPr>
        <w:t>)</w:t>
      </w:r>
      <w:r w:rsidRPr="00A534B0">
        <w:rPr>
          <w:sz w:val="22"/>
          <w:szCs w:val="22"/>
        </w:rPr>
        <w:t>/cow in 2020</w:t>
      </w:r>
      <w:r w:rsidR="00212295" w:rsidRPr="00A534B0">
        <w:rPr>
          <w:sz w:val="22"/>
          <w:szCs w:val="22"/>
        </w:rPr>
        <w:t>-21</w:t>
      </w:r>
      <w:r w:rsidRPr="00A534B0">
        <w:rPr>
          <w:sz w:val="22"/>
          <w:szCs w:val="22"/>
        </w:rPr>
        <w:t xml:space="preserve"> </w:t>
      </w:r>
      <w:r w:rsidR="00D47AC2" w:rsidRPr="00A534B0">
        <w:rPr>
          <w:sz w:val="22"/>
          <w:szCs w:val="22"/>
        </w:rPr>
        <w:t xml:space="preserve">compared with the previous year. </w:t>
      </w:r>
    </w:p>
    <w:p w14:paraId="0BE40C72" w14:textId="08E6B7E0" w:rsidR="00D47AC2" w:rsidRPr="00A534B0" w:rsidRDefault="00D47AC2" w:rsidP="00143822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Homegrown feed production </w:t>
      </w:r>
      <w:r w:rsidR="00212295" w:rsidRPr="00A534B0">
        <w:rPr>
          <w:sz w:val="22"/>
          <w:szCs w:val="22"/>
        </w:rPr>
        <w:t>de</w:t>
      </w:r>
      <w:r w:rsidR="00186E4F" w:rsidRPr="00A534B0">
        <w:rPr>
          <w:sz w:val="22"/>
          <w:szCs w:val="22"/>
        </w:rPr>
        <w:t>creased</w:t>
      </w:r>
      <w:r w:rsidR="00C1242D" w:rsidRPr="00A534B0">
        <w:rPr>
          <w:sz w:val="22"/>
          <w:szCs w:val="22"/>
        </w:rPr>
        <w:t xml:space="preserve"> to </w:t>
      </w:r>
      <w:r w:rsidR="00186E4F" w:rsidRPr="00A534B0">
        <w:rPr>
          <w:sz w:val="22"/>
          <w:szCs w:val="22"/>
        </w:rPr>
        <w:t>6</w:t>
      </w:r>
      <w:r w:rsidR="00212295" w:rsidRPr="00A534B0">
        <w:rPr>
          <w:sz w:val="22"/>
          <w:szCs w:val="22"/>
        </w:rPr>
        <w:t>6</w:t>
      </w:r>
      <w:r w:rsidRPr="00A534B0">
        <w:rPr>
          <w:sz w:val="22"/>
          <w:szCs w:val="22"/>
        </w:rPr>
        <w:t xml:space="preserve"> per cent of metaboli</w:t>
      </w:r>
      <w:r w:rsidR="00C1242D" w:rsidRPr="00A534B0">
        <w:rPr>
          <w:sz w:val="22"/>
          <w:szCs w:val="22"/>
        </w:rPr>
        <w:t>s</w:t>
      </w:r>
      <w:r w:rsidRPr="00A534B0">
        <w:rPr>
          <w:sz w:val="22"/>
          <w:szCs w:val="22"/>
        </w:rPr>
        <w:t>able energy consum</w:t>
      </w:r>
      <w:r w:rsidR="00410CA2" w:rsidRPr="00A534B0">
        <w:rPr>
          <w:sz w:val="22"/>
          <w:szCs w:val="22"/>
        </w:rPr>
        <w:t>ed</w:t>
      </w:r>
      <w:r w:rsidR="00212295" w:rsidRPr="00A534B0">
        <w:rPr>
          <w:sz w:val="22"/>
          <w:szCs w:val="22"/>
        </w:rPr>
        <w:t xml:space="preserve"> in 2020-21</w:t>
      </w:r>
      <w:r w:rsidR="00C1242D" w:rsidRPr="00A534B0">
        <w:rPr>
          <w:sz w:val="22"/>
          <w:szCs w:val="22"/>
        </w:rPr>
        <w:t>.</w:t>
      </w:r>
    </w:p>
    <w:p w14:paraId="60396F84" w14:textId="77777777" w:rsidR="002603E0" w:rsidRPr="00A534B0" w:rsidRDefault="002603E0" w:rsidP="005A777D">
      <w:pPr>
        <w:pStyle w:val="Agbodytext"/>
      </w:pPr>
    </w:p>
    <w:p w14:paraId="665F1B14" w14:textId="161C671F" w:rsidR="0017077E" w:rsidRPr="00A534B0" w:rsidRDefault="0017077E" w:rsidP="00E9080D">
      <w:pPr>
        <w:pStyle w:val="Heading2"/>
        <w:rPr>
          <w:bCs/>
          <w:caps/>
          <w:color w:val="000000" w:themeColor="text1"/>
          <w:sz w:val="22"/>
          <w:szCs w:val="52"/>
        </w:rPr>
      </w:pPr>
      <w:r w:rsidRPr="00A534B0">
        <w:rPr>
          <w:bCs/>
          <w:caps/>
          <w:color w:val="000000" w:themeColor="text1"/>
          <w:sz w:val="22"/>
          <w:szCs w:val="52"/>
        </w:rPr>
        <w:t>Farm performance</w:t>
      </w:r>
    </w:p>
    <w:p w14:paraId="38764459" w14:textId="702AAE90" w:rsidR="00143822" w:rsidRPr="00A534B0" w:rsidRDefault="0017077E" w:rsidP="00E9080D">
      <w:pPr>
        <w:pStyle w:val="Heading2"/>
        <w:rPr>
          <w:color w:val="000000" w:themeColor="text1"/>
          <w:sz w:val="22"/>
          <w:szCs w:val="20"/>
        </w:rPr>
      </w:pPr>
      <w:r w:rsidRPr="00A534B0">
        <w:rPr>
          <w:color w:val="000000" w:themeColor="text1"/>
          <w:sz w:val="22"/>
          <w:szCs w:val="20"/>
        </w:rPr>
        <w:t>In 20</w:t>
      </w:r>
      <w:r w:rsidR="00143822" w:rsidRPr="00A534B0">
        <w:rPr>
          <w:color w:val="000000" w:themeColor="text1"/>
          <w:sz w:val="22"/>
          <w:szCs w:val="20"/>
        </w:rPr>
        <w:t>20</w:t>
      </w:r>
      <w:r w:rsidR="007C3EE3" w:rsidRPr="00A534B0">
        <w:rPr>
          <w:color w:val="000000" w:themeColor="text1"/>
          <w:sz w:val="22"/>
          <w:szCs w:val="20"/>
        </w:rPr>
        <w:t>-21</w:t>
      </w:r>
      <w:r w:rsidRPr="00A534B0">
        <w:rPr>
          <w:color w:val="000000" w:themeColor="text1"/>
          <w:sz w:val="22"/>
          <w:szCs w:val="20"/>
        </w:rPr>
        <w:t xml:space="preserve">, </w:t>
      </w:r>
      <w:r w:rsidR="007C3EE3" w:rsidRPr="00A534B0">
        <w:rPr>
          <w:color w:val="000000" w:themeColor="text1"/>
          <w:sz w:val="22"/>
          <w:szCs w:val="20"/>
        </w:rPr>
        <w:t>22 of the</w:t>
      </w:r>
      <w:r w:rsidR="0009354F" w:rsidRPr="00A534B0">
        <w:rPr>
          <w:color w:val="000000" w:themeColor="text1"/>
          <w:sz w:val="22"/>
          <w:szCs w:val="20"/>
        </w:rPr>
        <w:t xml:space="preserve"> 25 Gippsland participants (</w:t>
      </w:r>
      <w:r w:rsidR="007C3EE3" w:rsidRPr="00A534B0">
        <w:rPr>
          <w:color w:val="000000" w:themeColor="text1"/>
          <w:sz w:val="22"/>
          <w:szCs w:val="20"/>
        </w:rPr>
        <w:t>88</w:t>
      </w:r>
      <w:r w:rsidR="0009354F" w:rsidRPr="00A534B0">
        <w:rPr>
          <w:color w:val="000000" w:themeColor="text1"/>
          <w:sz w:val="22"/>
          <w:szCs w:val="20"/>
        </w:rPr>
        <w:t xml:space="preserve"> per cent) had a </w:t>
      </w:r>
      <w:r w:rsidR="00410CA2" w:rsidRPr="00A534B0">
        <w:rPr>
          <w:color w:val="000000" w:themeColor="text1"/>
          <w:sz w:val="22"/>
          <w:szCs w:val="20"/>
        </w:rPr>
        <w:t>positive return on total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A534B0" w:rsidRPr="00A534B0" w14:paraId="45618E17" w14:textId="77777777" w:rsidTr="006915E7">
        <w:tc>
          <w:tcPr>
            <w:tcW w:w="3490" w:type="dxa"/>
          </w:tcPr>
          <w:p w14:paraId="67EBA47F" w14:textId="77777777" w:rsidR="007C3EE3" w:rsidRPr="00A534B0" w:rsidRDefault="007C3EE3" w:rsidP="007C3EE3">
            <w:pPr>
              <w:rPr>
                <w:sz w:val="22"/>
                <w:szCs w:val="22"/>
              </w:rPr>
            </w:pPr>
          </w:p>
        </w:tc>
        <w:tc>
          <w:tcPr>
            <w:tcW w:w="3491" w:type="dxa"/>
          </w:tcPr>
          <w:p w14:paraId="561280FD" w14:textId="0367B542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2019-20</w:t>
            </w:r>
          </w:p>
        </w:tc>
        <w:tc>
          <w:tcPr>
            <w:tcW w:w="3491" w:type="dxa"/>
          </w:tcPr>
          <w:p w14:paraId="1EEB567C" w14:textId="0FC5ED24" w:rsidR="007C3EE3" w:rsidRPr="00A534B0" w:rsidRDefault="00160DEB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2020-21</w:t>
            </w:r>
          </w:p>
        </w:tc>
      </w:tr>
      <w:tr w:rsidR="00A534B0" w:rsidRPr="00A534B0" w14:paraId="4348045D" w14:textId="77777777" w:rsidTr="006915E7">
        <w:tc>
          <w:tcPr>
            <w:tcW w:w="3490" w:type="dxa"/>
          </w:tcPr>
          <w:p w14:paraId="4A94E74A" w14:textId="362FC77C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Average earning</w:t>
            </w:r>
            <w:r w:rsidR="001A3D52" w:rsidRPr="00A534B0">
              <w:rPr>
                <w:sz w:val="22"/>
                <w:szCs w:val="22"/>
              </w:rPr>
              <w:t>s</w:t>
            </w:r>
            <w:r w:rsidRPr="00A534B0">
              <w:rPr>
                <w:sz w:val="22"/>
                <w:szCs w:val="22"/>
              </w:rPr>
              <w:t xml:space="preserve"> before interest and tax</w:t>
            </w:r>
          </w:p>
        </w:tc>
        <w:tc>
          <w:tcPr>
            <w:tcW w:w="3491" w:type="dxa"/>
          </w:tcPr>
          <w:p w14:paraId="4D79E10B" w14:textId="1140F682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$337,000</w:t>
            </w:r>
          </w:p>
        </w:tc>
        <w:tc>
          <w:tcPr>
            <w:tcW w:w="3491" w:type="dxa"/>
          </w:tcPr>
          <w:p w14:paraId="57BB30B2" w14:textId="57DC1721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$300,000</w:t>
            </w:r>
          </w:p>
        </w:tc>
      </w:tr>
      <w:tr w:rsidR="00A534B0" w:rsidRPr="00A534B0" w14:paraId="751E1847" w14:textId="77777777" w:rsidTr="006915E7">
        <w:tc>
          <w:tcPr>
            <w:tcW w:w="3490" w:type="dxa"/>
          </w:tcPr>
          <w:p w14:paraId="3CDC4C9C" w14:textId="19E27A12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Average net farm income</w:t>
            </w:r>
          </w:p>
        </w:tc>
        <w:tc>
          <w:tcPr>
            <w:tcW w:w="3491" w:type="dxa"/>
          </w:tcPr>
          <w:p w14:paraId="6A73DAEE" w14:textId="06A1823E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$238,000</w:t>
            </w:r>
          </w:p>
        </w:tc>
        <w:tc>
          <w:tcPr>
            <w:tcW w:w="3491" w:type="dxa"/>
          </w:tcPr>
          <w:p w14:paraId="79A2C9A1" w14:textId="0F28C09A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$220,000</w:t>
            </w:r>
          </w:p>
        </w:tc>
      </w:tr>
      <w:tr w:rsidR="00A534B0" w:rsidRPr="00A534B0" w14:paraId="518B1E0B" w14:textId="77777777" w:rsidTr="006915E7">
        <w:tc>
          <w:tcPr>
            <w:tcW w:w="3490" w:type="dxa"/>
          </w:tcPr>
          <w:p w14:paraId="1E964020" w14:textId="083274DC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Average return on total assets</w:t>
            </w:r>
          </w:p>
        </w:tc>
        <w:tc>
          <w:tcPr>
            <w:tcW w:w="3491" w:type="dxa"/>
          </w:tcPr>
          <w:p w14:paraId="0526C77F" w14:textId="7D0E48A1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6.6%</w:t>
            </w:r>
          </w:p>
        </w:tc>
        <w:tc>
          <w:tcPr>
            <w:tcW w:w="3491" w:type="dxa"/>
          </w:tcPr>
          <w:p w14:paraId="3BC00BA2" w14:textId="6DE75246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5.4%</w:t>
            </w:r>
          </w:p>
        </w:tc>
      </w:tr>
      <w:tr w:rsidR="007C3EE3" w:rsidRPr="00A534B0" w14:paraId="0176E317" w14:textId="77777777" w:rsidTr="006915E7">
        <w:tc>
          <w:tcPr>
            <w:tcW w:w="3490" w:type="dxa"/>
          </w:tcPr>
          <w:p w14:paraId="610C5DD1" w14:textId="5FAA060E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Average return on equity</w:t>
            </w:r>
          </w:p>
        </w:tc>
        <w:tc>
          <w:tcPr>
            <w:tcW w:w="3491" w:type="dxa"/>
          </w:tcPr>
          <w:p w14:paraId="32780241" w14:textId="28054CF7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12.4%</w:t>
            </w:r>
          </w:p>
        </w:tc>
        <w:tc>
          <w:tcPr>
            <w:tcW w:w="3491" w:type="dxa"/>
          </w:tcPr>
          <w:p w14:paraId="40FB3D99" w14:textId="2CFDBFF6" w:rsidR="007C3EE3" w:rsidRPr="00A534B0" w:rsidRDefault="007C3EE3" w:rsidP="007C3EE3">
            <w:pPr>
              <w:rPr>
                <w:sz w:val="22"/>
                <w:szCs w:val="22"/>
              </w:rPr>
            </w:pPr>
            <w:r w:rsidRPr="00A534B0">
              <w:rPr>
                <w:sz w:val="22"/>
                <w:szCs w:val="22"/>
              </w:rPr>
              <w:t>8.0%</w:t>
            </w:r>
          </w:p>
        </w:tc>
      </w:tr>
    </w:tbl>
    <w:p w14:paraId="4BF71742" w14:textId="77777777" w:rsidR="00A54C79" w:rsidRPr="00A534B0" w:rsidRDefault="00A54C79" w:rsidP="006915E7"/>
    <w:p w14:paraId="5C7833F9" w14:textId="06F2FBAF" w:rsidR="006915E7" w:rsidRPr="00A534B0" w:rsidRDefault="003327C7" w:rsidP="006915E7">
      <w:pPr>
        <w:rPr>
          <w:b/>
          <w:sz w:val="24"/>
          <w:szCs w:val="22"/>
        </w:rPr>
      </w:pPr>
      <w:r w:rsidRPr="00A534B0">
        <w:rPr>
          <w:b/>
          <w:sz w:val="24"/>
          <w:szCs w:val="22"/>
        </w:rPr>
        <w:t xml:space="preserve">Farm profitability </w:t>
      </w:r>
      <w:r w:rsidR="00B67B82" w:rsidRPr="00A534B0">
        <w:rPr>
          <w:b/>
          <w:sz w:val="24"/>
          <w:szCs w:val="22"/>
        </w:rPr>
        <w:t>was</w:t>
      </w:r>
      <w:r w:rsidRPr="00A534B0">
        <w:rPr>
          <w:b/>
          <w:sz w:val="24"/>
          <w:szCs w:val="22"/>
        </w:rPr>
        <w:t xml:space="preserve"> influenced by</w:t>
      </w:r>
    </w:p>
    <w:p w14:paraId="3D23B2B4" w14:textId="73F93E11" w:rsidR="00143822" w:rsidRPr="00A534B0" w:rsidRDefault="008E4C3D" w:rsidP="006915E7">
      <w:pPr>
        <w:rPr>
          <w:sz w:val="22"/>
          <w:szCs w:val="56"/>
        </w:rPr>
      </w:pPr>
      <w:r w:rsidRPr="00A534B0">
        <w:rPr>
          <w:sz w:val="22"/>
          <w:szCs w:val="56"/>
        </w:rPr>
        <w:t>Six</w:t>
      </w:r>
      <w:r w:rsidR="00E228E1" w:rsidRPr="00A534B0">
        <w:rPr>
          <w:sz w:val="22"/>
          <w:szCs w:val="56"/>
        </w:rPr>
        <w:t xml:space="preserve"> per cent</w:t>
      </w:r>
      <w:r w:rsidR="00143822" w:rsidRPr="00A534B0">
        <w:rPr>
          <w:sz w:val="22"/>
          <w:szCs w:val="56"/>
        </w:rPr>
        <w:t xml:space="preserve"> </w:t>
      </w:r>
      <w:r w:rsidR="00172E41" w:rsidRPr="00A534B0">
        <w:rPr>
          <w:sz w:val="22"/>
          <w:szCs w:val="56"/>
        </w:rPr>
        <w:t>de</w:t>
      </w:r>
      <w:r w:rsidR="00143822" w:rsidRPr="00A534B0">
        <w:rPr>
          <w:sz w:val="22"/>
          <w:szCs w:val="56"/>
        </w:rPr>
        <w:t>crease in average milk price to $</w:t>
      </w:r>
      <w:r w:rsidR="00193D0C" w:rsidRPr="00A534B0">
        <w:rPr>
          <w:sz w:val="22"/>
          <w:szCs w:val="56"/>
        </w:rPr>
        <w:t>6.5</w:t>
      </w:r>
      <w:r w:rsidR="00172E41" w:rsidRPr="00A534B0">
        <w:rPr>
          <w:sz w:val="22"/>
          <w:szCs w:val="56"/>
        </w:rPr>
        <w:t>4</w:t>
      </w:r>
      <w:r w:rsidR="00143822" w:rsidRPr="00A534B0">
        <w:rPr>
          <w:sz w:val="22"/>
          <w:szCs w:val="56"/>
        </w:rPr>
        <w:t xml:space="preserve">/kg MS. </w:t>
      </w:r>
    </w:p>
    <w:p w14:paraId="225962F9" w14:textId="78E8154C" w:rsidR="00172E41" w:rsidRPr="00A534B0" w:rsidRDefault="00193D0C" w:rsidP="006915E7">
      <w:pPr>
        <w:rPr>
          <w:sz w:val="22"/>
          <w:szCs w:val="56"/>
        </w:rPr>
      </w:pPr>
      <w:r w:rsidRPr="00A534B0">
        <w:rPr>
          <w:sz w:val="22"/>
          <w:szCs w:val="56"/>
        </w:rPr>
        <w:t>9</w:t>
      </w:r>
      <w:r w:rsidR="00172E41" w:rsidRPr="00A534B0">
        <w:rPr>
          <w:sz w:val="22"/>
          <w:szCs w:val="56"/>
        </w:rPr>
        <w:t>36</w:t>
      </w:r>
      <w:r w:rsidRPr="00A534B0">
        <w:rPr>
          <w:sz w:val="22"/>
          <w:szCs w:val="56"/>
        </w:rPr>
        <w:t xml:space="preserve"> </w:t>
      </w:r>
      <w:proofErr w:type="spellStart"/>
      <w:r w:rsidR="00F63699" w:rsidRPr="00A534B0">
        <w:rPr>
          <w:sz w:val="22"/>
          <w:szCs w:val="56"/>
        </w:rPr>
        <w:t>millimeters</w:t>
      </w:r>
      <w:proofErr w:type="spellEnd"/>
      <w:r w:rsidR="008E4DAF" w:rsidRPr="00A534B0">
        <w:rPr>
          <w:sz w:val="22"/>
          <w:szCs w:val="56"/>
        </w:rPr>
        <w:t xml:space="preserve"> (mm)</w:t>
      </w:r>
      <w:r w:rsidRPr="00A534B0">
        <w:rPr>
          <w:sz w:val="22"/>
          <w:szCs w:val="56"/>
        </w:rPr>
        <w:t xml:space="preserve"> of rainfall </w:t>
      </w:r>
      <w:r w:rsidR="00170937" w:rsidRPr="00A534B0">
        <w:rPr>
          <w:sz w:val="22"/>
          <w:szCs w:val="56"/>
        </w:rPr>
        <w:t>or</w:t>
      </w:r>
      <w:r w:rsidR="00172E41" w:rsidRPr="00A534B0">
        <w:rPr>
          <w:sz w:val="22"/>
          <w:szCs w:val="56"/>
        </w:rPr>
        <w:t xml:space="preserve"> 106 per cent of long-term average; ranging between 684 mm and 1,180 mm. </w:t>
      </w:r>
    </w:p>
    <w:p w14:paraId="72BA8DBB" w14:textId="77777777" w:rsidR="00172E41" w:rsidRPr="00A534B0" w:rsidRDefault="00CC7D33" w:rsidP="00777CB1">
      <w:pPr>
        <w:rPr>
          <w:sz w:val="22"/>
          <w:szCs w:val="56"/>
        </w:rPr>
      </w:pPr>
      <w:r w:rsidRPr="00A534B0">
        <w:rPr>
          <w:sz w:val="22"/>
          <w:szCs w:val="56"/>
        </w:rPr>
        <w:t xml:space="preserve">100 per cent </w:t>
      </w:r>
      <w:r w:rsidR="00172E41" w:rsidRPr="00A534B0">
        <w:rPr>
          <w:sz w:val="22"/>
          <w:szCs w:val="56"/>
        </w:rPr>
        <w:t xml:space="preserve">of high reliability water share and low reliability water share in the Macalister Irrigation District, with spill entitlement. </w:t>
      </w:r>
    </w:p>
    <w:p w14:paraId="59980418" w14:textId="77777777" w:rsidR="008E4C3D" w:rsidRPr="00A534B0" w:rsidRDefault="008E4C3D" w:rsidP="006915E7">
      <w:pPr>
        <w:rPr>
          <w:sz w:val="22"/>
          <w:szCs w:val="56"/>
        </w:rPr>
      </w:pPr>
      <w:r w:rsidRPr="00A534B0">
        <w:rPr>
          <w:sz w:val="22"/>
          <w:szCs w:val="56"/>
        </w:rPr>
        <w:t xml:space="preserve">Six per cent decrease in feed costs due to lower feed prices, greater fodder reserves on-hand, and less purchased irrigation water used. </w:t>
      </w:r>
    </w:p>
    <w:p w14:paraId="0885A29D" w14:textId="6F0ACCE9" w:rsidR="008E4A59" w:rsidRPr="00A534B0" w:rsidRDefault="003E0489" w:rsidP="006915E7">
      <w:pPr>
        <w:rPr>
          <w:sz w:val="22"/>
          <w:szCs w:val="56"/>
        </w:rPr>
      </w:pPr>
      <w:r w:rsidRPr="00A534B0">
        <w:rPr>
          <w:sz w:val="22"/>
          <w:szCs w:val="56"/>
        </w:rPr>
        <w:t>R</w:t>
      </w:r>
      <w:r w:rsidR="008E4A59" w:rsidRPr="00A534B0">
        <w:rPr>
          <w:sz w:val="22"/>
          <w:szCs w:val="56"/>
        </w:rPr>
        <w:t>eturn on total assets and milk price</w:t>
      </w:r>
      <w:r w:rsidR="00951C32" w:rsidRPr="00A534B0">
        <w:rPr>
          <w:sz w:val="22"/>
          <w:szCs w:val="56"/>
        </w:rPr>
        <w:t xml:space="preserve"> in 20</w:t>
      </w:r>
      <w:r w:rsidRPr="00A534B0">
        <w:rPr>
          <w:sz w:val="22"/>
          <w:szCs w:val="56"/>
        </w:rPr>
        <w:t>20-21</w:t>
      </w:r>
      <w:r w:rsidR="00951C32" w:rsidRPr="00A534B0">
        <w:rPr>
          <w:sz w:val="22"/>
          <w:szCs w:val="56"/>
        </w:rPr>
        <w:t xml:space="preserve"> were among the highest reported in the 1</w:t>
      </w:r>
      <w:r w:rsidRPr="00A534B0">
        <w:rPr>
          <w:sz w:val="22"/>
          <w:szCs w:val="56"/>
        </w:rPr>
        <w:t>5</w:t>
      </w:r>
      <w:r w:rsidR="0035620D" w:rsidRPr="00A534B0">
        <w:rPr>
          <w:sz w:val="22"/>
          <w:szCs w:val="56"/>
        </w:rPr>
        <w:t>-</w:t>
      </w:r>
      <w:r w:rsidR="00951C32" w:rsidRPr="00A534B0">
        <w:rPr>
          <w:sz w:val="22"/>
          <w:szCs w:val="56"/>
        </w:rPr>
        <w:t xml:space="preserve">years of the project. </w:t>
      </w:r>
    </w:p>
    <w:p w14:paraId="357516B2" w14:textId="422FE435" w:rsidR="000C19D0" w:rsidRPr="00A534B0" w:rsidRDefault="000C19D0" w:rsidP="006915E7">
      <w:pPr>
        <w:rPr>
          <w:sz w:val="22"/>
          <w:szCs w:val="56"/>
        </w:rPr>
      </w:pPr>
      <w:r w:rsidRPr="00A534B0">
        <w:rPr>
          <w:sz w:val="22"/>
          <w:szCs w:val="56"/>
        </w:rPr>
        <w:lastRenderedPageBreak/>
        <w:t xml:space="preserve">Average earnings before interest and tax </w:t>
      </w:r>
      <w:r w:rsidR="003E0489" w:rsidRPr="00A534B0">
        <w:rPr>
          <w:sz w:val="22"/>
          <w:szCs w:val="56"/>
        </w:rPr>
        <w:t>de</w:t>
      </w:r>
      <w:r w:rsidRPr="00A534B0">
        <w:rPr>
          <w:sz w:val="22"/>
          <w:szCs w:val="56"/>
        </w:rPr>
        <w:t>creased from $</w:t>
      </w:r>
      <w:r w:rsidR="00777CB1" w:rsidRPr="00A534B0">
        <w:rPr>
          <w:sz w:val="22"/>
          <w:szCs w:val="56"/>
        </w:rPr>
        <w:t>2.07</w:t>
      </w:r>
      <w:r w:rsidRPr="00A534B0">
        <w:rPr>
          <w:sz w:val="22"/>
          <w:szCs w:val="56"/>
        </w:rPr>
        <w:t>/kg MS in 2019-20</w:t>
      </w:r>
      <w:r w:rsidR="003E0489" w:rsidRPr="00A534B0">
        <w:rPr>
          <w:sz w:val="22"/>
          <w:szCs w:val="56"/>
        </w:rPr>
        <w:t xml:space="preserve"> to $1.78/kg MS in 2020-21.</w:t>
      </w:r>
      <w:r w:rsidRPr="00A534B0">
        <w:rPr>
          <w:sz w:val="22"/>
          <w:szCs w:val="56"/>
        </w:rPr>
        <w:t xml:space="preserve"> </w:t>
      </w:r>
    </w:p>
    <w:p w14:paraId="600EB674" w14:textId="5F1AFA0D" w:rsidR="004D24AA" w:rsidRPr="00A534B0" w:rsidRDefault="004D24AA">
      <w:pPr>
        <w:spacing w:after="0" w:line="240" w:lineRule="auto"/>
        <w:rPr>
          <w:b/>
          <w:bCs/>
          <w:caps/>
          <w:sz w:val="22"/>
        </w:rPr>
      </w:pPr>
    </w:p>
    <w:p w14:paraId="3D2F142A" w14:textId="562023B5" w:rsidR="000C19D0" w:rsidRPr="00A534B0" w:rsidRDefault="000C19D0" w:rsidP="004D24AA">
      <w:pPr>
        <w:pStyle w:val="Heading2"/>
        <w:rPr>
          <w:bCs/>
          <w:caps/>
          <w:color w:val="000000" w:themeColor="text1"/>
          <w:sz w:val="22"/>
          <w:szCs w:val="52"/>
        </w:rPr>
      </w:pPr>
      <w:r w:rsidRPr="00A534B0">
        <w:rPr>
          <w:bCs/>
          <w:caps/>
          <w:color w:val="000000" w:themeColor="text1"/>
          <w:sz w:val="22"/>
          <w:szCs w:val="52"/>
        </w:rPr>
        <w:t>Future expectations</w:t>
      </w:r>
      <w:r w:rsidR="003E0489" w:rsidRPr="00A534B0">
        <w:rPr>
          <w:bCs/>
          <w:caps/>
          <w:color w:val="000000" w:themeColor="text1"/>
          <w:sz w:val="22"/>
          <w:szCs w:val="52"/>
        </w:rPr>
        <w:t xml:space="preserve"> 2021-22</w:t>
      </w:r>
    </w:p>
    <w:p w14:paraId="61941C24" w14:textId="4E716D9C" w:rsidR="003E0489" w:rsidRPr="00A534B0" w:rsidRDefault="003E0489" w:rsidP="006915E7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Of those who commented, 66 per cent expect business returns to </w:t>
      </w:r>
      <w:r w:rsidR="001D4057" w:rsidRPr="00A534B0">
        <w:rPr>
          <w:sz w:val="22"/>
          <w:szCs w:val="22"/>
        </w:rPr>
        <w:t>increase and about 33 per cent expect them to stabili</w:t>
      </w:r>
      <w:r w:rsidR="00ED0815" w:rsidRPr="00A534B0">
        <w:rPr>
          <w:sz w:val="22"/>
          <w:szCs w:val="22"/>
        </w:rPr>
        <w:t>s</w:t>
      </w:r>
      <w:r w:rsidR="001D4057" w:rsidRPr="00A534B0">
        <w:rPr>
          <w:sz w:val="22"/>
          <w:szCs w:val="22"/>
        </w:rPr>
        <w:t xml:space="preserve">e. </w:t>
      </w:r>
    </w:p>
    <w:p w14:paraId="6B8F975A" w14:textId="35350836" w:rsidR="000C19D0" w:rsidRPr="00A534B0" w:rsidRDefault="000C19D0" w:rsidP="006915E7">
      <w:pPr>
        <w:rPr>
          <w:sz w:val="22"/>
          <w:szCs w:val="22"/>
        </w:rPr>
      </w:pPr>
      <w:r w:rsidRPr="00A534B0">
        <w:rPr>
          <w:sz w:val="22"/>
          <w:szCs w:val="22"/>
        </w:rPr>
        <w:t>Concerns as reported by farm</w:t>
      </w:r>
      <w:r w:rsidR="00ED0815" w:rsidRPr="00A534B0">
        <w:rPr>
          <w:sz w:val="22"/>
          <w:szCs w:val="22"/>
        </w:rPr>
        <w:t xml:space="preserve"> businesses</w:t>
      </w:r>
      <w:r w:rsidRPr="00A534B0">
        <w:rPr>
          <w:sz w:val="22"/>
          <w:szCs w:val="22"/>
        </w:rPr>
        <w:t xml:space="preserve">; </w:t>
      </w:r>
      <w:r w:rsidR="001D4057" w:rsidRPr="00A534B0">
        <w:rPr>
          <w:sz w:val="22"/>
          <w:szCs w:val="22"/>
        </w:rPr>
        <w:t>milk price</w:t>
      </w:r>
      <w:r w:rsidR="004D24AA" w:rsidRPr="00A534B0">
        <w:rPr>
          <w:sz w:val="22"/>
          <w:szCs w:val="22"/>
        </w:rPr>
        <w:t xml:space="preserve"> (1</w:t>
      </w:r>
      <w:r w:rsidR="00907D02" w:rsidRPr="00A534B0">
        <w:rPr>
          <w:sz w:val="22"/>
          <w:szCs w:val="22"/>
        </w:rPr>
        <w:t>8</w:t>
      </w:r>
      <w:r w:rsidR="00B162BA" w:rsidRPr="00A534B0">
        <w:rPr>
          <w:sz w:val="22"/>
          <w:szCs w:val="22"/>
        </w:rPr>
        <w:t xml:space="preserve"> per cent</w:t>
      </w:r>
      <w:r w:rsidR="004D24AA" w:rsidRPr="00A534B0">
        <w:rPr>
          <w:sz w:val="22"/>
          <w:szCs w:val="22"/>
        </w:rPr>
        <w:t>)</w:t>
      </w:r>
      <w:r w:rsidRPr="00A534B0">
        <w:rPr>
          <w:sz w:val="22"/>
          <w:szCs w:val="22"/>
        </w:rPr>
        <w:t xml:space="preserve">, </w:t>
      </w:r>
      <w:r w:rsidR="001D4057" w:rsidRPr="00A534B0">
        <w:rPr>
          <w:sz w:val="22"/>
          <w:szCs w:val="22"/>
        </w:rPr>
        <w:t>pasture/fodder</w:t>
      </w:r>
      <w:r w:rsidR="004D24AA" w:rsidRPr="00A534B0">
        <w:rPr>
          <w:sz w:val="22"/>
          <w:szCs w:val="22"/>
        </w:rPr>
        <w:t xml:space="preserve"> (1</w:t>
      </w:r>
      <w:r w:rsidR="003E0A47" w:rsidRPr="00A534B0">
        <w:rPr>
          <w:sz w:val="22"/>
          <w:szCs w:val="22"/>
        </w:rPr>
        <w:t>7</w:t>
      </w:r>
      <w:r w:rsidR="00B162BA" w:rsidRPr="00A534B0">
        <w:rPr>
          <w:sz w:val="22"/>
          <w:szCs w:val="22"/>
        </w:rPr>
        <w:t xml:space="preserve"> per cent</w:t>
      </w:r>
      <w:r w:rsidR="004D24AA" w:rsidRPr="00A534B0">
        <w:rPr>
          <w:sz w:val="22"/>
          <w:szCs w:val="22"/>
        </w:rPr>
        <w:t>)</w:t>
      </w:r>
      <w:r w:rsidR="003E0A47" w:rsidRPr="00A534B0">
        <w:rPr>
          <w:sz w:val="22"/>
          <w:szCs w:val="22"/>
        </w:rPr>
        <w:t xml:space="preserve">, </w:t>
      </w:r>
      <w:r w:rsidR="001D4057" w:rsidRPr="00A534B0">
        <w:rPr>
          <w:sz w:val="22"/>
          <w:szCs w:val="22"/>
        </w:rPr>
        <w:t>input costs</w:t>
      </w:r>
      <w:r w:rsidR="003E0A47" w:rsidRPr="00A534B0">
        <w:rPr>
          <w:sz w:val="22"/>
          <w:szCs w:val="22"/>
        </w:rPr>
        <w:t xml:space="preserve"> (1</w:t>
      </w:r>
      <w:r w:rsidR="00432C11" w:rsidRPr="00A534B0">
        <w:rPr>
          <w:sz w:val="22"/>
          <w:szCs w:val="22"/>
        </w:rPr>
        <w:t>6</w:t>
      </w:r>
      <w:r w:rsidR="003E0A47" w:rsidRPr="00A534B0">
        <w:rPr>
          <w:sz w:val="22"/>
          <w:szCs w:val="22"/>
        </w:rPr>
        <w:t xml:space="preserve"> per cent)</w:t>
      </w:r>
      <w:r w:rsidR="00B162BA" w:rsidRPr="00A534B0">
        <w:rPr>
          <w:sz w:val="22"/>
          <w:szCs w:val="22"/>
        </w:rPr>
        <w:t xml:space="preserve"> and </w:t>
      </w:r>
      <w:r w:rsidR="001D4057" w:rsidRPr="00A534B0">
        <w:rPr>
          <w:sz w:val="22"/>
          <w:szCs w:val="22"/>
        </w:rPr>
        <w:t>climate/seasonal conditions</w:t>
      </w:r>
      <w:r w:rsidR="00B162BA" w:rsidRPr="00A534B0">
        <w:rPr>
          <w:sz w:val="22"/>
          <w:szCs w:val="22"/>
        </w:rPr>
        <w:t xml:space="preserve"> (</w:t>
      </w:r>
      <w:r w:rsidR="00123AC4" w:rsidRPr="00A534B0">
        <w:rPr>
          <w:sz w:val="22"/>
          <w:szCs w:val="22"/>
        </w:rPr>
        <w:t>1</w:t>
      </w:r>
      <w:r w:rsidR="00432C11" w:rsidRPr="00A534B0">
        <w:rPr>
          <w:sz w:val="22"/>
          <w:szCs w:val="22"/>
        </w:rPr>
        <w:t>4</w:t>
      </w:r>
      <w:r w:rsidR="00123AC4" w:rsidRPr="00A534B0">
        <w:rPr>
          <w:sz w:val="22"/>
          <w:szCs w:val="22"/>
        </w:rPr>
        <w:t xml:space="preserve"> </w:t>
      </w:r>
      <w:r w:rsidR="00B162BA" w:rsidRPr="00A534B0">
        <w:rPr>
          <w:sz w:val="22"/>
          <w:szCs w:val="22"/>
        </w:rPr>
        <w:t>per cent)</w:t>
      </w:r>
      <w:r w:rsidRPr="00A534B0">
        <w:rPr>
          <w:sz w:val="22"/>
          <w:szCs w:val="22"/>
        </w:rPr>
        <w:t xml:space="preserve">. </w:t>
      </w:r>
    </w:p>
    <w:p w14:paraId="2DD53FB9" w14:textId="039C9FD8" w:rsidR="005F0BA1" w:rsidRPr="00A534B0" w:rsidRDefault="005F0BA1" w:rsidP="006915E7">
      <w:pPr>
        <w:rPr>
          <w:sz w:val="22"/>
          <w:szCs w:val="22"/>
        </w:rPr>
      </w:pPr>
    </w:p>
    <w:p w14:paraId="15898BD8" w14:textId="77777777" w:rsidR="006D38E7" w:rsidRPr="00A534B0" w:rsidRDefault="006D38E7" w:rsidP="006915E7">
      <w:pPr>
        <w:rPr>
          <w:sz w:val="22"/>
          <w:szCs w:val="22"/>
        </w:rPr>
      </w:pPr>
    </w:p>
    <w:p w14:paraId="1503BD8E" w14:textId="55588ECA" w:rsidR="002603E0" w:rsidRPr="00A534B0" w:rsidRDefault="002603E0" w:rsidP="006915E7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Further information: </w:t>
      </w:r>
      <w:hyperlink r:id="rId11" w:history="1">
        <w:r w:rsidRPr="00A534B0">
          <w:rPr>
            <w:rStyle w:val="Hyperlink"/>
            <w:color w:val="000000" w:themeColor="text1"/>
            <w:sz w:val="22"/>
            <w:szCs w:val="22"/>
          </w:rPr>
          <w:t>www.agriculture.vic.gov.au/dairyfarmmonitor</w:t>
        </w:r>
      </w:hyperlink>
    </w:p>
    <w:p w14:paraId="2363C5BB" w14:textId="08282D98" w:rsidR="00A12C14" w:rsidRPr="00A534B0" w:rsidRDefault="00A12C14" w:rsidP="00A12C14">
      <w:pPr>
        <w:rPr>
          <w:sz w:val="22"/>
          <w:szCs w:val="22"/>
        </w:rPr>
      </w:pPr>
      <w:r w:rsidRPr="00A534B0">
        <w:rPr>
          <w:sz w:val="22"/>
          <w:szCs w:val="22"/>
        </w:rPr>
        <w:t xml:space="preserve">If you would like to receive this publication in an accessible format, telephone 138 186 or email </w:t>
      </w:r>
      <w:hyperlink r:id="rId12" w:history="1">
        <w:r w:rsidR="006D38E7" w:rsidRPr="00A534B0">
          <w:rPr>
            <w:rStyle w:val="Hyperlink"/>
            <w:color w:val="000000" w:themeColor="text1"/>
            <w:sz w:val="22"/>
            <w:szCs w:val="22"/>
          </w:rPr>
          <w:t>fmp.victoria@agriculture.vic.gov.au</w:t>
        </w:r>
      </w:hyperlink>
    </w:p>
    <w:p w14:paraId="0869DA38" w14:textId="5FE53A15" w:rsidR="00C87998" w:rsidRPr="00A534B0" w:rsidRDefault="00C87998" w:rsidP="00BD3C77">
      <w:pPr>
        <w:spacing w:line="360" w:lineRule="exact"/>
      </w:pPr>
    </w:p>
    <w:p w14:paraId="2046AFB8" w14:textId="77777777" w:rsidR="00C87998" w:rsidRPr="00A534B0" w:rsidRDefault="00C87998" w:rsidP="00BD3C77">
      <w:pPr>
        <w:spacing w:line="360" w:lineRule="exact"/>
        <w:rPr>
          <w:b/>
          <w:bCs/>
          <w:sz w:val="28"/>
          <w:szCs w:val="60"/>
        </w:rPr>
      </w:pPr>
      <w:r w:rsidRPr="00A534B0">
        <w:rPr>
          <w:b/>
          <w:bCs/>
          <w:sz w:val="28"/>
          <w:szCs w:val="60"/>
        </w:rPr>
        <w:t xml:space="preserve">Dairy Farm Monitor Project is provided with funding and support from the Victorian Government and Dairy Australia. </w:t>
      </w:r>
    </w:p>
    <w:p w14:paraId="77F22A1E" w14:textId="77777777" w:rsidR="00C87998" w:rsidRPr="00A534B0" w:rsidRDefault="00C87998" w:rsidP="00A12C14"/>
    <w:sectPr w:rsidR="00C87998" w:rsidRPr="00A534B0" w:rsidSect="00CE740C"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A5B92" w14:textId="77777777" w:rsidR="001C3B1C" w:rsidRDefault="001C3B1C" w:rsidP="008954B2">
      <w:r>
        <w:separator/>
      </w:r>
    </w:p>
  </w:endnote>
  <w:endnote w:type="continuationSeparator" w:id="0">
    <w:p w14:paraId="0156EDC5" w14:textId="77777777" w:rsidR="001C3B1C" w:rsidRDefault="001C3B1C" w:rsidP="008954B2">
      <w:r>
        <w:continuationSeparator/>
      </w:r>
    </w:p>
  </w:endnote>
  <w:endnote w:type="continuationNotice" w:id="1">
    <w:p w14:paraId="7A65A684" w14:textId="77777777" w:rsidR="004B4CEC" w:rsidRDefault="004B4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840D1" w14:textId="77777777" w:rsidR="001C3B1C" w:rsidRDefault="001C3B1C" w:rsidP="008954B2">
      <w:r>
        <w:separator/>
      </w:r>
    </w:p>
  </w:footnote>
  <w:footnote w:type="continuationSeparator" w:id="0">
    <w:p w14:paraId="23D73408" w14:textId="77777777" w:rsidR="001C3B1C" w:rsidRDefault="001C3B1C" w:rsidP="008954B2">
      <w:r>
        <w:continuationSeparator/>
      </w:r>
    </w:p>
  </w:footnote>
  <w:footnote w:type="continuationNotice" w:id="1">
    <w:p w14:paraId="4C33DBA1" w14:textId="77777777" w:rsidR="004B4CEC" w:rsidRDefault="004B4C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2784E"/>
    <w:rsid w:val="000356FF"/>
    <w:rsid w:val="00044589"/>
    <w:rsid w:val="00051E50"/>
    <w:rsid w:val="00055C19"/>
    <w:rsid w:val="0006014F"/>
    <w:rsid w:val="00081FFD"/>
    <w:rsid w:val="000909F0"/>
    <w:rsid w:val="0009354F"/>
    <w:rsid w:val="000937D1"/>
    <w:rsid w:val="00096368"/>
    <w:rsid w:val="000C19D0"/>
    <w:rsid w:val="000C35AB"/>
    <w:rsid w:val="00117559"/>
    <w:rsid w:val="00123AC4"/>
    <w:rsid w:val="00133657"/>
    <w:rsid w:val="00143822"/>
    <w:rsid w:val="00147114"/>
    <w:rsid w:val="00160DEB"/>
    <w:rsid w:val="001654C4"/>
    <w:rsid w:val="0017077E"/>
    <w:rsid w:val="00170937"/>
    <w:rsid w:val="00172E41"/>
    <w:rsid w:val="001731CD"/>
    <w:rsid w:val="0018080B"/>
    <w:rsid w:val="00180AE6"/>
    <w:rsid w:val="00186E4F"/>
    <w:rsid w:val="00193D0C"/>
    <w:rsid w:val="001A3D52"/>
    <w:rsid w:val="001B2BAA"/>
    <w:rsid w:val="001C1E94"/>
    <w:rsid w:val="001C3B1C"/>
    <w:rsid w:val="001C7EBF"/>
    <w:rsid w:val="001D4057"/>
    <w:rsid w:val="00212295"/>
    <w:rsid w:val="00213D61"/>
    <w:rsid w:val="00257C7B"/>
    <w:rsid w:val="002603E0"/>
    <w:rsid w:val="00262B0D"/>
    <w:rsid w:val="00275313"/>
    <w:rsid w:val="00283833"/>
    <w:rsid w:val="002B0C9A"/>
    <w:rsid w:val="002C49D8"/>
    <w:rsid w:val="002D536A"/>
    <w:rsid w:val="00305F7C"/>
    <w:rsid w:val="00306B4E"/>
    <w:rsid w:val="00320B43"/>
    <w:rsid w:val="00321F07"/>
    <w:rsid w:val="003327C7"/>
    <w:rsid w:val="0035620D"/>
    <w:rsid w:val="003825E7"/>
    <w:rsid w:val="00397B9B"/>
    <w:rsid w:val="003A0AFB"/>
    <w:rsid w:val="003A0C46"/>
    <w:rsid w:val="003A2768"/>
    <w:rsid w:val="003A3A16"/>
    <w:rsid w:val="003A63C5"/>
    <w:rsid w:val="003B79F8"/>
    <w:rsid w:val="003C2E56"/>
    <w:rsid w:val="003C4A74"/>
    <w:rsid w:val="003D032C"/>
    <w:rsid w:val="003E0489"/>
    <w:rsid w:val="003E0A47"/>
    <w:rsid w:val="003E59F9"/>
    <w:rsid w:val="003F24C6"/>
    <w:rsid w:val="003F30E0"/>
    <w:rsid w:val="00403238"/>
    <w:rsid w:val="00410CA2"/>
    <w:rsid w:val="00416217"/>
    <w:rsid w:val="00432C11"/>
    <w:rsid w:val="00445648"/>
    <w:rsid w:val="0046060C"/>
    <w:rsid w:val="00465954"/>
    <w:rsid w:val="00480133"/>
    <w:rsid w:val="004A2968"/>
    <w:rsid w:val="004B4CEC"/>
    <w:rsid w:val="004D24AA"/>
    <w:rsid w:val="00513AEA"/>
    <w:rsid w:val="00514077"/>
    <w:rsid w:val="00550E0C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F0BA1"/>
    <w:rsid w:val="00624BBC"/>
    <w:rsid w:val="00630C50"/>
    <w:rsid w:val="006351F3"/>
    <w:rsid w:val="00651C48"/>
    <w:rsid w:val="006522BA"/>
    <w:rsid w:val="0066292A"/>
    <w:rsid w:val="0067126D"/>
    <w:rsid w:val="006915E7"/>
    <w:rsid w:val="00694091"/>
    <w:rsid w:val="006A5E26"/>
    <w:rsid w:val="006A6409"/>
    <w:rsid w:val="006C6B19"/>
    <w:rsid w:val="006D07C3"/>
    <w:rsid w:val="006D38E7"/>
    <w:rsid w:val="007219EC"/>
    <w:rsid w:val="0073577E"/>
    <w:rsid w:val="0074385E"/>
    <w:rsid w:val="007523F0"/>
    <w:rsid w:val="00763A68"/>
    <w:rsid w:val="00775C11"/>
    <w:rsid w:val="00777CB1"/>
    <w:rsid w:val="00792085"/>
    <w:rsid w:val="007A245E"/>
    <w:rsid w:val="007A4C95"/>
    <w:rsid w:val="007B43D8"/>
    <w:rsid w:val="007C3EE3"/>
    <w:rsid w:val="007F610A"/>
    <w:rsid w:val="00804CDA"/>
    <w:rsid w:val="00811D3A"/>
    <w:rsid w:val="00833E2D"/>
    <w:rsid w:val="0086129D"/>
    <w:rsid w:val="00886DB5"/>
    <w:rsid w:val="008954B2"/>
    <w:rsid w:val="008A6FB9"/>
    <w:rsid w:val="008B3D9D"/>
    <w:rsid w:val="008B7B9E"/>
    <w:rsid w:val="008C3756"/>
    <w:rsid w:val="008C5966"/>
    <w:rsid w:val="008D04F6"/>
    <w:rsid w:val="008E4A59"/>
    <w:rsid w:val="008E4C3D"/>
    <w:rsid w:val="008E4DAF"/>
    <w:rsid w:val="008F60BA"/>
    <w:rsid w:val="00901EEA"/>
    <w:rsid w:val="00907D02"/>
    <w:rsid w:val="009249D1"/>
    <w:rsid w:val="0093666F"/>
    <w:rsid w:val="009411CE"/>
    <w:rsid w:val="00951C32"/>
    <w:rsid w:val="00980445"/>
    <w:rsid w:val="009A3F3E"/>
    <w:rsid w:val="009A6C18"/>
    <w:rsid w:val="009C515A"/>
    <w:rsid w:val="009D2F90"/>
    <w:rsid w:val="009D6336"/>
    <w:rsid w:val="009E093A"/>
    <w:rsid w:val="00A038AC"/>
    <w:rsid w:val="00A12C14"/>
    <w:rsid w:val="00A1528A"/>
    <w:rsid w:val="00A314C5"/>
    <w:rsid w:val="00A47C38"/>
    <w:rsid w:val="00A534B0"/>
    <w:rsid w:val="00A54C79"/>
    <w:rsid w:val="00A66B17"/>
    <w:rsid w:val="00A80AF4"/>
    <w:rsid w:val="00A93FB6"/>
    <w:rsid w:val="00AA1713"/>
    <w:rsid w:val="00AB4419"/>
    <w:rsid w:val="00AB7D71"/>
    <w:rsid w:val="00AE3162"/>
    <w:rsid w:val="00AE78E9"/>
    <w:rsid w:val="00B01D4C"/>
    <w:rsid w:val="00B10250"/>
    <w:rsid w:val="00B162BA"/>
    <w:rsid w:val="00B179B3"/>
    <w:rsid w:val="00B347F1"/>
    <w:rsid w:val="00B43DB8"/>
    <w:rsid w:val="00B46A37"/>
    <w:rsid w:val="00B47936"/>
    <w:rsid w:val="00B54184"/>
    <w:rsid w:val="00B646E2"/>
    <w:rsid w:val="00B67908"/>
    <w:rsid w:val="00B67A87"/>
    <w:rsid w:val="00B67B82"/>
    <w:rsid w:val="00B7028A"/>
    <w:rsid w:val="00BC7343"/>
    <w:rsid w:val="00BD3C77"/>
    <w:rsid w:val="00BD58AD"/>
    <w:rsid w:val="00BD5E36"/>
    <w:rsid w:val="00C01CFE"/>
    <w:rsid w:val="00C1242D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87998"/>
    <w:rsid w:val="00C87C4C"/>
    <w:rsid w:val="00CA63CF"/>
    <w:rsid w:val="00CC7D33"/>
    <w:rsid w:val="00CD0EC4"/>
    <w:rsid w:val="00CD566D"/>
    <w:rsid w:val="00CE740C"/>
    <w:rsid w:val="00CF0624"/>
    <w:rsid w:val="00D222B3"/>
    <w:rsid w:val="00D33A77"/>
    <w:rsid w:val="00D35FD8"/>
    <w:rsid w:val="00D47AC2"/>
    <w:rsid w:val="00D55D23"/>
    <w:rsid w:val="00D9535F"/>
    <w:rsid w:val="00D95381"/>
    <w:rsid w:val="00DC3C90"/>
    <w:rsid w:val="00DD35EE"/>
    <w:rsid w:val="00DE4095"/>
    <w:rsid w:val="00DF01D4"/>
    <w:rsid w:val="00E217D0"/>
    <w:rsid w:val="00E21EE4"/>
    <w:rsid w:val="00E228E1"/>
    <w:rsid w:val="00E3076C"/>
    <w:rsid w:val="00E55B1A"/>
    <w:rsid w:val="00E565FB"/>
    <w:rsid w:val="00E713AB"/>
    <w:rsid w:val="00E776E5"/>
    <w:rsid w:val="00E833BA"/>
    <w:rsid w:val="00E84BFD"/>
    <w:rsid w:val="00E9080D"/>
    <w:rsid w:val="00EC56EC"/>
    <w:rsid w:val="00EC7A31"/>
    <w:rsid w:val="00ED0815"/>
    <w:rsid w:val="00EE756F"/>
    <w:rsid w:val="00EF3DC4"/>
    <w:rsid w:val="00F069A0"/>
    <w:rsid w:val="00F15010"/>
    <w:rsid w:val="00F27B67"/>
    <w:rsid w:val="00F42C67"/>
    <w:rsid w:val="00F6072B"/>
    <w:rsid w:val="00F63690"/>
    <w:rsid w:val="00F63699"/>
    <w:rsid w:val="00F71FEF"/>
    <w:rsid w:val="00F7492C"/>
    <w:rsid w:val="00F90375"/>
    <w:rsid w:val="00FA5D66"/>
    <w:rsid w:val="00FD3AD5"/>
    <w:rsid w:val="00FF3B9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mp.victoria@agriculture.vic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Person_x0020_or_x0020_group xmlns="98dc3947-14b6-4703-a404-5750d5e96961">
      <UserInfo>
        <DisplayName/>
        <AccountId xsi:nil="true"/>
        <AccountType/>
      </UserInfo>
    </Person_x0020_or_x0020_group>
    <lcf76f155ced4ddcb4097134ff3c332f xmlns="98dc3947-14b6-4703-a404-5750d5e969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E3A052A52BC459B860ED090A13DEB" ma:contentTypeVersion="17" ma:contentTypeDescription="Create a new document." ma:contentTypeScope="" ma:versionID="a150a010a7ac13f42113b1f863d55034">
  <xsd:schema xmlns:xsd="http://www.w3.org/2001/XMLSchema" xmlns:xs="http://www.w3.org/2001/XMLSchema" xmlns:p="http://schemas.microsoft.com/office/2006/metadata/properties" xmlns:ns2="8755090f-653e-484b-bca3-4319d0e09c6e" xmlns:ns3="1970f3ff-c7c3-4b73-8f0c-0bc260d159f3" xmlns:ns4="98dc3947-14b6-4703-a404-5750d5e96961" targetNamespace="http://schemas.microsoft.com/office/2006/metadata/properties" ma:root="true" ma:fieldsID="72c089aaec08a86d3f3216a2a3aacde8" ns2:_="" ns3:_="" ns4:_="">
    <xsd:import namespace="8755090f-653e-484b-bca3-4319d0e09c6e"/>
    <xsd:import namespace="1970f3ff-c7c3-4b73-8f0c-0bc260d159f3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3:p31afe295eb448f092f13ab8c2af2c33" minOccurs="0"/>
                <xsd:element ref="ns2:TaxCatchAll" minOccurs="0"/>
                <xsd:element ref="ns3:b4605c5f9d584382a57fb8476d85f713" minOccurs="0"/>
                <xsd:element ref="ns3:g46a9f61d38540a784cfecbd3da27bca" minOccurs="0"/>
                <xsd:element ref="ns3:hcae176ec3a54dbeadeeec1b38baec58" minOccurs="0"/>
                <xsd:element ref="ns3:lf5681727d5b4cc1a5c417fcf66e2a7b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Person_x0020_or_x0020_group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p31afe295eb448f092f13ab8c2af2c33" ma:index="9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6a9f61d38540a784cfecbd3da27bca" ma:index="14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Person_x0020_or_x0020_group" ma:index="23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3.xml><?xml version="1.0" encoding="utf-8"?>
<ds:datastoreItem xmlns:ds="http://schemas.openxmlformats.org/officeDocument/2006/customXml" ds:itemID="{B4AC6F5A-F53B-4A2D-A34E-E69BCAA6B67E}"/>
</file>

<file path=customXml/itemProps4.xml><?xml version="1.0" encoding="utf-8"?>
<ds:datastoreItem xmlns:ds="http://schemas.openxmlformats.org/officeDocument/2006/customXml" ds:itemID="{40B14E4B-D07B-4F14-B532-D4CF3114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116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46</cp:revision>
  <dcterms:created xsi:type="dcterms:W3CDTF">2020-09-28T10:48:00Z</dcterms:created>
  <dcterms:modified xsi:type="dcterms:W3CDTF">2021-09-27T06:18:00Z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0x010100420E3A052A52BC459B860ED090A13DEB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