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FDF0C" w14:textId="573FA505" w:rsidR="00AF0A29" w:rsidRPr="00B84AAC" w:rsidRDefault="00AF0A29" w:rsidP="003E4888">
      <w:pPr>
        <w:pStyle w:val="Heading1"/>
        <w:rPr>
          <w:rFonts w:ascii="VIC" w:hAnsi="VIC"/>
          <w:b/>
          <w:color w:val="385623" w:themeColor="accent6" w:themeShade="80"/>
          <w:sz w:val="52"/>
          <w:szCs w:val="52"/>
        </w:rPr>
      </w:pPr>
      <w:bookmarkStart w:id="0" w:name="_Hlk118721601"/>
      <w:bookmarkEnd w:id="0"/>
      <w:r w:rsidRPr="00B84AAC">
        <w:rPr>
          <w:rFonts w:ascii="VIC" w:hAnsi="VIC"/>
          <w:b/>
          <w:color w:val="385623" w:themeColor="accent6" w:themeShade="80"/>
          <w:sz w:val="52"/>
          <w:szCs w:val="52"/>
        </w:rPr>
        <w:t xml:space="preserve">Livestock Farm Monitor Project </w:t>
      </w:r>
    </w:p>
    <w:p w14:paraId="1034B1E4" w14:textId="4FD4F740" w:rsidR="00AF0A29" w:rsidRPr="003910BE" w:rsidRDefault="00AF0A29" w:rsidP="003E4888">
      <w:pPr>
        <w:pStyle w:val="Heading1"/>
        <w:rPr>
          <w:rFonts w:ascii="VIC" w:hAnsi="VIC"/>
          <w:b/>
          <w:color w:val="385623" w:themeColor="accent6" w:themeShade="80"/>
        </w:rPr>
      </w:pPr>
      <w:r w:rsidRPr="003910BE">
        <w:rPr>
          <w:rFonts w:ascii="VIC" w:hAnsi="VIC"/>
          <w:b/>
          <w:color w:val="385623" w:themeColor="accent6" w:themeShade="80"/>
        </w:rPr>
        <w:t xml:space="preserve">Victoria </w:t>
      </w:r>
      <w:r w:rsidRPr="003910BE">
        <w:rPr>
          <w:rFonts w:ascii="Times New Roman" w:hAnsi="Times New Roman" w:cs="Times New Roman"/>
          <w:b/>
          <w:color w:val="385623" w:themeColor="accent6" w:themeShade="80"/>
        </w:rPr>
        <w:t>│</w:t>
      </w:r>
      <w:r w:rsidRPr="003910BE">
        <w:rPr>
          <w:rFonts w:ascii="VIC" w:hAnsi="VIC"/>
          <w:b/>
          <w:color w:val="385623" w:themeColor="accent6" w:themeShade="80"/>
        </w:rPr>
        <w:t xml:space="preserve"> Annual Report </w:t>
      </w:r>
    </w:p>
    <w:p w14:paraId="381E239F" w14:textId="4AA00C5D" w:rsidR="00AF0A29" w:rsidRPr="003910BE" w:rsidRDefault="00AF0A29" w:rsidP="003E4888">
      <w:pPr>
        <w:pStyle w:val="Heading1"/>
        <w:rPr>
          <w:rFonts w:ascii="VIC" w:hAnsi="VIC"/>
          <w:b/>
          <w:color w:val="385623" w:themeColor="accent6" w:themeShade="80"/>
        </w:rPr>
      </w:pPr>
      <w:r w:rsidRPr="003910BE">
        <w:rPr>
          <w:rFonts w:ascii="VIC" w:hAnsi="VIC"/>
          <w:b/>
          <w:color w:val="385623" w:themeColor="accent6" w:themeShade="80"/>
        </w:rPr>
        <w:t>20</w:t>
      </w:r>
      <w:r w:rsidR="00A85078" w:rsidRPr="003910BE">
        <w:rPr>
          <w:rFonts w:ascii="VIC" w:hAnsi="VIC"/>
          <w:b/>
          <w:color w:val="385623" w:themeColor="accent6" w:themeShade="80"/>
        </w:rPr>
        <w:t>2</w:t>
      </w:r>
      <w:r w:rsidR="008278BD">
        <w:rPr>
          <w:rFonts w:ascii="VIC" w:hAnsi="VIC"/>
          <w:b/>
          <w:color w:val="385623" w:themeColor="accent6" w:themeShade="80"/>
        </w:rPr>
        <w:t>1</w:t>
      </w:r>
      <w:r w:rsidR="00094DE0" w:rsidRPr="00EE3D1B">
        <w:rPr>
          <w:rFonts w:ascii="VIC" w:hAnsi="VIC"/>
          <w:b/>
          <w:color w:val="385623" w:themeColor="accent6" w:themeShade="80"/>
        </w:rPr>
        <w:t>–</w:t>
      </w:r>
      <w:r w:rsidRPr="003910BE">
        <w:rPr>
          <w:rFonts w:ascii="VIC" w:hAnsi="VIC"/>
          <w:b/>
          <w:color w:val="385623" w:themeColor="accent6" w:themeShade="80"/>
        </w:rPr>
        <w:t>2</w:t>
      </w:r>
      <w:r w:rsidR="008278BD">
        <w:rPr>
          <w:rFonts w:ascii="VIC" w:hAnsi="VIC"/>
          <w:b/>
          <w:color w:val="385623" w:themeColor="accent6" w:themeShade="80"/>
        </w:rPr>
        <w:t>2</w:t>
      </w:r>
    </w:p>
    <w:p w14:paraId="03EA57A3" w14:textId="2550E9D6" w:rsidR="00AF0A29" w:rsidRPr="003910BE" w:rsidRDefault="00AF0A29" w:rsidP="00E81489">
      <w:pPr>
        <w:rPr>
          <w:b/>
          <w:szCs w:val="20"/>
        </w:rPr>
      </w:pPr>
    </w:p>
    <w:p w14:paraId="7581863C" w14:textId="77777777" w:rsidR="00B401A5" w:rsidRDefault="00B401A5">
      <w:pPr>
        <w:rPr>
          <w:szCs w:val="20"/>
        </w:rPr>
      </w:pPr>
      <w:bookmarkStart w:id="1" w:name="_Hlk86229903"/>
      <w:r>
        <w:rPr>
          <w:szCs w:val="20"/>
        </w:rPr>
        <w:br w:type="page"/>
      </w:r>
    </w:p>
    <w:p w14:paraId="05079467" w14:textId="7B32EAEB" w:rsidR="00B401A5" w:rsidRPr="003910BE" w:rsidRDefault="00B401A5" w:rsidP="00B401A5">
      <w:pPr>
        <w:rPr>
          <w:b/>
          <w:szCs w:val="20"/>
        </w:rPr>
      </w:pPr>
      <w:r w:rsidRPr="003910BE">
        <w:rPr>
          <w:b/>
          <w:szCs w:val="20"/>
        </w:rPr>
        <w:lastRenderedPageBreak/>
        <w:t xml:space="preserve">Further information regarding the </w:t>
      </w:r>
      <w:r w:rsidR="00F905B6">
        <w:rPr>
          <w:b/>
          <w:szCs w:val="20"/>
        </w:rPr>
        <w:t xml:space="preserve">Livestock </w:t>
      </w:r>
      <w:r w:rsidR="00BD4745">
        <w:rPr>
          <w:b/>
          <w:szCs w:val="20"/>
        </w:rPr>
        <w:t>Farm</w:t>
      </w:r>
      <w:r w:rsidR="00D20B1E">
        <w:rPr>
          <w:b/>
          <w:szCs w:val="20"/>
        </w:rPr>
        <w:t xml:space="preserve"> Monitor Project (</w:t>
      </w:r>
      <w:r w:rsidRPr="003910BE">
        <w:rPr>
          <w:b/>
          <w:szCs w:val="20"/>
        </w:rPr>
        <w:t>LFMP</w:t>
      </w:r>
      <w:r w:rsidR="00D20B1E">
        <w:rPr>
          <w:b/>
          <w:szCs w:val="20"/>
        </w:rPr>
        <w:t>)</w:t>
      </w:r>
      <w:r w:rsidRPr="003910BE">
        <w:rPr>
          <w:b/>
          <w:szCs w:val="20"/>
        </w:rPr>
        <w:t xml:space="preserve"> may be obtained from:</w:t>
      </w:r>
    </w:p>
    <w:p w14:paraId="22CCE7BB" w14:textId="22F33486" w:rsidR="00B401A5" w:rsidRPr="00D44F98" w:rsidRDefault="00B401A5" w:rsidP="00B401A5">
      <w:pPr>
        <w:rPr>
          <w:szCs w:val="20"/>
          <w:lang w:val="pt-BR"/>
        </w:rPr>
      </w:pPr>
      <w:r w:rsidRPr="00D44F98">
        <w:rPr>
          <w:szCs w:val="20"/>
          <w:lang w:val="pt-BR"/>
        </w:rPr>
        <w:t>Sam Henty</w:t>
      </w:r>
      <w:r w:rsidR="000C2A6B" w:rsidRPr="00D44F98">
        <w:rPr>
          <w:szCs w:val="20"/>
          <w:lang w:val="pt-BR"/>
        </w:rPr>
        <w:br/>
      </w:r>
      <w:r w:rsidRPr="00D44F98">
        <w:rPr>
          <w:szCs w:val="20"/>
          <w:lang w:val="pt-BR"/>
        </w:rPr>
        <w:t>Agriculture Victoria</w:t>
      </w:r>
      <w:r w:rsidR="000C2A6B" w:rsidRPr="00D44F98">
        <w:rPr>
          <w:szCs w:val="20"/>
          <w:lang w:val="pt-BR"/>
        </w:rPr>
        <w:br/>
      </w:r>
      <w:r w:rsidRPr="00D44F98">
        <w:rPr>
          <w:szCs w:val="20"/>
          <w:lang w:val="pt-BR"/>
        </w:rPr>
        <w:t>PO Box 3100, Bendigo, Victoria 3400</w:t>
      </w:r>
    </w:p>
    <w:p w14:paraId="29E2B977" w14:textId="77777777" w:rsidR="00B401A5" w:rsidRPr="00D44F98" w:rsidRDefault="0086759B" w:rsidP="00B401A5">
      <w:pPr>
        <w:rPr>
          <w:szCs w:val="20"/>
          <w:lang w:val="pt-BR"/>
        </w:rPr>
      </w:pPr>
      <w:hyperlink r:id="rId11" w:history="1">
        <w:r w:rsidR="00B401A5" w:rsidRPr="00D44F98">
          <w:rPr>
            <w:rStyle w:val="Hyperlink"/>
            <w:szCs w:val="20"/>
            <w:lang w:val="pt-BR"/>
          </w:rPr>
          <w:t>sam.henty@agriculture.vic.gov.au</w:t>
        </w:r>
      </w:hyperlink>
    </w:p>
    <w:p w14:paraId="79F1DD79" w14:textId="3B403E3F" w:rsidR="00B401A5" w:rsidRPr="003910BE" w:rsidRDefault="00B401A5" w:rsidP="00B401A5">
      <w:pPr>
        <w:rPr>
          <w:szCs w:val="20"/>
        </w:rPr>
      </w:pPr>
      <w:r w:rsidRPr="003910BE">
        <w:rPr>
          <w:szCs w:val="20"/>
        </w:rPr>
        <w:t xml:space="preserve">Authorised and published by the Victorian Government, Department of Jobs, Precincts and Regions </w:t>
      </w:r>
      <w:r w:rsidR="00053A23">
        <w:rPr>
          <w:szCs w:val="20"/>
        </w:rPr>
        <w:t xml:space="preserve">(DJPR) </w:t>
      </w:r>
      <w:r w:rsidRPr="003910BE">
        <w:rPr>
          <w:szCs w:val="20"/>
        </w:rPr>
        <w:t>202</w:t>
      </w:r>
      <w:r>
        <w:rPr>
          <w:szCs w:val="20"/>
        </w:rPr>
        <w:t>2</w:t>
      </w:r>
      <w:r w:rsidRPr="003910BE">
        <w:rPr>
          <w:szCs w:val="20"/>
        </w:rPr>
        <w:t>. © The State of Victoria Department of Jobs, Precincts and Regions 202</w:t>
      </w:r>
      <w:r>
        <w:rPr>
          <w:szCs w:val="20"/>
        </w:rPr>
        <w:t>2</w:t>
      </w:r>
      <w:r w:rsidRPr="003910BE">
        <w:rPr>
          <w:szCs w:val="20"/>
        </w:rPr>
        <w:t>.</w:t>
      </w:r>
    </w:p>
    <w:p w14:paraId="4ECA6397" w14:textId="77777777" w:rsidR="00B401A5" w:rsidRPr="003910BE" w:rsidRDefault="00B401A5" w:rsidP="00B401A5">
      <w:pPr>
        <w:rPr>
          <w:szCs w:val="20"/>
        </w:rPr>
      </w:pPr>
      <w:r w:rsidRPr="003910BE">
        <w:rPr>
          <w:szCs w:val="20"/>
        </w:rPr>
        <w:t xml:space="preserve">This publication is copyright. No part may be reproduced by any process except in accordance with the provisions of the </w:t>
      </w:r>
      <w:r w:rsidRPr="00EE3D1B">
        <w:rPr>
          <w:i/>
          <w:szCs w:val="20"/>
        </w:rPr>
        <w:t>Copyright Act 1968</w:t>
      </w:r>
      <w:r w:rsidRPr="003910BE">
        <w:rPr>
          <w:szCs w:val="20"/>
        </w:rPr>
        <w:t>.</w:t>
      </w:r>
    </w:p>
    <w:p w14:paraId="455B82C7" w14:textId="6732B0A6" w:rsidR="00B401A5" w:rsidRPr="003910BE" w:rsidRDefault="00B401A5" w:rsidP="00B401A5">
      <w:pPr>
        <w:rPr>
          <w:szCs w:val="20"/>
        </w:rPr>
      </w:pPr>
      <w:r w:rsidRPr="003910BE">
        <w:rPr>
          <w:szCs w:val="20"/>
        </w:rPr>
        <w:t xml:space="preserve">For more information contact the </w:t>
      </w:r>
      <w:r w:rsidR="00532D76">
        <w:rPr>
          <w:szCs w:val="20"/>
        </w:rPr>
        <w:t>Agriculture Victoria</w:t>
      </w:r>
      <w:r w:rsidR="00532D76" w:rsidRPr="003910BE">
        <w:rPr>
          <w:szCs w:val="20"/>
        </w:rPr>
        <w:t xml:space="preserve"> </w:t>
      </w:r>
      <w:r w:rsidRPr="003910BE">
        <w:rPr>
          <w:szCs w:val="20"/>
        </w:rPr>
        <w:t xml:space="preserve">Customer Service Centre </w:t>
      </w:r>
      <w:r w:rsidR="00532D76">
        <w:rPr>
          <w:szCs w:val="20"/>
        </w:rPr>
        <w:t xml:space="preserve">on </w:t>
      </w:r>
      <w:r w:rsidRPr="003910BE">
        <w:rPr>
          <w:szCs w:val="20"/>
        </w:rPr>
        <w:t>136 186.</w:t>
      </w:r>
    </w:p>
    <w:p w14:paraId="07C42527" w14:textId="77777777" w:rsidR="00B401A5" w:rsidRDefault="00B401A5" w:rsidP="00B401A5">
      <w:pPr>
        <w:rPr>
          <w:rStyle w:val="Strong"/>
        </w:rPr>
      </w:pPr>
    </w:p>
    <w:p w14:paraId="332F8AA0" w14:textId="08AD0D2A" w:rsidR="00B401A5" w:rsidRPr="003910BE" w:rsidRDefault="00B401A5" w:rsidP="00B401A5">
      <w:pPr>
        <w:rPr>
          <w:rStyle w:val="Strong"/>
        </w:rPr>
      </w:pPr>
      <w:r w:rsidRPr="003910BE">
        <w:rPr>
          <w:rStyle w:val="Strong"/>
        </w:rPr>
        <w:t>Disclaimer</w:t>
      </w:r>
    </w:p>
    <w:p w14:paraId="41E5ED7F" w14:textId="77777777" w:rsidR="00B401A5" w:rsidRPr="003910BE" w:rsidRDefault="00B401A5" w:rsidP="00B401A5">
      <w:pPr>
        <w:rPr>
          <w:szCs w:val="20"/>
        </w:rPr>
      </w:pPr>
      <w:r w:rsidRPr="003910BE">
        <w:rPr>
          <w:szCs w:val="20"/>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2CD50505" w14:textId="77777777" w:rsidR="00B401A5" w:rsidRPr="003910BE" w:rsidRDefault="00B401A5" w:rsidP="00B401A5">
      <w:pPr>
        <w:rPr>
          <w:rStyle w:val="Strong"/>
        </w:rPr>
      </w:pPr>
      <w:r w:rsidRPr="003910BE">
        <w:rPr>
          <w:rStyle w:val="Strong"/>
        </w:rPr>
        <w:t>Accessibility</w:t>
      </w:r>
    </w:p>
    <w:p w14:paraId="032E492B" w14:textId="77777777" w:rsidR="00B401A5" w:rsidRPr="003910BE" w:rsidRDefault="00B401A5" w:rsidP="00B401A5">
      <w:pPr>
        <w:rPr>
          <w:szCs w:val="20"/>
        </w:rPr>
      </w:pPr>
      <w:r w:rsidRPr="003910BE">
        <w:rPr>
          <w:szCs w:val="20"/>
        </w:rPr>
        <w:t>If you would like to receive this publication in an accessible format, such as large print or audio, please telephone 136 186.</w:t>
      </w:r>
    </w:p>
    <w:p w14:paraId="21B99A84" w14:textId="77777777" w:rsidR="00B401A5" w:rsidRPr="003910BE" w:rsidRDefault="00B401A5" w:rsidP="00B401A5">
      <w:pPr>
        <w:rPr>
          <w:szCs w:val="20"/>
        </w:rPr>
      </w:pPr>
      <w:r w:rsidRPr="003910BE">
        <w:rPr>
          <w:szCs w:val="20"/>
        </w:rPr>
        <w:t>Deaf, hearing impaired or speech impaired? Call us via the National Relay Service on 133 677 or visit www. relayservice.com.au</w:t>
      </w:r>
    </w:p>
    <w:p w14:paraId="68696DA7" w14:textId="3C99A00D" w:rsidR="00B401A5" w:rsidRPr="003910BE" w:rsidRDefault="00B401A5" w:rsidP="00B401A5">
      <w:pPr>
        <w:rPr>
          <w:szCs w:val="20"/>
        </w:rPr>
      </w:pPr>
      <w:r w:rsidRPr="003910BE">
        <w:rPr>
          <w:szCs w:val="20"/>
        </w:rPr>
        <w:t xml:space="preserve">This document is also available on the </w:t>
      </w:r>
      <w:hyperlink r:id="rId12" w:history="1">
        <w:r w:rsidRPr="003910BE">
          <w:rPr>
            <w:rStyle w:val="Hyperlink"/>
            <w:szCs w:val="20"/>
          </w:rPr>
          <w:t>Agriculture Victoria</w:t>
        </w:r>
      </w:hyperlink>
      <w:r w:rsidRPr="003910BE">
        <w:rPr>
          <w:szCs w:val="20"/>
        </w:rPr>
        <w:t xml:space="preserve"> website. </w:t>
      </w:r>
    </w:p>
    <w:p w14:paraId="2FA09D40" w14:textId="77777777" w:rsidR="00B401A5" w:rsidRPr="003910BE" w:rsidRDefault="00B401A5" w:rsidP="00B401A5">
      <w:pPr>
        <w:rPr>
          <w:szCs w:val="20"/>
        </w:rPr>
      </w:pPr>
    </w:p>
    <w:p w14:paraId="574EB1F6" w14:textId="4D0E94BA" w:rsidR="0011151A" w:rsidRDefault="0011151A">
      <w:pPr>
        <w:rPr>
          <w:szCs w:val="20"/>
        </w:rPr>
      </w:pPr>
      <w:r>
        <w:rPr>
          <w:szCs w:val="20"/>
        </w:rPr>
        <w:br w:type="page"/>
      </w:r>
    </w:p>
    <w:p w14:paraId="4AEF8BC1" w14:textId="762B95F6" w:rsidR="005D328B" w:rsidRDefault="005D328B" w:rsidP="005D328B">
      <w:pPr>
        <w:rPr>
          <w:szCs w:val="20"/>
        </w:rPr>
      </w:pPr>
      <w:r w:rsidRPr="003910BE">
        <w:rPr>
          <w:szCs w:val="20"/>
        </w:rPr>
        <w:lastRenderedPageBreak/>
        <w:t>In 202</w:t>
      </w:r>
      <w:r w:rsidR="008278BD">
        <w:rPr>
          <w:szCs w:val="20"/>
        </w:rPr>
        <w:t>1</w:t>
      </w:r>
      <w:r w:rsidR="00CF65CB">
        <w:t>–</w:t>
      </w:r>
      <w:r w:rsidRPr="003910BE">
        <w:rPr>
          <w:szCs w:val="20"/>
        </w:rPr>
        <w:t>2</w:t>
      </w:r>
      <w:r w:rsidR="008278BD">
        <w:rPr>
          <w:szCs w:val="20"/>
        </w:rPr>
        <w:t>2</w:t>
      </w:r>
      <w:r w:rsidRPr="003910BE">
        <w:rPr>
          <w:szCs w:val="20"/>
        </w:rPr>
        <w:t>, the Livestock Farm Monitor Project (LFMP) provided 1</w:t>
      </w:r>
      <w:r w:rsidR="008278BD">
        <w:rPr>
          <w:szCs w:val="20"/>
        </w:rPr>
        <w:t>24</w:t>
      </w:r>
      <w:r w:rsidRPr="003910BE">
        <w:rPr>
          <w:szCs w:val="20"/>
        </w:rPr>
        <w:t xml:space="preserve"> Victorian sheep, beef and </w:t>
      </w:r>
      <w:r w:rsidR="00EE241B">
        <w:rPr>
          <w:szCs w:val="20"/>
        </w:rPr>
        <w:t>mixed farming</w:t>
      </w:r>
      <w:r w:rsidR="00C844F5">
        <w:rPr>
          <w:szCs w:val="20"/>
        </w:rPr>
        <w:t>,</w:t>
      </w:r>
      <w:r w:rsidR="00EE241B">
        <w:rPr>
          <w:szCs w:val="20"/>
        </w:rPr>
        <w:t xml:space="preserve"> including </w:t>
      </w:r>
      <w:r w:rsidRPr="003910BE">
        <w:rPr>
          <w:szCs w:val="20"/>
        </w:rPr>
        <w:t>cropping</w:t>
      </w:r>
      <w:r w:rsidR="00C844F5">
        <w:rPr>
          <w:szCs w:val="20"/>
        </w:rPr>
        <w:t>,</w:t>
      </w:r>
      <w:r w:rsidRPr="003910BE">
        <w:rPr>
          <w:szCs w:val="20"/>
        </w:rPr>
        <w:t xml:space="preserve"> </w:t>
      </w:r>
      <w:r w:rsidR="0013579A">
        <w:rPr>
          <w:szCs w:val="20"/>
        </w:rPr>
        <w:t>farmers</w:t>
      </w:r>
      <w:r w:rsidR="0013579A" w:rsidRPr="003910BE">
        <w:rPr>
          <w:szCs w:val="20"/>
        </w:rPr>
        <w:t xml:space="preserve"> </w:t>
      </w:r>
      <w:r w:rsidRPr="003910BE">
        <w:rPr>
          <w:szCs w:val="20"/>
        </w:rPr>
        <w:t xml:space="preserve">with detailed financial and production performance information. </w:t>
      </w:r>
      <w:bookmarkEnd w:id="1"/>
      <w:r w:rsidR="008715A4" w:rsidRPr="003910BE">
        <w:rPr>
          <w:szCs w:val="20"/>
        </w:rPr>
        <w:t>Agriculture Victoria</w:t>
      </w:r>
      <w:r w:rsidRPr="003910BE">
        <w:rPr>
          <w:szCs w:val="20"/>
        </w:rPr>
        <w:t xml:space="preserve"> collated the individual business performance information of all surveyed farms to provide insights </w:t>
      </w:r>
      <w:r w:rsidR="008715A4" w:rsidRPr="003910BE">
        <w:rPr>
          <w:szCs w:val="20"/>
        </w:rPr>
        <w:t xml:space="preserve">in this </w:t>
      </w:r>
      <w:r w:rsidRPr="003910BE">
        <w:rPr>
          <w:szCs w:val="20"/>
        </w:rPr>
        <w:t xml:space="preserve">report. </w:t>
      </w:r>
    </w:p>
    <w:p w14:paraId="46FE97C1" w14:textId="251E32CF" w:rsidR="00D91BA4" w:rsidRPr="003910BE" w:rsidRDefault="00D91BA4" w:rsidP="00F5518C">
      <w:pPr>
        <w:rPr>
          <w:szCs w:val="20"/>
        </w:rPr>
      </w:pPr>
      <w:bookmarkStart w:id="2" w:name="_Hlk86229778"/>
      <w:r w:rsidRPr="003910BE">
        <w:rPr>
          <w:szCs w:val="20"/>
        </w:rPr>
        <w:t>The LFMP is Agriculture Victoria’s primary source of farm</w:t>
      </w:r>
      <w:r w:rsidR="001B1437">
        <w:rPr>
          <w:szCs w:val="20"/>
        </w:rPr>
        <w:t>-</w:t>
      </w:r>
      <w:r w:rsidRPr="003910BE">
        <w:rPr>
          <w:szCs w:val="20"/>
        </w:rPr>
        <w:t>level information for sheep</w:t>
      </w:r>
      <w:r w:rsidR="00C844F5">
        <w:rPr>
          <w:szCs w:val="20"/>
        </w:rPr>
        <w:t xml:space="preserve"> and</w:t>
      </w:r>
      <w:r w:rsidRPr="003910BE">
        <w:rPr>
          <w:szCs w:val="20"/>
        </w:rPr>
        <w:t xml:space="preserve"> beef production practices, resource use, and economic</w:t>
      </w:r>
      <w:r w:rsidR="00A71286">
        <w:rPr>
          <w:szCs w:val="20"/>
        </w:rPr>
        <w:t xml:space="preserve"> data</w:t>
      </w:r>
      <w:r w:rsidRPr="003910BE">
        <w:rPr>
          <w:szCs w:val="20"/>
        </w:rPr>
        <w:t>.</w:t>
      </w:r>
    </w:p>
    <w:p w14:paraId="389BA075" w14:textId="562B13B9" w:rsidR="002A206B" w:rsidRPr="00EF2D77" w:rsidRDefault="00D91BA4" w:rsidP="00F5518C">
      <w:r>
        <w:t>The results of this</w:t>
      </w:r>
      <w:r w:rsidR="00652E11">
        <w:t xml:space="preserve"> annual</w:t>
      </w:r>
      <w:r>
        <w:t xml:space="preserve"> survey provide farm-level data to inform Agriculture Victoria</w:t>
      </w:r>
      <w:r w:rsidR="00061577">
        <w:t>’</w:t>
      </w:r>
      <w:r w:rsidR="00086D5A">
        <w:t>s</w:t>
      </w:r>
      <w:r>
        <w:t xml:space="preserve"> decisions that</w:t>
      </w:r>
      <w:r w:rsidR="00061577">
        <w:t xml:space="preserve"> impact at a </w:t>
      </w:r>
      <w:r>
        <w:t xml:space="preserve">farm level and to inform the direction of future policy design, research themes and </w:t>
      </w:r>
      <w:r w:rsidR="00652E11">
        <w:t>service delivery</w:t>
      </w:r>
      <w:r>
        <w:t xml:space="preserve"> programs.</w:t>
      </w:r>
    </w:p>
    <w:p w14:paraId="2B8DC358" w14:textId="648AB9F1" w:rsidR="002A206B" w:rsidRDefault="00FC7BFA" w:rsidP="00F5518C">
      <w:pPr>
        <w:rPr>
          <w:szCs w:val="20"/>
        </w:rPr>
      </w:pPr>
      <w:r>
        <w:rPr>
          <w:noProof/>
          <w:szCs w:val="20"/>
        </w:rPr>
        <w:drawing>
          <wp:inline distT="0" distB="0" distL="0" distR="0" wp14:anchorId="290D5993" wp14:editId="4C518785">
            <wp:extent cx="4143375" cy="2182495"/>
            <wp:effectExtent l="0" t="0" r="9525" b="8255"/>
            <wp:docPr id="8" name="Picture 8" descr="Number of participating businesses in the LFMP since 2009–10 presented as a line graph showing that 2021-22 had the highest number of participants since 20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umber of participating businesses in the LFMP since 2009–10 presented as a line graph showing that 2021-22 had the highest number of participants since 2009-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3375" cy="2182495"/>
                    </a:xfrm>
                    <a:prstGeom prst="rect">
                      <a:avLst/>
                    </a:prstGeom>
                    <a:noFill/>
                  </pic:spPr>
                </pic:pic>
              </a:graphicData>
            </a:graphic>
          </wp:inline>
        </w:drawing>
      </w:r>
    </w:p>
    <w:p w14:paraId="3E79FB6A" w14:textId="0124F5A8" w:rsidR="002A206B" w:rsidRDefault="00FC7BFA" w:rsidP="00FC7BFA">
      <w:pPr>
        <w:pStyle w:val="Caption"/>
      </w:pPr>
      <w:r>
        <w:t xml:space="preserve">Figure </w:t>
      </w:r>
      <w:fldSimple w:instr=" SEQ Figure \* ARABIC ">
        <w:r>
          <w:rPr>
            <w:noProof/>
          </w:rPr>
          <w:t>1</w:t>
        </w:r>
      </w:fldSimple>
      <w:r w:rsidR="00B93EEA">
        <w:t xml:space="preserve">. </w:t>
      </w:r>
      <w:r w:rsidR="00407FFC">
        <w:t>Number of</w:t>
      </w:r>
      <w:r w:rsidR="00590CAA">
        <w:t xml:space="preserve"> participating businesses in the LFMP </w:t>
      </w:r>
      <w:r w:rsidR="00E26602">
        <w:t xml:space="preserve">since </w:t>
      </w:r>
      <w:r w:rsidR="005C28C9">
        <w:t>2009</w:t>
      </w:r>
      <w:r w:rsidR="006C7BEB">
        <w:t>–</w:t>
      </w:r>
      <w:r w:rsidR="005C28C9">
        <w:t>10</w:t>
      </w:r>
    </w:p>
    <w:p w14:paraId="598B4025" w14:textId="1A284509" w:rsidR="00D91BA4" w:rsidRPr="003910BE" w:rsidRDefault="00D91BA4" w:rsidP="00F5518C">
      <w:pPr>
        <w:rPr>
          <w:szCs w:val="20"/>
        </w:rPr>
      </w:pPr>
      <w:r w:rsidRPr="003910BE">
        <w:rPr>
          <w:szCs w:val="20"/>
        </w:rPr>
        <w:t>Farmers who participate in the project increase their understanding of their farm business</w:t>
      </w:r>
      <w:r w:rsidR="008C7A83">
        <w:rPr>
          <w:szCs w:val="20"/>
        </w:rPr>
        <w:t>,</w:t>
      </w:r>
      <w:r w:rsidRPr="003910BE">
        <w:rPr>
          <w:szCs w:val="20"/>
        </w:rPr>
        <w:t xml:space="preserve"> which builds resilience and improves their ability to adapt to change.</w:t>
      </w:r>
    </w:p>
    <w:bookmarkEnd w:id="2"/>
    <w:p w14:paraId="0CF137F0" w14:textId="7BC5EF30" w:rsidR="00D91BA4" w:rsidRPr="003910BE" w:rsidRDefault="00D91BA4" w:rsidP="00F5518C">
      <w:pPr>
        <w:rPr>
          <w:szCs w:val="20"/>
        </w:rPr>
      </w:pPr>
      <w:r w:rsidRPr="003910BE">
        <w:rPr>
          <w:szCs w:val="20"/>
        </w:rPr>
        <w:t xml:space="preserve">Results published in this report are not </w:t>
      </w:r>
      <w:r w:rsidR="002022E8" w:rsidRPr="003910BE">
        <w:rPr>
          <w:szCs w:val="20"/>
        </w:rPr>
        <w:t xml:space="preserve">statistically </w:t>
      </w:r>
      <w:r w:rsidRPr="003910BE">
        <w:rPr>
          <w:szCs w:val="20"/>
        </w:rPr>
        <w:t>representative of an industry or a region.</w:t>
      </w:r>
    </w:p>
    <w:p w14:paraId="7D5CD8EF" w14:textId="3B780E9B" w:rsidR="00D91BA4" w:rsidRPr="003910BE" w:rsidRDefault="00D91BA4" w:rsidP="00F5518C">
      <w:pPr>
        <w:rPr>
          <w:szCs w:val="20"/>
        </w:rPr>
      </w:pPr>
      <w:r w:rsidRPr="003910BE">
        <w:rPr>
          <w:szCs w:val="20"/>
        </w:rPr>
        <w:t>Agriculture Victoria staff are grateful for the cooperation of the farmers who contributed their data to this project.</w:t>
      </w:r>
    </w:p>
    <w:p w14:paraId="5CAEBD65" w14:textId="488B4322" w:rsidR="00D91BA4" w:rsidRPr="003910BE" w:rsidRDefault="00D91BA4" w:rsidP="00F5518C">
      <w:pPr>
        <w:rPr>
          <w:szCs w:val="20"/>
        </w:rPr>
      </w:pPr>
      <w:r w:rsidRPr="003910BE">
        <w:rPr>
          <w:szCs w:val="20"/>
        </w:rPr>
        <w:t>The theory and methods used to generate the profitability data in this report can be found in the references.</w:t>
      </w:r>
    </w:p>
    <w:p w14:paraId="36A4AB87" w14:textId="0CA6850C" w:rsidR="00D91BA4" w:rsidRPr="003910BE" w:rsidRDefault="00D91BA4" w:rsidP="00F5518C">
      <w:pPr>
        <w:rPr>
          <w:szCs w:val="20"/>
        </w:rPr>
      </w:pPr>
      <w:r w:rsidRPr="003910BE">
        <w:rPr>
          <w:szCs w:val="20"/>
        </w:rPr>
        <w:t>This report has been funded by Agriculture Victoria.</w:t>
      </w:r>
    </w:p>
    <w:p w14:paraId="00EE5089" w14:textId="1079F695" w:rsidR="00652EFA" w:rsidRDefault="00652EFA" w:rsidP="00F5518C">
      <w:pPr>
        <w:rPr>
          <w:b/>
          <w:szCs w:val="20"/>
        </w:rPr>
      </w:pPr>
    </w:p>
    <w:p w14:paraId="418A7C63" w14:textId="33E6F2BC" w:rsidR="00652EFA" w:rsidRDefault="00652EFA" w:rsidP="00F5518C">
      <w:pPr>
        <w:rPr>
          <w:b/>
          <w:szCs w:val="20"/>
        </w:rPr>
      </w:pPr>
    </w:p>
    <w:p w14:paraId="04E4EC5D" w14:textId="77777777" w:rsidR="00D4568E" w:rsidRDefault="00D4568E" w:rsidP="00F5518C">
      <w:pPr>
        <w:rPr>
          <w:b/>
          <w:szCs w:val="20"/>
        </w:rPr>
      </w:pPr>
    </w:p>
    <w:p w14:paraId="575C6E96" w14:textId="77777777" w:rsidR="00D4568E" w:rsidRDefault="00D4568E" w:rsidP="00F5518C">
      <w:pPr>
        <w:rPr>
          <w:b/>
          <w:szCs w:val="20"/>
        </w:rPr>
      </w:pPr>
    </w:p>
    <w:p w14:paraId="1E2C39AA" w14:textId="77777777" w:rsidR="00D4568E" w:rsidRDefault="00D4568E" w:rsidP="00F5518C">
      <w:pPr>
        <w:rPr>
          <w:b/>
          <w:szCs w:val="20"/>
        </w:rPr>
      </w:pPr>
    </w:p>
    <w:p w14:paraId="004A8B27" w14:textId="77777777" w:rsidR="00D4568E" w:rsidRDefault="00D4568E" w:rsidP="00F5518C">
      <w:pPr>
        <w:rPr>
          <w:b/>
          <w:szCs w:val="20"/>
        </w:rPr>
      </w:pPr>
    </w:p>
    <w:p w14:paraId="2BE07424" w14:textId="77777777" w:rsidR="00D4568E" w:rsidRDefault="00D4568E" w:rsidP="00F5518C">
      <w:pPr>
        <w:rPr>
          <w:b/>
          <w:szCs w:val="20"/>
        </w:rPr>
      </w:pPr>
    </w:p>
    <w:p w14:paraId="564BF7F0" w14:textId="77777777" w:rsidR="00D4568E" w:rsidRDefault="00D4568E" w:rsidP="00F5518C">
      <w:pPr>
        <w:rPr>
          <w:b/>
          <w:szCs w:val="20"/>
        </w:rPr>
      </w:pPr>
    </w:p>
    <w:p w14:paraId="63E925F0" w14:textId="65D265EC" w:rsidR="008272D9" w:rsidRPr="002055B6" w:rsidRDefault="008272D9" w:rsidP="00E31C47">
      <w:pPr>
        <w:pStyle w:val="Heading2"/>
      </w:pPr>
      <w:r w:rsidRPr="003910BE">
        <w:lastRenderedPageBreak/>
        <w:t>Stat</w:t>
      </w:r>
      <w:r w:rsidR="003960C2" w:rsidRPr="003910BE">
        <w:rPr>
          <w:bCs/>
        </w:rPr>
        <w:t>e</w:t>
      </w:r>
      <w:r w:rsidRPr="003910BE">
        <w:rPr>
          <w:bCs/>
        </w:rPr>
        <w:t xml:space="preserve"> summary</w:t>
      </w:r>
    </w:p>
    <w:p w14:paraId="702A3BB9" w14:textId="1B28A751" w:rsidR="001E6BE7" w:rsidRPr="003910BE" w:rsidRDefault="002055B6" w:rsidP="001E6BE7">
      <w:pPr>
        <w:rPr>
          <w:szCs w:val="20"/>
        </w:rPr>
      </w:pPr>
      <w:r w:rsidRPr="00F42DC8">
        <w:rPr>
          <w:noProof/>
          <w:szCs w:val="20"/>
        </w:rPr>
        <mc:AlternateContent>
          <mc:Choice Requires="wps">
            <w:drawing>
              <wp:inline distT="0" distB="0" distL="0" distR="0" wp14:anchorId="01A7A067" wp14:editId="34F74614">
                <wp:extent cx="5514975" cy="2905125"/>
                <wp:effectExtent l="0" t="0" r="28575" b="28575"/>
                <wp:docPr id="217" name="Text Box 2" descr="Key points&#10;• Strong red meat prices and improved wool prices resulted in the highest average farm incomes in 18 years for each region.&#10;• Reduced rates of fertiliser application on pasture partially offset the high cost of fertiliser. &#10;• Earnings before interest and tax in each region was above the ten year average with Northern Victoria and South West Victoria regions recording their highest in 18 years.&#10;• The continued rise in farmland value strengthened business equity levels and constrained return on assets.&#10;• More than two-thirds of participants used the high farm cashflows, and other incentives, to invest in plant and equipment. &#10;• Larger farm businesses tended to have a higher return on assets than smaller farm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905125"/>
                        </a:xfrm>
                        <a:prstGeom prst="rect">
                          <a:avLst/>
                        </a:prstGeom>
                        <a:solidFill>
                          <a:schemeClr val="accent6">
                            <a:lumMod val="20000"/>
                            <a:lumOff val="80000"/>
                          </a:schemeClr>
                        </a:solidFill>
                        <a:ln w="9525">
                          <a:solidFill>
                            <a:srgbClr val="000000"/>
                          </a:solidFill>
                          <a:miter lim="800000"/>
                          <a:headEnd/>
                          <a:tailEnd/>
                        </a:ln>
                      </wps:spPr>
                      <wps:txbx>
                        <w:txbxContent>
                          <w:p w14:paraId="2FF2F67B" w14:textId="77777777" w:rsidR="002055B6" w:rsidRDefault="002055B6" w:rsidP="002055B6">
                            <w:r>
                              <w:t>Key points</w:t>
                            </w:r>
                          </w:p>
                          <w:p w14:paraId="16E6A494" w14:textId="77777777" w:rsidR="002055B6" w:rsidRDefault="002055B6" w:rsidP="002055B6">
                            <w:pPr>
                              <w:pStyle w:val="ListParagraph"/>
                              <w:numPr>
                                <w:ilvl w:val="0"/>
                                <w:numId w:val="10"/>
                              </w:numPr>
                            </w:pPr>
                            <w:r>
                              <w:t>Strong red meat prices and improved wool prices resulted in the highest average farm incomes in 18 years for each region.</w:t>
                            </w:r>
                          </w:p>
                          <w:p w14:paraId="294477B7" w14:textId="77777777" w:rsidR="002055B6" w:rsidRDefault="002055B6" w:rsidP="002055B6">
                            <w:pPr>
                              <w:pStyle w:val="ListParagraph"/>
                              <w:numPr>
                                <w:ilvl w:val="0"/>
                                <w:numId w:val="10"/>
                              </w:numPr>
                            </w:pPr>
                            <w:r>
                              <w:t xml:space="preserve">Reduced rates of fertiliser application on pasture partially offset the high cost of fertiliser. </w:t>
                            </w:r>
                          </w:p>
                          <w:p w14:paraId="42B178ED" w14:textId="77777777" w:rsidR="002055B6" w:rsidRDefault="002055B6" w:rsidP="002055B6">
                            <w:pPr>
                              <w:pStyle w:val="ListParagraph"/>
                              <w:numPr>
                                <w:ilvl w:val="0"/>
                                <w:numId w:val="10"/>
                              </w:numPr>
                            </w:pPr>
                            <w:r>
                              <w:t>Earnings before interest and tax in each region was above the ten year average with Northern Victoria and South West Victoria regions recording their highest in 18 years.</w:t>
                            </w:r>
                          </w:p>
                          <w:p w14:paraId="2D7906F2" w14:textId="77777777" w:rsidR="002055B6" w:rsidRDefault="002055B6" w:rsidP="002055B6">
                            <w:pPr>
                              <w:pStyle w:val="ListParagraph"/>
                              <w:numPr>
                                <w:ilvl w:val="0"/>
                                <w:numId w:val="10"/>
                              </w:numPr>
                            </w:pPr>
                            <w:r>
                              <w:t>The continued rise in farmland value strengthened business equity levels and constrained return on assets.</w:t>
                            </w:r>
                          </w:p>
                          <w:p w14:paraId="170C4C81" w14:textId="77777777" w:rsidR="002055B6" w:rsidRDefault="002055B6" w:rsidP="002055B6">
                            <w:pPr>
                              <w:pStyle w:val="ListParagraph"/>
                              <w:numPr>
                                <w:ilvl w:val="0"/>
                                <w:numId w:val="10"/>
                              </w:numPr>
                            </w:pPr>
                            <w:r>
                              <w:t xml:space="preserve">More than two-thirds of participants used the high farm cashflows, and other incentives, to invest in plant and equipment. </w:t>
                            </w:r>
                          </w:p>
                          <w:p w14:paraId="4DDFBB7E" w14:textId="77777777" w:rsidR="002055B6" w:rsidRDefault="002055B6" w:rsidP="002055B6">
                            <w:pPr>
                              <w:pStyle w:val="ListParagraph"/>
                              <w:numPr>
                                <w:ilvl w:val="0"/>
                                <w:numId w:val="10"/>
                              </w:numPr>
                            </w:pPr>
                            <w:r>
                              <w:t>Larger farm businesses tended to have a higher return on assets than smaller farms.</w:t>
                            </w:r>
                          </w:p>
                        </w:txbxContent>
                      </wps:txbx>
                      <wps:bodyPr rot="0" vert="horz" wrap="square" lIns="91440" tIns="45720" rIns="91440" bIns="45720" anchor="t" anchorCtr="0">
                        <a:noAutofit/>
                      </wps:bodyPr>
                    </wps:wsp>
                  </a:graphicData>
                </a:graphic>
              </wp:inline>
            </w:drawing>
          </mc:Choice>
          <mc:Fallback>
            <w:pict>
              <v:shapetype w14:anchorId="01A7A067" id="_x0000_t202" coordsize="21600,21600" o:spt="202" path="m,l,21600r21600,l21600,xe">
                <v:stroke joinstyle="miter"/>
                <v:path gradientshapeok="t" o:connecttype="rect"/>
              </v:shapetype>
              <v:shape id="Text Box 2" o:spid="_x0000_s1026" type="#_x0000_t202" alt="Key points&#10;• Strong red meat prices and improved wool prices resulted in the highest average farm incomes in 18 years for each region.&#10;• Reduced rates of fertiliser application on pasture partially offset the high cost of fertiliser. &#10;• Earnings before interest and tax in each region was above the ten year average with Northern Victoria and South West Victoria regions recording their highest in 18 years.&#10;• The continued rise in farmland value strengthened business equity levels and constrained return on assets.&#10;• More than two-thirds of participants used the high farm cashflows, and other incentives, to invest in plant and equipment. &#10;• Larger farm businesses tended to have a higher return on assets than smaller farms.&#10;" style="width:434.25pt;height:2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" fillcolor="#e2efd9 [665]">
                <v:textbox>
                  <w:txbxContent>
                    <w:p w14:paraId="2FF2F67B" w14:textId="77777777" w:rsidR="002055B6" w:rsidRDefault="002055B6" w:rsidP="002055B6">
                      <w:r>
                        <w:t>Key points</w:t>
                      </w:r>
                    </w:p>
                    <w:p w14:paraId="16E6A494" w14:textId="77777777" w:rsidR="002055B6" w:rsidRDefault="002055B6" w:rsidP="002055B6">
                      <w:pPr>
                        <w:pStyle w:val="ListParagraph"/>
                        <w:numPr>
                          <w:ilvl w:val="0"/>
                          <w:numId w:val="10"/>
                        </w:numPr>
                      </w:pPr>
                      <w:r>
                        <w:t>Strong red meat prices and improved wool prices resulted in the highest average farm incomes in 18 years for each region.</w:t>
                      </w:r>
                    </w:p>
                    <w:p w14:paraId="294477B7" w14:textId="77777777" w:rsidR="002055B6" w:rsidRDefault="002055B6" w:rsidP="002055B6">
                      <w:pPr>
                        <w:pStyle w:val="ListParagraph"/>
                        <w:numPr>
                          <w:ilvl w:val="0"/>
                          <w:numId w:val="10"/>
                        </w:numPr>
                      </w:pPr>
                      <w:r>
                        <w:t xml:space="preserve">Reduced rates of fertiliser application on pasture partially offset the high cost of fertiliser. </w:t>
                      </w:r>
                    </w:p>
                    <w:p w14:paraId="42B178ED" w14:textId="77777777" w:rsidR="002055B6" w:rsidRDefault="002055B6" w:rsidP="002055B6">
                      <w:pPr>
                        <w:pStyle w:val="ListParagraph"/>
                        <w:numPr>
                          <w:ilvl w:val="0"/>
                          <w:numId w:val="10"/>
                        </w:numPr>
                      </w:pPr>
                      <w:r>
                        <w:t>Earnings before interest and tax in each region was above the ten year average with Northern Victoria and South West Victoria regions recording their highest in 18 years.</w:t>
                      </w:r>
                    </w:p>
                    <w:p w14:paraId="2D7906F2" w14:textId="77777777" w:rsidR="002055B6" w:rsidRDefault="002055B6" w:rsidP="002055B6">
                      <w:pPr>
                        <w:pStyle w:val="ListParagraph"/>
                        <w:numPr>
                          <w:ilvl w:val="0"/>
                          <w:numId w:val="10"/>
                        </w:numPr>
                      </w:pPr>
                      <w:r>
                        <w:t>The continued rise in farmland value strengthened business equity levels and constrained return on assets.</w:t>
                      </w:r>
                    </w:p>
                    <w:p w14:paraId="170C4C81" w14:textId="77777777" w:rsidR="002055B6" w:rsidRDefault="002055B6" w:rsidP="002055B6">
                      <w:pPr>
                        <w:pStyle w:val="ListParagraph"/>
                        <w:numPr>
                          <w:ilvl w:val="0"/>
                          <w:numId w:val="10"/>
                        </w:numPr>
                      </w:pPr>
                      <w:r>
                        <w:t xml:space="preserve">More than two-thirds of participants used the high farm cashflows, and other incentives, to invest in plant and equipment. </w:t>
                      </w:r>
                    </w:p>
                    <w:p w14:paraId="4DDFBB7E" w14:textId="77777777" w:rsidR="002055B6" w:rsidRDefault="002055B6" w:rsidP="002055B6">
                      <w:pPr>
                        <w:pStyle w:val="ListParagraph"/>
                        <w:numPr>
                          <w:ilvl w:val="0"/>
                          <w:numId w:val="10"/>
                        </w:numPr>
                      </w:pPr>
                      <w:r>
                        <w:t>Larger farm businesses tended to have a higher return on assets than smaller farms.</w:t>
                      </w:r>
                    </w:p>
                  </w:txbxContent>
                </v:textbox>
                <w10:anchorlock/>
              </v:shape>
            </w:pict>
          </mc:Fallback>
        </mc:AlternateContent>
      </w:r>
    </w:p>
    <w:p w14:paraId="35871ADD" w14:textId="18C9681F" w:rsidR="00035894" w:rsidRDefault="00035894">
      <w:pPr>
        <w:rPr>
          <w:szCs w:val="20"/>
        </w:rPr>
      </w:pPr>
      <w:r>
        <w:rPr>
          <w:szCs w:val="20"/>
        </w:rPr>
        <w:br w:type="page"/>
      </w:r>
    </w:p>
    <w:p w14:paraId="01AC25FD" w14:textId="77777777" w:rsidR="00937933" w:rsidRDefault="00937933">
      <w:pPr>
        <w:rPr>
          <w:szCs w:val="20"/>
        </w:rPr>
      </w:pPr>
    </w:p>
    <w:tbl>
      <w:tblPr>
        <w:tblStyle w:val="GridTable1Light"/>
        <w:tblW w:w="9967" w:type="dxa"/>
        <w:tblLook w:val="04A0" w:firstRow="1" w:lastRow="0" w:firstColumn="1" w:lastColumn="0" w:noHBand="0" w:noVBand="1"/>
      </w:tblPr>
      <w:tblGrid>
        <w:gridCol w:w="3515"/>
        <w:gridCol w:w="1182"/>
        <w:gridCol w:w="1126"/>
        <w:gridCol w:w="1086"/>
        <w:gridCol w:w="1023"/>
        <w:gridCol w:w="1214"/>
        <w:gridCol w:w="942"/>
      </w:tblGrid>
      <w:tr w:rsidR="00937933" w:rsidRPr="006C128E" w14:paraId="5474463D" w14:textId="77777777" w:rsidTr="007E69B9">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515" w:type="dxa"/>
            <w:noWrap/>
            <w:hideMark/>
          </w:tcPr>
          <w:p w14:paraId="1B1E707F" w14:textId="77777777" w:rsidR="00937933" w:rsidRPr="00161888" w:rsidRDefault="00937933" w:rsidP="00937933">
            <w:pPr>
              <w:rPr>
                <w:rFonts w:eastAsia="Times New Roman" w:cs="Calibri"/>
                <w:b w:val="0"/>
                <w:bCs w:val="0"/>
                <w:color w:val="000000"/>
                <w:sz w:val="18"/>
                <w:szCs w:val="18"/>
                <w:lang w:eastAsia="en-AU"/>
              </w:rPr>
            </w:pPr>
            <w:r w:rsidRPr="00161888">
              <w:rPr>
                <w:rFonts w:eastAsia="Times New Roman" w:cs="Calibri"/>
                <w:color w:val="000000"/>
                <w:sz w:val="18"/>
                <w:szCs w:val="18"/>
                <w:lang w:eastAsia="en-AU"/>
              </w:rPr>
              <w:t>Financial parameter bars:</w:t>
            </w:r>
          </w:p>
        </w:tc>
        <w:tc>
          <w:tcPr>
            <w:tcW w:w="1182" w:type="dxa"/>
            <w:noWrap/>
            <w:hideMark/>
          </w:tcPr>
          <w:p w14:paraId="79CE744D" w14:textId="5185930C" w:rsidR="00937933" w:rsidRPr="00161888" w:rsidRDefault="008025EF" w:rsidP="00937933">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18"/>
                <w:szCs w:val="18"/>
                <w:lang w:eastAsia="en-AU"/>
              </w:rPr>
            </w:pPr>
            <w:r>
              <w:rPr>
                <w:rFonts w:eastAsia="Times New Roman" w:cs="Calibri"/>
                <w:color w:val="000000"/>
                <w:sz w:val="18"/>
                <w:szCs w:val="18"/>
                <w:lang w:eastAsia="en-AU"/>
              </w:rPr>
              <w:t xml:space="preserve">Gippsland </w:t>
            </w:r>
            <w:r w:rsidR="00937933" w:rsidRPr="00161888">
              <w:rPr>
                <w:rFonts w:eastAsia="Times New Roman" w:cs="Calibri"/>
                <w:color w:val="000000"/>
                <w:sz w:val="18"/>
                <w:szCs w:val="18"/>
                <w:lang w:eastAsia="en-AU"/>
              </w:rPr>
              <w:t>10-yr average</w:t>
            </w:r>
          </w:p>
        </w:tc>
        <w:tc>
          <w:tcPr>
            <w:tcW w:w="1086" w:type="dxa"/>
            <w:noWrap/>
            <w:hideMark/>
          </w:tcPr>
          <w:p w14:paraId="0050A8B6" w14:textId="364DBCC0" w:rsidR="00937933" w:rsidRPr="00161888" w:rsidRDefault="00DC1A74" w:rsidP="00937933">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18"/>
                <w:szCs w:val="18"/>
                <w:lang w:eastAsia="en-AU"/>
              </w:rPr>
            </w:pPr>
            <w:r>
              <w:rPr>
                <w:rFonts w:eastAsia="Times New Roman" w:cs="Calibri"/>
                <w:color w:val="000000"/>
                <w:sz w:val="18"/>
                <w:szCs w:val="18"/>
                <w:lang w:eastAsia="en-AU"/>
              </w:rPr>
              <w:t>21</w:t>
            </w:r>
            <w:r w:rsidR="00A90157" w:rsidRPr="00606C8E">
              <w:t>–</w:t>
            </w:r>
            <w:r>
              <w:rPr>
                <w:rFonts w:eastAsia="Times New Roman" w:cs="Calibri"/>
                <w:color w:val="000000"/>
                <w:sz w:val="18"/>
                <w:szCs w:val="18"/>
                <w:lang w:eastAsia="en-AU"/>
              </w:rPr>
              <w:t xml:space="preserve">22 </w:t>
            </w:r>
            <w:r w:rsidR="00937933" w:rsidRPr="00161888">
              <w:rPr>
                <w:rFonts w:eastAsia="Times New Roman" w:cs="Calibri"/>
                <w:color w:val="000000"/>
                <w:sz w:val="18"/>
                <w:szCs w:val="18"/>
                <w:lang w:eastAsia="en-AU"/>
              </w:rPr>
              <w:t>Gippsland</w:t>
            </w:r>
          </w:p>
        </w:tc>
        <w:tc>
          <w:tcPr>
            <w:tcW w:w="1086" w:type="dxa"/>
            <w:noWrap/>
            <w:hideMark/>
          </w:tcPr>
          <w:p w14:paraId="3164EF9D" w14:textId="715F3D7B" w:rsidR="00937933" w:rsidRPr="00161888" w:rsidRDefault="008B26FE" w:rsidP="00937933">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18"/>
                <w:szCs w:val="18"/>
                <w:lang w:eastAsia="en-AU"/>
              </w:rPr>
            </w:pPr>
            <w:r w:rsidRPr="00161888">
              <w:rPr>
                <w:rFonts w:eastAsia="Times New Roman" w:cs="Calibri"/>
                <w:color w:val="000000"/>
                <w:sz w:val="18"/>
                <w:szCs w:val="18"/>
                <w:lang w:eastAsia="en-AU"/>
              </w:rPr>
              <w:t xml:space="preserve"> </w:t>
            </w:r>
            <w:r w:rsidR="008025EF">
              <w:rPr>
                <w:rFonts w:eastAsia="Times New Roman" w:cs="Calibri"/>
                <w:color w:val="000000"/>
                <w:sz w:val="18"/>
                <w:szCs w:val="18"/>
                <w:lang w:eastAsia="en-AU"/>
              </w:rPr>
              <w:t>North</w:t>
            </w:r>
            <w:r w:rsidR="00A03737">
              <w:rPr>
                <w:rFonts w:eastAsia="Times New Roman" w:cs="Calibri"/>
                <w:color w:val="000000"/>
                <w:sz w:val="18"/>
                <w:szCs w:val="18"/>
                <w:lang w:eastAsia="en-AU"/>
              </w:rPr>
              <w:t>ern Victoria</w:t>
            </w:r>
            <w:r w:rsidR="008025EF">
              <w:rPr>
                <w:rFonts w:eastAsia="Times New Roman" w:cs="Calibri"/>
                <w:color w:val="000000"/>
                <w:sz w:val="18"/>
                <w:szCs w:val="18"/>
                <w:lang w:eastAsia="en-AU"/>
              </w:rPr>
              <w:t xml:space="preserve"> </w:t>
            </w:r>
            <w:r w:rsidR="00937933" w:rsidRPr="00161888">
              <w:rPr>
                <w:rFonts w:eastAsia="Times New Roman" w:cs="Calibri"/>
                <w:color w:val="000000"/>
                <w:sz w:val="18"/>
                <w:szCs w:val="18"/>
                <w:lang w:eastAsia="en-AU"/>
              </w:rPr>
              <w:t>10-yr average</w:t>
            </w:r>
          </w:p>
        </w:tc>
        <w:tc>
          <w:tcPr>
            <w:tcW w:w="942" w:type="dxa"/>
            <w:noWrap/>
            <w:hideMark/>
          </w:tcPr>
          <w:p w14:paraId="084914EF" w14:textId="5F4EE55E" w:rsidR="00937933" w:rsidRPr="00161888" w:rsidRDefault="00DC1A74" w:rsidP="00937933">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18"/>
                <w:szCs w:val="18"/>
                <w:lang w:eastAsia="en-AU"/>
              </w:rPr>
            </w:pPr>
            <w:r>
              <w:rPr>
                <w:rFonts w:eastAsia="Times New Roman" w:cs="Calibri"/>
                <w:color w:val="000000"/>
                <w:sz w:val="18"/>
                <w:szCs w:val="18"/>
                <w:lang w:eastAsia="en-AU"/>
              </w:rPr>
              <w:t>21</w:t>
            </w:r>
            <w:r w:rsidR="00181D9D" w:rsidRPr="00EE3D1B">
              <w:t>–</w:t>
            </w:r>
            <w:r>
              <w:rPr>
                <w:rFonts w:eastAsia="Times New Roman" w:cs="Calibri"/>
                <w:color w:val="000000"/>
                <w:sz w:val="18"/>
                <w:szCs w:val="18"/>
                <w:lang w:eastAsia="en-AU"/>
              </w:rPr>
              <w:t xml:space="preserve">22 </w:t>
            </w:r>
            <w:r w:rsidR="00937933" w:rsidRPr="00161888">
              <w:rPr>
                <w:rFonts w:eastAsia="Times New Roman" w:cs="Calibri"/>
                <w:color w:val="000000"/>
                <w:sz w:val="18"/>
                <w:szCs w:val="18"/>
                <w:lang w:eastAsia="en-AU"/>
              </w:rPr>
              <w:t>North</w:t>
            </w:r>
            <w:r w:rsidR="00A03737">
              <w:rPr>
                <w:rFonts w:eastAsia="Times New Roman" w:cs="Calibri"/>
                <w:color w:val="000000"/>
                <w:sz w:val="18"/>
                <w:szCs w:val="18"/>
                <w:lang w:eastAsia="en-AU"/>
              </w:rPr>
              <w:t>ern Victoria</w:t>
            </w:r>
          </w:p>
        </w:tc>
        <w:tc>
          <w:tcPr>
            <w:tcW w:w="1214" w:type="dxa"/>
            <w:noWrap/>
            <w:hideMark/>
          </w:tcPr>
          <w:p w14:paraId="76B4CDD7" w14:textId="75F7F31D" w:rsidR="00937933" w:rsidRPr="00161888" w:rsidRDefault="008025EF" w:rsidP="00937933">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18"/>
                <w:szCs w:val="18"/>
                <w:lang w:eastAsia="en-AU"/>
              </w:rPr>
            </w:pPr>
            <w:r>
              <w:rPr>
                <w:rFonts w:eastAsia="Times New Roman" w:cs="Calibri"/>
                <w:color w:val="000000"/>
                <w:sz w:val="18"/>
                <w:szCs w:val="18"/>
                <w:lang w:eastAsia="en-AU"/>
              </w:rPr>
              <w:t xml:space="preserve">South West </w:t>
            </w:r>
            <w:r w:rsidR="00A03737">
              <w:rPr>
                <w:rFonts w:eastAsia="Times New Roman" w:cs="Calibri"/>
                <w:color w:val="000000"/>
                <w:sz w:val="18"/>
                <w:szCs w:val="18"/>
                <w:lang w:eastAsia="en-AU"/>
              </w:rPr>
              <w:t>Victoria</w:t>
            </w:r>
            <w:r>
              <w:rPr>
                <w:rFonts w:eastAsia="Times New Roman" w:cs="Calibri"/>
                <w:color w:val="000000"/>
                <w:sz w:val="18"/>
                <w:szCs w:val="18"/>
                <w:lang w:eastAsia="en-AU"/>
              </w:rPr>
              <w:t xml:space="preserve"> </w:t>
            </w:r>
            <w:r w:rsidR="00937933" w:rsidRPr="00161888">
              <w:rPr>
                <w:rFonts w:eastAsia="Times New Roman" w:cs="Calibri"/>
                <w:color w:val="000000"/>
                <w:sz w:val="18"/>
                <w:szCs w:val="18"/>
                <w:lang w:eastAsia="en-AU"/>
              </w:rPr>
              <w:t>10-yr average</w:t>
            </w:r>
          </w:p>
        </w:tc>
        <w:tc>
          <w:tcPr>
            <w:tcW w:w="942" w:type="dxa"/>
            <w:noWrap/>
            <w:hideMark/>
          </w:tcPr>
          <w:p w14:paraId="1149BA14" w14:textId="70C23C42" w:rsidR="00937933" w:rsidRPr="00161888" w:rsidRDefault="00DC1A74" w:rsidP="00937933">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18"/>
                <w:szCs w:val="18"/>
                <w:lang w:eastAsia="en-AU"/>
              </w:rPr>
            </w:pPr>
            <w:r>
              <w:rPr>
                <w:rFonts w:eastAsia="Times New Roman" w:cs="Calibri"/>
                <w:color w:val="000000"/>
                <w:sz w:val="18"/>
                <w:szCs w:val="18"/>
                <w:lang w:eastAsia="en-AU"/>
              </w:rPr>
              <w:t>21</w:t>
            </w:r>
            <w:r w:rsidR="00A90157" w:rsidRPr="00606C8E">
              <w:t>–</w:t>
            </w:r>
            <w:r>
              <w:rPr>
                <w:rFonts w:eastAsia="Times New Roman" w:cs="Calibri"/>
                <w:color w:val="000000"/>
                <w:sz w:val="18"/>
                <w:szCs w:val="18"/>
                <w:lang w:eastAsia="en-AU"/>
              </w:rPr>
              <w:t xml:space="preserve">22 </w:t>
            </w:r>
            <w:r w:rsidR="00937933" w:rsidRPr="00161888">
              <w:rPr>
                <w:rFonts w:eastAsia="Times New Roman" w:cs="Calibri"/>
                <w:color w:val="000000"/>
                <w:sz w:val="18"/>
                <w:szCs w:val="18"/>
                <w:lang w:eastAsia="en-AU"/>
              </w:rPr>
              <w:t>South West</w:t>
            </w:r>
            <w:r w:rsidR="00A03737">
              <w:rPr>
                <w:rFonts w:eastAsia="Times New Roman" w:cs="Calibri"/>
                <w:color w:val="000000"/>
                <w:sz w:val="18"/>
                <w:szCs w:val="18"/>
                <w:lang w:eastAsia="en-AU"/>
              </w:rPr>
              <w:t xml:space="preserve"> Victoria</w:t>
            </w:r>
          </w:p>
        </w:tc>
      </w:tr>
      <w:tr w:rsidR="00937933" w:rsidRPr="006C128E" w14:paraId="747A43DF" w14:textId="77777777" w:rsidTr="007E69B9">
        <w:trPr>
          <w:trHeight w:val="293"/>
        </w:trPr>
        <w:tc>
          <w:tcPr>
            <w:cnfStyle w:val="001000000000" w:firstRow="0" w:lastRow="0" w:firstColumn="1" w:lastColumn="0" w:oddVBand="0" w:evenVBand="0" w:oddHBand="0" w:evenHBand="0" w:firstRowFirstColumn="0" w:firstRowLastColumn="0" w:lastRowFirstColumn="0" w:lastRowLastColumn="0"/>
            <w:tcW w:w="3515" w:type="dxa"/>
            <w:noWrap/>
            <w:hideMark/>
          </w:tcPr>
          <w:p w14:paraId="0BB77C1D" w14:textId="16B00DA7" w:rsidR="00937933" w:rsidRPr="00161888" w:rsidRDefault="00937933" w:rsidP="00937933">
            <w:pPr>
              <w:rPr>
                <w:rFonts w:eastAsia="Times New Roman" w:cs="Calibri"/>
                <w:color w:val="000000"/>
                <w:sz w:val="18"/>
                <w:szCs w:val="18"/>
                <w:lang w:eastAsia="en-AU"/>
              </w:rPr>
            </w:pPr>
            <w:r w:rsidRPr="00161888">
              <w:rPr>
                <w:rFonts w:eastAsia="Times New Roman" w:cs="Calibri"/>
                <w:color w:val="000000"/>
                <w:sz w:val="18"/>
                <w:szCs w:val="18"/>
                <w:lang w:eastAsia="en-AU"/>
              </w:rPr>
              <w:t xml:space="preserve">Gross </w:t>
            </w:r>
            <w:r w:rsidR="006C128E" w:rsidRPr="00161888">
              <w:rPr>
                <w:rFonts w:eastAsia="Times New Roman" w:cs="Calibri"/>
                <w:color w:val="000000"/>
                <w:sz w:val="18"/>
                <w:szCs w:val="18"/>
                <w:lang w:eastAsia="en-AU"/>
              </w:rPr>
              <w:t>f</w:t>
            </w:r>
            <w:r w:rsidRPr="00161888">
              <w:rPr>
                <w:rFonts w:eastAsia="Times New Roman" w:cs="Calibri"/>
                <w:color w:val="000000"/>
                <w:sz w:val="18"/>
                <w:szCs w:val="18"/>
                <w:lang w:eastAsia="en-AU"/>
              </w:rPr>
              <w:t xml:space="preserve">arm </w:t>
            </w:r>
            <w:r w:rsidR="006C128E" w:rsidRPr="00161888">
              <w:rPr>
                <w:rFonts w:eastAsia="Times New Roman" w:cs="Calibri"/>
                <w:color w:val="000000"/>
                <w:sz w:val="18"/>
                <w:szCs w:val="18"/>
                <w:lang w:eastAsia="en-AU"/>
              </w:rPr>
              <w:t>i</w:t>
            </w:r>
            <w:r w:rsidRPr="00161888">
              <w:rPr>
                <w:rFonts w:eastAsia="Times New Roman" w:cs="Calibri"/>
                <w:color w:val="000000"/>
                <w:sz w:val="18"/>
                <w:szCs w:val="18"/>
                <w:lang w:eastAsia="en-AU"/>
              </w:rPr>
              <w:t>ncome ($/ha)</w:t>
            </w:r>
          </w:p>
        </w:tc>
        <w:tc>
          <w:tcPr>
            <w:tcW w:w="1182" w:type="dxa"/>
            <w:noWrap/>
            <w:hideMark/>
          </w:tcPr>
          <w:p w14:paraId="192111DF"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$1,035</w:t>
            </w:r>
          </w:p>
        </w:tc>
        <w:tc>
          <w:tcPr>
            <w:tcW w:w="1086" w:type="dxa"/>
            <w:noWrap/>
            <w:hideMark/>
          </w:tcPr>
          <w:p w14:paraId="24B7475E"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$1,419</w:t>
            </w:r>
          </w:p>
        </w:tc>
        <w:tc>
          <w:tcPr>
            <w:tcW w:w="1086" w:type="dxa"/>
            <w:noWrap/>
            <w:hideMark/>
          </w:tcPr>
          <w:p w14:paraId="2639B332"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$750</w:t>
            </w:r>
          </w:p>
        </w:tc>
        <w:tc>
          <w:tcPr>
            <w:tcW w:w="942" w:type="dxa"/>
            <w:noWrap/>
            <w:hideMark/>
          </w:tcPr>
          <w:p w14:paraId="0E9C5B09"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$1,125</w:t>
            </w:r>
          </w:p>
        </w:tc>
        <w:tc>
          <w:tcPr>
            <w:tcW w:w="1214" w:type="dxa"/>
            <w:noWrap/>
            <w:hideMark/>
          </w:tcPr>
          <w:p w14:paraId="1F5D21E4"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$1,064</w:t>
            </w:r>
          </w:p>
        </w:tc>
        <w:tc>
          <w:tcPr>
            <w:tcW w:w="942" w:type="dxa"/>
            <w:noWrap/>
            <w:hideMark/>
          </w:tcPr>
          <w:p w14:paraId="52E9F574"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$1,473</w:t>
            </w:r>
          </w:p>
        </w:tc>
      </w:tr>
      <w:tr w:rsidR="00937933" w:rsidRPr="006C128E" w14:paraId="222DFBFE" w14:textId="77777777" w:rsidTr="007E69B9">
        <w:trPr>
          <w:trHeight w:val="293"/>
        </w:trPr>
        <w:tc>
          <w:tcPr>
            <w:cnfStyle w:val="001000000000" w:firstRow="0" w:lastRow="0" w:firstColumn="1" w:lastColumn="0" w:oddVBand="0" w:evenVBand="0" w:oddHBand="0" w:evenHBand="0" w:firstRowFirstColumn="0" w:firstRowLastColumn="0" w:lastRowFirstColumn="0" w:lastRowLastColumn="0"/>
            <w:tcW w:w="3515" w:type="dxa"/>
            <w:noWrap/>
            <w:hideMark/>
          </w:tcPr>
          <w:p w14:paraId="118AAEF6" w14:textId="77777777" w:rsidR="00937933" w:rsidRPr="00161888" w:rsidRDefault="00937933" w:rsidP="00937933">
            <w:pPr>
              <w:rPr>
                <w:rFonts w:eastAsia="Times New Roman" w:cs="Calibri"/>
                <w:color w:val="000000"/>
                <w:sz w:val="18"/>
                <w:szCs w:val="18"/>
                <w:lang w:eastAsia="en-AU"/>
              </w:rPr>
            </w:pPr>
            <w:r w:rsidRPr="00161888">
              <w:rPr>
                <w:rFonts w:eastAsia="Times New Roman" w:cs="Calibri"/>
                <w:color w:val="000000"/>
                <w:sz w:val="18"/>
                <w:szCs w:val="18"/>
                <w:lang w:eastAsia="en-AU"/>
              </w:rPr>
              <w:t>Variable costs ($/ha)</w:t>
            </w:r>
          </w:p>
        </w:tc>
        <w:tc>
          <w:tcPr>
            <w:tcW w:w="1182" w:type="dxa"/>
            <w:noWrap/>
            <w:hideMark/>
          </w:tcPr>
          <w:p w14:paraId="1066CB0B"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$390</w:t>
            </w:r>
          </w:p>
        </w:tc>
        <w:tc>
          <w:tcPr>
            <w:tcW w:w="1086" w:type="dxa"/>
            <w:noWrap/>
            <w:hideMark/>
          </w:tcPr>
          <w:p w14:paraId="528816E6"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$462</w:t>
            </w:r>
          </w:p>
        </w:tc>
        <w:tc>
          <w:tcPr>
            <w:tcW w:w="1086" w:type="dxa"/>
            <w:noWrap/>
            <w:hideMark/>
          </w:tcPr>
          <w:p w14:paraId="49E34E58"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$276</w:t>
            </w:r>
          </w:p>
        </w:tc>
        <w:tc>
          <w:tcPr>
            <w:tcW w:w="942" w:type="dxa"/>
            <w:noWrap/>
            <w:hideMark/>
          </w:tcPr>
          <w:p w14:paraId="3041692D"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$348</w:t>
            </w:r>
          </w:p>
        </w:tc>
        <w:tc>
          <w:tcPr>
            <w:tcW w:w="1214" w:type="dxa"/>
            <w:noWrap/>
            <w:hideMark/>
          </w:tcPr>
          <w:p w14:paraId="586CA9B4"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$406</w:t>
            </w:r>
          </w:p>
        </w:tc>
        <w:tc>
          <w:tcPr>
            <w:tcW w:w="942" w:type="dxa"/>
            <w:noWrap/>
            <w:hideMark/>
          </w:tcPr>
          <w:p w14:paraId="5BB74DBC"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$552</w:t>
            </w:r>
          </w:p>
        </w:tc>
      </w:tr>
      <w:tr w:rsidR="00937933" w:rsidRPr="006C128E" w14:paraId="2D2B0DEE" w14:textId="77777777" w:rsidTr="007E69B9">
        <w:trPr>
          <w:trHeight w:val="293"/>
        </w:trPr>
        <w:tc>
          <w:tcPr>
            <w:cnfStyle w:val="001000000000" w:firstRow="0" w:lastRow="0" w:firstColumn="1" w:lastColumn="0" w:oddVBand="0" w:evenVBand="0" w:oddHBand="0" w:evenHBand="0" w:firstRowFirstColumn="0" w:firstRowLastColumn="0" w:lastRowFirstColumn="0" w:lastRowLastColumn="0"/>
            <w:tcW w:w="3515" w:type="dxa"/>
            <w:noWrap/>
            <w:hideMark/>
          </w:tcPr>
          <w:p w14:paraId="5928F8D1" w14:textId="77777777" w:rsidR="00937933" w:rsidRPr="00161888" w:rsidRDefault="00937933" w:rsidP="00937933">
            <w:pPr>
              <w:rPr>
                <w:rFonts w:eastAsia="Times New Roman" w:cs="Calibri"/>
                <w:color w:val="000000"/>
                <w:sz w:val="18"/>
                <w:szCs w:val="18"/>
                <w:lang w:eastAsia="en-AU"/>
              </w:rPr>
            </w:pPr>
            <w:r w:rsidRPr="00161888">
              <w:rPr>
                <w:rFonts w:eastAsia="Times New Roman" w:cs="Calibri"/>
                <w:color w:val="000000"/>
                <w:sz w:val="18"/>
                <w:szCs w:val="18"/>
                <w:lang w:eastAsia="en-AU"/>
              </w:rPr>
              <w:t>Overhead costs ($/ha)</w:t>
            </w:r>
          </w:p>
        </w:tc>
        <w:tc>
          <w:tcPr>
            <w:tcW w:w="1182" w:type="dxa"/>
            <w:noWrap/>
            <w:hideMark/>
          </w:tcPr>
          <w:p w14:paraId="13DE56F3"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$472</w:t>
            </w:r>
          </w:p>
        </w:tc>
        <w:tc>
          <w:tcPr>
            <w:tcW w:w="1086" w:type="dxa"/>
            <w:noWrap/>
            <w:hideMark/>
          </w:tcPr>
          <w:p w14:paraId="53BA66C4"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$572</w:t>
            </w:r>
          </w:p>
        </w:tc>
        <w:tc>
          <w:tcPr>
            <w:tcW w:w="1086" w:type="dxa"/>
            <w:noWrap/>
            <w:hideMark/>
          </w:tcPr>
          <w:p w14:paraId="310559C7"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$320</w:t>
            </w:r>
          </w:p>
        </w:tc>
        <w:tc>
          <w:tcPr>
            <w:tcW w:w="942" w:type="dxa"/>
            <w:noWrap/>
            <w:hideMark/>
          </w:tcPr>
          <w:p w14:paraId="3551E256"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$397</w:t>
            </w:r>
          </w:p>
        </w:tc>
        <w:tc>
          <w:tcPr>
            <w:tcW w:w="1214" w:type="dxa"/>
            <w:noWrap/>
            <w:hideMark/>
          </w:tcPr>
          <w:p w14:paraId="2164DC2E"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$313</w:t>
            </w:r>
          </w:p>
        </w:tc>
        <w:tc>
          <w:tcPr>
            <w:tcW w:w="942" w:type="dxa"/>
            <w:noWrap/>
            <w:hideMark/>
          </w:tcPr>
          <w:p w14:paraId="355F8982"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$379</w:t>
            </w:r>
          </w:p>
        </w:tc>
      </w:tr>
      <w:tr w:rsidR="00937933" w:rsidRPr="006C128E" w14:paraId="684415DE" w14:textId="77777777" w:rsidTr="007E69B9">
        <w:trPr>
          <w:trHeight w:val="293"/>
        </w:trPr>
        <w:tc>
          <w:tcPr>
            <w:cnfStyle w:val="001000000000" w:firstRow="0" w:lastRow="0" w:firstColumn="1" w:lastColumn="0" w:oddVBand="0" w:evenVBand="0" w:oddHBand="0" w:evenHBand="0" w:firstRowFirstColumn="0" w:firstRowLastColumn="0" w:lastRowFirstColumn="0" w:lastRowLastColumn="0"/>
            <w:tcW w:w="3515" w:type="dxa"/>
            <w:noWrap/>
            <w:hideMark/>
          </w:tcPr>
          <w:p w14:paraId="67C224CC" w14:textId="0D0851B2" w:rsidR="00937933" w:rsidRPr="00161888" w:rsidRDefault="00937933" w:rsidP="00937933">
            <w:pPr>
              <w:rPr>
                <w:rFonts w:eastAsia="Times New Roman" w:cs="Calibri"/>
                <w:color w:val="000000"/>
                <w:sz w:val="18"/>
                <w:szCs w:val="18"/>
                <w:lang w:eastAsia="en-AU"/>
              </w:rPr>
            </w:pPr>
            <w:r w:rsidRPr="00161888">
              <w:rPr>
                <w:rFonts w:eastAsia="Times New Roman" w:cs="Calibri"/>
                <w:color w:val="000000"/>
                <w:sz w:val="18"/>
                <w:szCs w:val="18"/>
                <w:lang w:eastAsia="en-AU"/>
              </w:rPr>
              <w:t xml:space="preserve">Earnings before </w:t>
            </w:r>
            <w:r w:rsidR="006C128E" w:rsidRPr="00161888">
              <w:rPr>
                <w:rFonts w:eastAsia="Times New Roman" w:cs="Calibri"/>
                <w:color w:val="000000"/>
                <w:sz w:val="18"/>
                <w:szCs w:val="18"/>
                <w:lang w:eastAsia="en-AU"/>
              </w:rPr>
              <w:t>i</w:t>
            </w:r>
            <w:r w:rsidRPr="00161888">
              <w:rPr>
                <w:rFonts w:eastAsia="Times New Roman" w:cs="Calibri"/>
                <w:color w:val="000000"/>
                <w:sz w:val="18"/>
                <w:szCs w:val="18"/>
                <w:lang w:eastAsia="en-AU"/>
              </w:rPr>
              <w:t xml:space="preserve">nterest and </w:t>
            </w:r>
            <w:r w:rsidR="006C128E" w:rsidRPr="00161888">
              <w:rPr>
                <w:rFonts w:eastAsia="Times New Roman" w:cs="Calibri"/>
                <w:color w:val="000000"/>
                <w:sz w:val="18"/>
                <w:szCs w:val="18"/>
                <w:lang w:eastAsia="en-AU"/>
              </w:rPr>
              <w:t>t</w:t>
            </w:r>
            <w:r w:rsidRPr="00161888">
              <w:rPr>
                <w:rFonts w:eastAsia="Times New Roman" w:cs="Calibri"/>
                <w:color w:val="000000"/>
                <w:sz w:val="18"/>
                <w:szCs w:val="18"/>
                <w:lang w:eastAsia="en-AU"/>
              </w:rPr>
              <w:t>ax (EBIT) ($/ha)</w:t>
            </w:r>
          </w:p>
        </w:tc>
        <w:tc>
          <w:tcPr>
            <w:tcW w:w="1182" w:type="dxa"/>
            <w:noWrap/>
            <w:hideMark/>
          </w:tcPr>
          <w:p w14:paraId="1E0A8EF0"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$172</w:t>
            </w:r>
          </w:p>
        </w:tc>
        <w:tc>
          <w:tcPr>
            <w:tcW w:w="1086" w:type="dxa"/>
            <w:noWrap/>
            <w:hideMark/>
          </w:tcPr>
          <w:p w14:paraId="161A4516" w14:textId="2E6BACC6"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$385</w:t>
            </w:r>
          </w:p>
        </w:tc>
        <w:tc>
          <w:tcPr>
            <w:tcW w:w="1086" w:type="dxa"/>
            <w:noWrap/>
            <w:hideMark/>
          </w:tcPr>
          <w:p w14:paraId="08D923CE"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$154</w:t>
            </w:r>
          </w:p>
        </w:tc>
        <w:tc>
          <w:tcPr>
            <w:tcW w:w="942" w:type="dxa"/>
            <w:noWrap/>
            <w:hideMark/>
          </w:tcPr>
          <w:p w14:paraId="0D3F3BE7"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$380</w:t>
            </w:r>
          </w:p>
        </w:tc>
        <w:tc>
          <w:tcPr>
            <w:tcW w:w="1214" w:type="dxa"/>
            <w:noWrap/>
            <w:hideMark/>
          </w:tcPr>
          <w:p w14:paraId="4DE9CAE2"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$345</w:t>
            </w:r>
          </w:p>
        </w:tc>
        <w:tc>
          <w:tcPr>
            <w:tcW w:w="942" w:type="dxa"/>
            <w:noWrap/>
            <w:hideMark/>
          </w:tcPr>
          <w:p w14:paraId="1D192243"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$542</w:t>
            </w:r>
          </w:p>
        </w:tc>
      </w:tr>
      <w:tr w:rsidR="00937933" w:rsidRPr="006C128E" w14:paraId="122FC020" w14:textId="77777777" w:rsidTr="007E69B9">
        <w:trPr>
          <w:trHeight w:val="293"/>
        </w:trPr>
        <w:tc>
          <w:tcPr>
            <w:cnfStyle w:val="001000000000" w:firstRow="0" w:lastRow="0" w:firstColumn="1" w:lastColumn="0" w:oddVBand="0" w:evenVBand="0" w:oddHBand="0" w:evenHBand="0" w:firstRowFirstColumn="0" w:firstRowLastColumn="0" w:lastRowFirstColumn="0" w:lastRowLastColumn="0"/>
            <w:tcW w:w="3515" w:type="dxa"/>
            <w:noWrap/>
            <w:hideMark/>
          </w:tcPr>
          <w:p w14:paraId="1707C1F7" w14:textId="1332D77C" w:rsidR="00937933" w:rsidRPr="00161888" w:rsidRDefault="00937933" w:rsidP="00937933">
            <w:pPr>
              <w:rPr>
                <w:rFonts w:eastAsia="Times New Roman" w:cs="Calibri"/>
                <w:color w:val="000000"/>
                <w:sz w:val="18"/>
                <w:szCs w:val="18"/>
                <w:lang w:eastAsia="en-AU"/>
              </w:rPr>
            </w:pPr>
            <w:r w:rsidRPr="00161888">
              <w:rPr>
                <w:rFonts w:eastAsia="Times New Roman" w:cs="Calibri"/>
                <w:color w:val="000000"/>
                <w:sz w:val="18"/>
                <w:szCs w:val="18"/>
                <w:lang w:eastAsia="en-AU"/>
              </w:rPr>
              <w:t xml:space="preserve">Return on </w:t>
            </w:r>
            <w:r w:rsidR="006C128E" w:rsidRPr="00161888">
              <w:rPr>
                <w:rFonts w:eastAsia="Times New Roman" w:cs="Calibri"/>
                <w:color w:val="000000"/>
                <w:sz w:val="18"/>
                <w:szCs w:val="18"/>
                <w:lang w:eastAsia="en-AU"/>
              </w:rPr>
              <w:t>a</w:t>
            </w:r>
            <w:r w:rsidRPr="00161888">
              <w:rPr>
                <w:rFonts w:eastAsia="Times New Roman" w:cs="Calibri"/>
                <w:color w:val="000000"/>
                <w:sz w:val="18"/>
                <w:szCs w:val="18"/>
                <w:lang w:eastAsia="en-AU"/>
              </w:rPr>
              <w:t>ssets (%)</w:t>
            </w:r>
          </w:p>
        </w:tc>
        <w:tc>
          <w:tcPr>
            <w:tcW w:w="1182" w:type="dxa"/>
            <w:noWrap/>
            <w:hideMark/>
          </w:tcPr>
          <w:p w14:paraId="1FA8CBD1"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1.6%</w:t>
            </w:r>
          </w:p>
        </w:tc>
        <w:tc>
          <w:tcPr>
            <w:tcW w:w="1086" w:type="dxa"/>
            <w:noWrap/>
            <w:hideMark/>
          </w:tcPr>
          <w:p w14:paraId="299FD569"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2.3%</w:t>
            </w:r>
          </w:p>
        </w:tc>
        <w:tc>
          <w:tcPr>
            <w:tcW w:w="1086" w:type="dxa"/>
            <w:noWrap/>
            <w:hideMark/>
          </w:tcPr>
          <w:p w14:paraId="73CAF7BB"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1.9%</w:t>
            </w:r>
          </w:p>
        </w:tc>
        <w:tc>
          <w:tcPr>
            <w:tcW w:w="942" w:type="dxa"/>
            <w:noWrap/>
            <w:hideMark/>
          </w:tcPr>
          <w:p w14:paraId="4C8EB1ED"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2.2%</w:t>
            </w:r>
          </w:p>
        </w:tc>
        <w:tc>
          <w:tcPr>
            <w:tcW w:w="1214" w:type="dxa"/>
            <w:noWrap/>
            <w:hideMark/>
          </w:tcPr>
          <w:p w14:paraId="194CA7A4"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3.6%</w:t>
            </w:r>
          </w:p>
        </w:tc>
        <w:tc>
          <w:tcPr>
            <w:tcW w:w="942" w:type="dxa"/>
            <w:noWrap/>
            <w:hideMark/>
          </w:tcPr>
          <w:p w14:paraId="2CC8108D"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3.0%</w:t>
            </w:r>
          </w:p>
        </w:tc>
      </w:tr>
      <w:tr w:rsidR="00937933" w:rsidRPr="006C128E" w14:paraId="5503EB01" w14:textId="77777777" w:rsidTr="007E69B9">
        <w:trPr>
          <w:trHeight w:val="293"/>
        </w:trPr>
        <w:tc>
          <w:tcPr>
            <w:cnfStyle w:val="001000000000" w:firstRow="0" w:lastRow="0" w:firstColumn="1" w:lastColumn="0" w:oddVBand="0" w:evenVBand="0" w:oddHBand="0" w:evenHBand="0" w:firstRowFirstColumn="0" w:firstRowLastColumn="0" w:lastRowFirstColumn="0" w:lastRowLastColumn="0"/>
            <w:tcW w:w="3515" w:type="dxa"/>
            <w:noWrap/>
            <w:hideMark/>
          </w:tcPr>
          <w:p w14:paraId="4CEA495E" w14:textId="20815DE8" w:rsidR="00937933" w:rsidRPr="00161888" w:rsidRDefault="00937933" w:rsidP="00937933">
            <w:pPr>
              <w:rPr>
                <w:rFonts w:eastAsia="Times New Roman" w:cs="Calibri"/>
                <w:color w:val="000000"/>
                <w:sz w:val="18"/>
                <w:szCs w:val="18"/>
                <w:lang w:eastAsia="en-AU"/>
              </w:rPr>
            </w:pPr>
            <w:r w:rsidRPr="00161888">
              <w:rPr>
                <w:rFonts w:eastAsia="Times New Roman" w:cs="Calibri"/>
                <w:color w:val="000000"/>
                <w:sz w:val="18"/>
                <w:szCs w:val="18"/>
                <w:lang w:eastAsia="en-AU"/>
              </w:rPr>
              <w:t xml:space="preserve">Return on </w:t>
            </w:r>
            <w:r w:rsidR="006C128E" w:rsidRPr="00161888">
              <w:rPr>
                <w:rFonts w:eastAsia="Times New Roman" w:cs="Calibri"/>
                <w:color w:val="000000"/>
                <w:sz w:val="18"/>
                <w:szCs w:val="18"/>
                <w:lang w:eastAsia="en-AU"/>
              </w:rPr>
              <w:t>e</w:t>
            </w:r>
            <w:r w:rsidRPr="00161888">
              <w:rPr>
                <w:rFonts w:eastAsia="Times New Roman" w:cs="Calibri"/>
                <w:color w:val="000000"/>
                <w:sz w:val="18"/>
                <w:szCs w:val="18"/>
                <w:lang w:eastAsia="en-AU"/>
              </w:rPr>
              <w:t>quity (%)</w:t>
            </w:r>
          </w:p>
        </w:tc>
        <w:tc>
          <w:tcPr>
            <w:tcW w:w="1182" w:type="dxa"/>
            <w:noWrap/>
            <w:hideMark/>
          </w:tcPr>
          <w:p w14:paraId="530D6866"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1.4%</w:t>
            </w:r>
          </w:p>
        </w:tc>
        <w:tc>
          <w:tcPr>
            <w:tcW w:w="1086" w:type="dxa"/>
            <w:noWrap/>
            <w:hideMark/>
          </w:tcPr>
          <w:p w14:paraId="446AF54F"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2.1%</w:t>
            </w:r>
          </w:p>
        </w:tc>
        <w:tc>
          <w:tcPr>
            <w:tcW w:w="1086" w:type="dxa"/>
            <w:noWrap/>
            <w:hideMark/>
          </w:tcPr>
          <w:p w14:paraId="5651B2E3"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1.3%</w:t>
            </w:r>
          </w:p>
        </w:tc>
        <w:tc>
          <w:tcPr>
            <w:tcW w:w="942" w:type="dxa"/>
            <w:noWrap/>
            <w:hideMark/>
          </w:tcPr>
          <w:p w14:paraId="17488A7B"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3.0%</w:t>
            </w:r>
          </w:p>
        </w:tc>
        <w:tc>
          <w:tcPr>
            <w:tcW w:w="1214" w:type="dxa"/>
            <w:noWrap/>
            <w:hideMark/>
          </w:tcPr>
          <w:p w14:paraId="54F54642"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4.4%</w:t>
            </w:r>
          </w:p>
        </w:tc>
        <w:tc>
          <w:tcPr>
            <w:tcW w:w="942" w:type="dxa"/>
            <w:noWrap/>
            <w:hideMark/>
          </w:tcPr>
          <w:p w14:paraId="609526F2"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3.8%</w:t>
            </w:r>
          </w:p>
        </w:tc>
      </w:tr>
      <w:tr w:rsidR="00937933" w:rsidRPr="006C128E" w14:paraId="15E4E6D4" w14:textId="77777777" w:rsidTr="007E69B9">
        <w:trPr>
          <w:trHeight w:val="293"/>
        </w:trPr>
        <w:tc>
          <w:tcPr>
            <w:cnfStyle w:val="001000000000" w:firstRow="0" w:lastRow="0" w:firstColumn="1" w:lastColumn="0" w:oddVBand="0" w:evenVBand="0" w:oddHBand="0" w:evenHBand="0" w:firstRowFirstColumn="0" w:firstRowLastColumn="0" w:lastRowFirstColumn="0" w:lastRowLastColumn="0"/>
            <w:tcW w:w="3515" w:type="dxa"/>
            <w:noWrap/>
            <w:hideMark/>
          </w:tcPr>
          <w:p w14:paraId="125B5E15" w14:textId="77777777" w:rsidR="00937933" w:rsidRPr="00161888" w:rsidRDefault="00937933" w:rsidP="00937933">
            <w:pPr>
              <w:rPr>
                <w:rFonts w:eastAsia="Times New Roman" w:cs="Calibri"/>
                <w:color w:val="000000"/>
                <w:sz w:val="18"/>
                <w:szCs w:val="18"/>
                <w:lang w:eastAsia="en-AU"/>
              </w:rPr>
            </w:pPr>
            <w:r w:rsidRPr="00161888">
              <w:rPr>
                <w:rFonts w:ascii="Cambria" w:eastAsia="Times New Roman" w:hAnsi="Cambria" w:cs="Cambria"/>
                <w:color w:val="000000"/>
                <w:sz w:val="18"/>
                <w:szCs w:val="18"/>
                <w:lang w:eastAsia="en-AU"/>
              </w:rPr>
              <w:t> </w:t>
            </w:r>
          </w:p>
        </w:tc>
        <w:tc>
          <w:tcPr>
            <w:tcW w:w="1182" w:type="dxa"/>
            <w:noWrap/>
            <w:hideMark/>
          </w:tcPr>
          <w:p w14:paraId="56350180"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ascii="Cambria" w:eastAsia="Times New Roman" w:hAnsi="Cambria" w:cs="Cambria"/>
                <w:color w:val="000000"/>
                <w:sz w:val="18"/>
                <w:szCs w:val="18"/>
                <w:lang w:eastAsia="en-AU"/>
              </w:rPr>
              <w:t> </w:t>
            </w:r>
          </w:p>
        </w:tc>
        <w:tc>
          <w:tcPr>
            <w:tcW w:w="1086" w:type="dxa"/>
            <w:noWrap/>
            <w:hideMark/>
          </w:tcPr>
          <w:p w14:paraId="4A877C57"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ascii="Cambria" w:eastAsia="Times New Roman" w:hAnsi="Cambria" w:cs="Cambria"/>
                <w:color w:val="000000"/>
                <w:sz w:val="18"/>
                <w:szCs w:val="18"/>
                <w:lang w:eastAsia="en-AU"/>
              </w:rPr>
              <w:t> </w:t>
            </w:r>
          </w:p>
        </w:tc>
        <w:tc>
          <w:tcPr>
            <w:tcW w:w="1086" w:type="dxa"/>
            <w:noWrap/>
            <w:hideMark/>
          </w:tcPr>
          <w:p w14:paraId="4ABA0493"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ascii="Cambria" w:eastAsia="Times New Roman" w:hAnsi="Cambria" w:cs="Cambria"/>
                <w:color w:val="000000"/>
                <w:sz w:val="18"/>
                <w:szCs w:val="18"/>
                <w:lang w:eastAsia="en-AU"/>
              </w:rPr>
              <w:t> </w:t>
            </w:r>
          </w:p>
        </w:tc>
        <w:tc>
          <w:tcPr>
            <w:tcW w:w="942" w:type="dxa"/>
            <w:noWrap/>
            <w:hideMark/>
          </w:tcPr>
          <w:p w14:paraId="5D4E559D"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ascii="Cambria" w:eastAsia="Times New Roman" w:hAnsi="Cambria" w:cs="Cambria"/>
                <w:color w:val="000000"/>
                <w:sz w:val="18"/>
                <w:szCs w:val="18"/>
                <w:lang w:eastAsia="en-AU"/>
              </w:rPr>
              <w:t> </w:t>
            </w:r>
          </w:p>
        </w:tc>
        <w:tc>
          <w:tcPr>
            <w:tcW w:w="1214" w:type="dxa"/>
            <w:noWrap/>
            <w:hideMark/>
          </w:tcPr>
          <w:p w14:paraId="21375C8D"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ascii="Cambria" w:eastAsia="Times New Roman" w:hAnsi="Cambria" w:cs="Cambria"/>
                <w:color w:val="000000"/>
                <w:sz w:val="18"/>
                <w:szCs w:val="18"/>
                <w:lang w:eastAsia="en-AU"/>
              </w:rPr>
              <w:t> </w:t>
            </w:r>
          </w:p>
        </w:tc>
        <w:tc>
          <w:tcPr>
            <w:tcW w:w="942" w:type="dxa"/>
            <w:noWrap/>
            <w:hideMark/>
          </w:tcPr>
          <w:p w14:paraId="63E65201"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ascii="Cambria" w:eastAsia="Times New Roman" w:hAnsi="Cambria" w:cs="Cambria"/>
                <w:color w:val="000000"/>
                <w:sz w:val="18"/>
                <w:szCs w:val="18"/>
                <w:lang w:eastAsia="en-AU"/>
              </w:rPr>
              <w:t> </w:t>
            </w:r>
          </w:p>
        </w:tc>
      </w:tr>
      <w:tr w:rsidR="00937933" w:rsidRPr="006C128E" w14:paraId="303CB5E6" w14:textId="77777777" w:rsidTr="007E69B9">
        <w:trPr>
          <w:trHeight w:val="293"/>
        </w:trPr>
        <w:tc>
          <w:tcPr>
            <w:cnfStyle w:val="001000000000" w:firstRow="0" w:lastRow="0" w:firstColumn="1" w:lastColumn="0" w:oddVBand="0" w:evenVBand="0" w:oddHBand="0" w:evenHBand="0" w:firstRowFirstColumn="0" w:firstRowLastColumn="0" w:lastRowFirstColumn="0" w:lastRowLastColumn="0"/>
            <w:tcW w:w="3515" w:type="dxa"/>
            <w:noWrap/>
            <w:hideMark/>
          </w:tcPr>
          <w:p w14:paraId="09780D2A" w14:textId="77777777" w:rsidR="00937933" w:rsidRPr="00161888" w:rsidRDefault="00937933" w:rsidP="00937933">
            <w:pPr>
              <w:rPr>
                <w:rFonts w:eastAsia="Times New Roman" w:cs="Calibri"/>
                <w:b w:val="0"/>
                <w:bCs w:val="0"/>
                <w:color w:val="000000"/>
                <w:sz w:val="18"/>
                <w:szCs w:val="18"/>
                <w:lang w:eastAsia="en-AU"/>
              </w:rPr>
            </w:pPr>
            <w:r w:rsidRPr="00161888">
              <w:rPr>
                <w:rFonts w:eastAsia="Times New Roman" w:cs="Calibri"/>
                <w:color w:val="000000"/>
                <w:sz w:val="18"/>
                <w:szCs w:val="18"/>
                <w:lang w:eastAsia="en-AU"/>
              </w:rPr>
              <w:t>Physical parameter bars:</w:t>
            </w:r>
          </w:p>
        </w:tc>
        <w:tc>
          <w:tcPr>
            <w:tcW w:w="1182" w:type="dxa"/>
            <w:noWrap/>
          </w:tcPr>
          <w:p w14:paraId="5D9DB5EF" w14:textId="5B052243"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eastAsia="en-AU"/>
              </w:rPr>
            </w:pPr>
          </w:p>
        </w:tc>
        <w:tc>
          <w:tcPr>
            <w:tcW w:w="1086" w:type="dxa"/>
            <w:noWrap/>
          </w:tcPr>
          <w:p w14:paraId="06597C14" w14:textId="5FBFC568"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eastAsia="en-AU"/>
              </w:rPr>
            </w:pPr>
          </w:p>
        </w:tc>
        <w:tc>
          <w:tcPr>
            <w:tcW w:w="1086" w:type="dxa"/>
            <w:noWrap/>
          </w:tcPr>
          <w:p w14:paraId="31F9AE1C" w14:textId="6773C7AA"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eastAsia="en-AU"/>
              </w:rPr>
            </w:pPr>
          </w:p>
        </w:tc>
        <w:tc>
          <w:tcPr>
            <w:tcW w:w="942" w:type="dxa"/>
            <w:noWrap/>
          </w:tcPr>
          <w:p w14:paraId="52992D68" w14:textId="08FCDB3F"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eastAsia="en-AU"/>
              </w:rPr>
            </w:pPr>
          </w:p>
        </w:tc>
        <w:tc>
          <w:tcPr>
            <w:tcW w:w="1214" w:type="dxa"/>
            <w:noWrap/>
          </w:tcPr>
          <w:p w14:paraId="596FC253" w14:textId="3AAFE54F"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eastAsia="en-AU"/>
              </w:rPr>
            </w:pPr>
          </w:p>
        </w:tc>
        <w:tc>
          <w:tcPr>
            <w:tcW w:w="942" w:type="dxa"/>
            <w:noWrap/>
          </w:tcPr>
          <w:p w14:paraId="2F7ED84C" w14:textId="7381192E"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eastAsia="en-AU"/>
              </w:rPr>
            </w:pPr>
          </w:p>
        </w:tc>
      </w:tr>
      <w:tr w:rsidR="00937933" w:rsidRPr="006C128E" w14:paraId="117A4C8A" w14:textId="77777777" w:rsidTr="007E69B9">
        <w:trPr>
          <w:trHeight w:val="293"/>
        </w:trPr>
        <w:tc>
          <w:tcPr>
            <w:cnfStyle w:val="001000000000" w:firstRow="0" w:lastRow="0" w:firstColumn="1" w:lastColumn="0" w:oddVBand="0" w:evenVBand="0" w:oddHBand="0" w:evenHBand="0" w:firstRowFirstColumn="0" w:firstRowLastColumn="0" w:lastRowFirstColumn="0" w:lastRowLastColumn="0"/>
            <w:tcW w:w="3515" w:type="dxa"/>
            <w:noWrap/>
            <w:hideMark/>
          </w:tcPr>
          <w:p w14:paraId="241B0DAD" w14:textId="77777777" w:rsidR="00937933" w:rsidRPr="00161888" w:rsidRDefault="00937933" w:rsidP="00937933">
            <w:pPr>
              <w:rPr>
                <w:rFonts w:eastAsia="Times New Roman" w:cs="Calibri"/>
                <w:color w:val="000000"/>
                <w:sz w:val="18"/>
                <w:szCs w:val="18"/>
                <w:lang w:eastAsia="en-AU"/>
              </w:rPr>
            </w:pPr>
            <w:r w:rsidRPr="00161888">
              <w:rPr>
                <w:rFonts w:eastAsia="Times New Roman" w:cs="Calibri"/>
                <w:color w:val="000000"/>
                <w:sz w:val="18"/>
                <w:szCs w:val="18"/>
                <w:lang w:eastAsia="en-AU"/>
              </w:rPr>
              <w:t>Effective area (ha)</w:t>
            </w:r>
          </w:p>
        </w:tc>
        <w:tc>
          <w:tcPr>
            <w:tcW w:w="1182" w:type="dxa"/>
            <w:noWrap/>
            <w:hideMark/>
          </w:tcPr>
          <w:p w14:paraId="3CE86683"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783</w:t>
            </w:r>
          </w:p>
        </w:tc>
        <w:tc>
          <w:tcPr>
            <w:tcW w:w="1086" w:type="dxa"/>
            <w:noWrap/>
            <w:hideMark/>
          </w:tcPr>
          <w:p w14:paraId="3AB18010"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598</w:t>
            </w:r>
          </w:p>
        </w:tc>
        <w:tc>
          <w:tcPr>
            <w:tcW w:w="1086" w:type="dxa"/>
            <w:noWrap/>
            <w:hideMark/>
          </w:tcPr>
          <w:p w14:paraId="468AC2CC"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920</w:t>
            </w:r>
          </w:p>
        </w:tc>
        <w:tc>
          <w:tcPr>
            <w:tcW w:w="942" w:type="dxa"/>
            <w:noWrap/>
            <w:hideMark/>
          </w:tcPr>
          <w:p w14:paraId="545FF5E8"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765</w:t>
            </w:r>
          </w:p>
        </w:tc>
        <w:tc>
          <w:tcPr>
            <w:tcW w:w="1214" w:type="dxa"/>
            <w:noWrap/>
            <w:hideMark/>
          </w:tcPr>
          <w:p w14:paraId="0069B168"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1,163</w:t>
            </w:r>
          </w:p>
        </w:tc>
        <w:tc>
          <w:tcPr>
            <w:tcW w:w="942" w:type="dxa"/>
            <w:noWrap/>
            <w:hideMark/>
          </w:tcPr>
          <w:p w14:paraId="71C79A60"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1,449</w:t>
            </w:r>
          </w:p>
        </w:tc>
      </w:tr>
      <w:tr w:rsidR="00937933" w:rsidRPr="006C128E" w14:paraId="67C2CF9D" w14:textId="77777777" w:rsidTr="007E69B9">
        <w:trPr>
          <w:trHeight w:val="293"/>
        </w:trPr>
        <w:tc>
          <w:tcPr>
            <w:cnfStyle w:val="001000000000" w:firstRow="0" w:lastRow="0" w:firstColumn="1" w:lastColumn="0" w:oddVBand="0" w:evenVBand="0" w:oddHBand="0" w:evenHBand="0" w:firstRowFirstColumn="0" w:firstRowLastColumn="0" w:lastRowFirstColumn="0" w:lastRowLastColumn="0"/>
            <w:tcW w:w="3515" w:type="dxa"/>
            <w:noWrap/>
            <w:hideMark/>
          </w:tcPr>
          <w:p w14:paraId="1BD70F25" w14:textId="77777777" w:rsidR="00937933" w:rsidRPr="00161888" w:rsidRDefault="00937933" w:rsidP="00937933">
            <w:pPr>
              <w:rPr>
                <w:rFonts w:eastAsia="Times New Roman" w:cs="Calibri"/>
                <w:sz w:val="18"/>
                <w:szCs w:val="18"/>
                <w:lang w:eastAsia="en-AU"/>
              </w:rPr>
            </w:pPr>
            <w:r w:rsidRPr="00161888">
              <w:rPr>
                <w:rFonts w:eastAsia="Times New Roman" w:cs="Calibri"/>
                <w:sz w:val="18"/>
                <w:szCs w:val="18"/>
                <w:lang w:eastAsia="en-AU"/>
              </w:rPr>
              <w:t>Stocking rate (DSE/ha)</w:t>
            </w:r>
          </w:p>
        </w:tc>
        <w:tc>
          <w:tcPr>
            <w:tcW w:w="1182" w:type="dxa"/>
            <w:noWrap/>
            <w:hideMark/>
          </w:tcPr>
          <w:p w14:paraId="246CBD15"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14.1</w:t>
            </w:r>
          </w:p>
        </w:tc>
        <w:tc>
          <w:tcPr>
            <w:tcW w:w="1086" w:type="dxa"/>
            <w:noWrap/>
            <w:hideMark/>
          </w:tcPr>
          <w:p w14:paraId="7A9EA2C5"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16.2</w:t>
            </w:r>
          </w:p>
        </w:tc>
        <w:tc>
          <w:tcPr>
            <w:tcW w:w="1086" w:type="dxa"/>
            <w:noWrap/>
            <w:hideMark/>
          </w:tcPr>
          <w:p w14:paraId="32D75F18"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7.4</w:t>
            </w:r>
          </w:p>
        </w:tc>
        <w:tc>
          <w:tcPr>
            <w:tcW w:w="942" w:type="dxa"/>
            <w:noWrap/>
            <w:hideMark/>
          </w:tcPr>
          <w:p w14:paraId="0B67FB8E"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12.6</w:t>
            </w:r>
          </w:p>
        </w:tc>
        <w:tc>
          <w:tcPr>
            <w:tcW w:w="1214" w:type="dxa"/>
            <w:noWrap/>
            <w:hideMark/>
          </w:tcPr>
          <w:p w14:paraId="2F2A3647"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12.3</w:t>
            </w:r>
          </w:p>
        </w:tc>
        <w:tc>
          <w:tcPr>
            <w:tcW w:w="942" w:type="dxa"/>
            <w:noWrap/>
            <w:hideMark/>
          </w:tcPr>
          <w:p w14:paraId="01710469"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17.1</w:t>
            </w:r>
          </w:p>
        </w:tc>
      </w:tr>
      <w:tr w:rsidR="00937933" w:rsidRPr="006C128E" w14:paraId="29743F09" w14:textId="77777777" w:rsidTr="007E69B9">
        <w:trPr>
          <w:trHeight w:val="293"/>
        </w:trPr>
        <w:tc>
          <w:tcPr>
            <w:cnfStyle w:val="001000000000" w:firstRow="0" w:lastRow="0" w:firstColumn="1" w:lastColumn="0" w:oddVBand="0" w:evenVBand="0" w:oddHBand="0" w:evenHBand="0" w:firstRowFirstColumn="0" w:firstRowLastColumn="0" w:lastRowFirstColumn="0" w:lastRowLastColumn="0"/>
            <w:tcW w:w="3515" w:type="dxa"/>
            <w:noWrap/>
            <w:hideMark/>
          </w:tcPr>
          <w:p w14:paraId="37A39EF7" w14:textId="77777777" w:rsidR="00937933" w:rsidRPr="00161888" w:rsidRDefault="00937933" w:rsidP="00937933">
            <w:pPr>
              <w:rPr>
                <w:rFonts w:eastAsia="Times New Roman" w:cs="Calibri"/>
                <w:color w:val="000000"/>
                <w:sz w:val="18"/>
                <w:szCs w:val="18"/>
                <w:lang w:eastAsia="en-AU"/>
              </w:rPr>
            </w:pPr>
            <w:r w:rsidRPr="00161888">
              <w:rPr>
                <w:rFonts w:eastAsia="Times New Roman" w:cs="Calibri"/>
                <w:color w:val="000000"/>
                <w:sz w:val="18"/>
                <w:szCs w:val="18"/>
                <w:lang w:eastAsia="en-AU"/>
              </w:rPr>
              <w:t>Sheep (head)</w:t>
            </w:r>
          </w:p>
        </w:tc>
        <w:tc>
          <w:tcPr>
            <w:tcW w:w="1182" w:type="dxa"/>
            <w:noWrap/>
            <w:hideMark/>
          </w:tcPr>
          <w:p w14:paraId="1B164260"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2,894</w:t>
            </w:r>
          </w:p>
        </w:tc>
        <w:tc>
          <w:tcPr>
            <w:tcW w:w="1086" w:type="dxa"/>
            <w:noWrap/>
            <w:hideMark/>
          </w:tcPr>
          <w:p w14:paraId="3FFD0BC8"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1,284</w:t>
            </w:r>
          </w:p>
        </w:tc>
        <w:tc>
          <w:tcPr>
            <w:tcW w:w="1086" w:type="dxa"/>
            <w:noWrap/>
            <w:hideMark/>
          </w:tcPr>
          <w:p w14:paraId="69B9C641"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3,488</w:t>
            </w:r>
          </w:p>
        </w:tc>
        <w:tc>
          <w:tcPr>
            <w:tcW w:w="942" w:type="dxa"/>
            <w:noWrap/>
            <w:hideMark/>
          </w:tcPr>
          <w:p w14:paraId="16F79A36"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2,444</w:t>
            </w:r>
          </w:p>
        </w:tc>
        <w:tc>
          <w:tcPr>
            <w:tcW w:w="1214" w:type="dxa"/>
            <w:noWrap/>
            <w:hideMark/>
          </w:tcPr>
          <w:p w14:paraId="33E3C0FE"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6,751</w:t>
            </w:r>
          </w:p>
        </w:tc>
        <w:tc>
          <w:tcPr>
            <w:tcW w:w="942" w:type="dxa"/>
            <w:noWrap/>
            <w:hideMark/>
          </w:tcPr>
          <w:p w14:paraId="436F8CAA"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8,001</w:t>
            </w:r>
          </w:p>
        </w:tc>
      </w:tr>
      <w:tr w:rsidR="00937933" w:rsidRPr="006C128E" w14:paraId="053C590F" w14:textId="77777777" w:rsidTr="007E69B9">
        <w:trPr>
          <w:trHeight w:val="293"/>
        </w:trPr>
        <w:tc>
          <w:tcPr>
            <w:cnfStyle w:val="001000000000" w:firstRow="0" w:lastRow="0" w:firstColumn="1" w:lastColumn="0" w:oddVBand="0" w:evenVBand="0" w:oddHBand="0" w:evenHBand="0" w:firstRowFirstColumn="0" w:firstRowLastColumn="0" w:lastRowFirstColumn="0" w:lastRowLastColumn="0"/>
            <w:tcW w:w="3515" w:type="dxa"/>
            <w:noWrap/>
            <w:hideMark/>
          </w:tcPr>
          <w:p w14:paraId="6BA2F79C" w14:textId="77777777" w:rsidR="00937933" w:rsidRPr="00161888" w:rsidRDefault="00937933" w:rsidP="00937933">
            <w:pPr>
              <w:rPr>
                <w:rFonts w:eastAsia="Times New Roman" w:cs="Calibri"/>
                <w:color w:val="000000"/>
                <w:sz w:val="18"/>
                <w:szCs w:val="18"/>
                <w:lang w:eastAsia="en-AU"/>
              </w:rPr>
            </w:pPr>
            <w:r w:rsidRPr="00161888">
              <w:rPr>
                <w:rFonts w:eastAsia="Times New Roman" w:cs="Calibri"/>
                <w:color w:val="000000"/>
                <w:sz w:val="18"/>
                <w:szCs w:val="18"/>
                <w:lang w:eastAsia="en-AU"/>
              </w:rPr>
              <w:t>Cattle (head)</w:t>
            </w:r>
          </w:p>
        </w:tc>
        <w:tc>
          <w:tcPr>
            <w:tcW w:w="1182" w:type="dxa"/>
            <w:noWrap/>
            <w:hideMark/>
          </w:tcPr>
          <w:p w14:paraId="6602167A"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526</w:t>
            </w:r>
          </w:p>
        </w:tc>
        <w:tc>
          <w:tcPr>
            <w:tcW w:w="1086" w:type="dxa"/>
            <w:noWrap/>
            <w:hideMark/>
          </w:tcPr>
          <w:p w14:paraId="79253B6E"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510</w:t>
            </w:r>
          </w:p>
        </w:tc>
        <w:tc>
          <w:tcPr>
            <w:tcW w:w="1086" w:type="dxa"/>
            <w:noWrap/>
            <w:hideMark/>
          </w:tcPr>
          <w:p w14:paraId="2465E77E"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376</w:t>
            </w:r>
          </w:p>
        </w:tc>
        <w:tc>
          <w:tcPr>
            <w:tcW w:w="942" w:type="dxa"/>
            <w:noWrap/>
            <w:hideMark/>
          </w:tcPr>
          <w:p w14:paraId="746EA26A"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386</w:t>
            </w:r>
          </w:p>
        </w:tc>
        <w:tc>
          <w:tcPr>
            <w:tcW w:w="1214" w:type="dxa"/>
            <w:noWrap/>
            <w:hideMark/>
          </w:tcPr>
          <w:p w14:paraId="5359ADF3"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280</w:t>
            </w:r>
          </w:p>
        </w:tc>
        <w:tc>
          <w:tcPr>
            <w:tcW w:w="942" w:type="dxa"/>
            <w:noWrap/>
            <w:hideMark/>
          </w:tcPr>
          <w:p w14:paraId="32731D6B" w14:textId="77777777" w:rsidR="00937933" w:rsidRPr="00161888" w:rsidRDefault="00937933" w:rsidP="009379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329</w:t>
            </w:r>
          </w:p>
        </w:tc>
      </w:tr>
    </w:tbl>
    <w:p w14:paraId="7CF9B3EE" w14:textId="781BEE14" w:rsidR="00937933" w:rsidRDefault="00937933">
      <w:pPr>
        <w:rPr>
          <w:szCs w:val="20"/>
        </w:rPr>
      </w:pPr>
    </w:p>
    <w:p w14:paraId="615A33A6" w14:textId="40357F46" w:rsidR="00937933" w:rsidRDefault="00937933">
      <w:pPr>
        <w:rPr>
          <w:szCs w:val="20"/>
        </w:rPr>
      </w:pPr>
      <w:r>
        <w:rPr>
          <w:szCs w:val="20"/>
        </w:rPr>
        <w:br w:type="page"/>
      </w:r>
    </w:p>
    <w:p w14:paraId="1A44E19C" w14:textId="1DFC470E" w:rsidR="00C82ADB" w:rsidRPr="002968F6" w:rsidRDefault="00C82ADB" w:rsidP="002968F6">
      <w:pPr>
        <w:pStyle w:val="Heading3"/>
        <w:rPr>
          <w:b/>
          <w:bCs/>
        </w:rPr>
      </w:pPr>
      <w:r w:rsidRPr="002968F6">
        <w:rPr>
          <w:b/>
          <w:bCs/>
        </w:rPr>
        <w:lastRenderedPageBreak/>
        <w:t xml:space="preserve">Business </w:t>
      </w:r>
      <w:r w:rsidR="00AC75A9">
        <w:rPr>
          <w:b/>
          <w:bCs/>
        </w:rPr>
        <w:t>p</w:t>
      </w:r>
      <w:r w:rsidRPr="002968F6">
        <w:rPr>
          <w:b/>
          <w:bCs/>
        </w:rPr>
        <w:t>rofit and returns</w:t>
      </w:r>
    </w:p>
    <w:p w14:paraId="2A9239C7" w14:textId="72440DA6" w:rsidR="0036147B" w:rsidRDefault="00BC66DD" w:rsidP="00E81489">
      <w:pPr>
        <w:rPr>
          <w:szCs w:val="20"/>
        </w:rPr>
      </w:pPr>
      <w:proofErr w:type="spellStart"/>
      <w:r>
        <w:rPr>
          <w:szCs w:val="20"/>
        </w:rPr>
        <w:t>Statewide</w:t>
      </w:r>
      <w:proofErr w:type="spellEnd"/>
      <w:r>
        <w:rPr>
          <w:szCs w:val="20"/>
        </w:rPr>
        <w:t xml:space="preserve"> </w:t>
      </w:r>
      <w:r w:rsidR="00D54669">
        <w:rPr>
          <w:szCs w:val="20"/>
        </w:rPr>
        <w:t xml:space="preserve">average </w:t>
      </w:r>
      <w:r>
        <w:rPr>
          <w:szCs w:val="20"/>
        </w:rPr>
        <w:t xml:space="preserve">profitability </w:t>
      </w:r>
      <w:r w:rsidR="00D54669">
        <w:rPr>
          <w:szCs w:val="20"/>
        </w:rPr>
        <w:t xml:space="preserve">was </w:t>
      </w:r>
      <w:r w:rsidR="009170A4">
        <w:rPr>
          <w:szCs w:val="20"/>
        </w:rPr>
        <w:t xml:space="preserve">strong in 2021-22 </w:t>
      </w:r>
      <w:r w:rsidR="00CE74E3">
        <w:rPr>
          <w:szCs w:val="20"/>
        </w:rPr>
        <w:t>as</w:t>
      </w:r>
      <w:r w:rsidR="00DE65B8" w:rsidRPr="00C4563C">
        <w:rPr>
          <w:szCs w:val="20"/>
        </w:rPr>
        <w:t xml:space="preserve"> </w:t>
      </w:r>
      <w:r w:rsidR="00B53998">
        <w:rPr>
          <w:szCs w:val="20"/>
        </w:rPr>
        <w:t>90</w:t>
      </w:r>
      <w:r w:rsidR="009E4AFE" w:rsidRPr="00C4563C">
        <w:rPr>
          <w:szCs w:val="20"/>
        </w:rPr>
        <w:t xml:space="preserve"> per</w:t>
      </w:r>
      <w:r w:rsidR="00CB3A7C">
        <w:rPr>
          <w:szCs w:val="20"/>
        </w:rPr>
        <w:t xml:space="preserve"> </w:t>
      </w:r>
      <w:r w:rsidR="009E4AFE" w:rsidRPr="00C4563C">
        <w:rPr>
          <w:szCs w:val="20"/>
        </w:rPr>
        <w:t xml:space="preserve">cent of </w:t>
      </w:r>
      <w:r w:rsidR="004516CD" w:rsidRPr="00C4563C">
        <w:rPr>
          <w:szCs w:val="20"/>
        </w:rPr>
        <w:t xml:space="preserve">surveyed </w:t>
      </w:r>
      <w:r w:rsidR="003F5CC3" w:rsidRPr="00C4563C">
        <w:rPr>
          <w:szCs w:val="20"/>
        </w:rPr>
        <w:t xml:space="preserve">businesses recorded </w:t>
      </w:r>
      <w:r w:rsidR="00142137" w:rsidRPr="00C4563C">
        <w:rPr>
          <w:szCs w:val="20"/>
        </w:rPr>
        <w:t xml:space="preserve">positive </w:t>
      </w:r>
      <w:r w:rsidR="002A3819" w:rsidRPr="00C4563C">
        <w:rPr>
          <w:szCs w:val="20"/>
        </w:rPr>
        <w:t>returns</w:t>
      </w:r>
      <w:r w:rsidR="00A03925" w:rsidRPr="00C4563C">
        <w:rPr>
          <w:szCs w:val="20"/>
        </w:rPr>
        <w:t xml:space="preserve">. </w:t>
      </w:r>
      <w:r w:rsidR="00041555" w:rsidRPr="00C4563C">
        <w:rPr>
          <w:szCs w:val="20"/>
        </w:rPr>
        <w:t xml:space="preserve">Farm businesses in </w:t>
      </w:r>
      <w:r w:rsidR="00637820" w:rsidRPr="00C4563C">
        <w:rPr>
          <w:szCs w:val="20"/>
        </w:rPr>
        <w:t>South West</w:t>
      </w:r>
      <w:r w:rsidR="00EC78B4" w:rsidRPr="00C4563C">
        <w:rPr>
          <w:szCs w:val="20"/>
        </w:rPr>
        <w:t xml:space="preserve"> </w:t>
      </w:r>
      <w:r w:rsidR="00682C4B">
        <w:rPr>
          <w:szCs w:val="20"/>
        </w:rPr>
        <w:t>Victoria</w:t>
      </w:r>
      <w:r w:rsidR="00EC78B4" w:rsidRPr="00C4563C">
        <w:rPr>
          <w:szCs w:val="20"/>
        </w:rPr>
        <w:t xml:space="preserve"> </w:t>
      </w:r>
      <w:r w:rsidR="00E35800" w:rsidRPr="00C4563C">
        <w:rPr>
          <w:szCs w:val="20"/>
        </w:rPr>
        <w:t xml:space="preserve">and </w:t>
      </w:r>
      <w:r w:rsidR="00682C4B">
        <w:rPr>
          <w:szCs w:val="20"/>
        </w:rPr>
        <w:t>N</w:t>
      </w:r>
      <w:r w:rsidR="00E35800" w:rsidRPr="00C4563C">
        <w:rPr>
          <w:szCs w:val="20"/>
        </w:rPr>
        <w:t>orth</w:t>
      </w:r>
      <w:r w:rsidR="00C753B5">
        <w:rPr>
          <w:szCs w:val="20"/>
        </w:rPr>
        <w:t>ern Victoria</w:t>
      </w:r>
      <w:r w:rsidR="00E35800" w:rsidRPr="00C4563C">
        <w:rPr>
          <w:szCs w:val="20"/>
        </w:rPr>
        <w:t xml:space="preserve"> </w:t>
      </w:r>
      <w:r w:rsidR="00EC78B4" w:rsidRPr="00C4563C">
        <w:rPr>
          <w:szCs w:val="20"/>
        </w:rPr>
        <w:t>achiev</w:t>
      </w:r>
      <w:r w:rsidR="00017128" w:rsidRPr="00C4563C">
        <w:rPr>
          <w:szCs w:val="20"/>
        </w:rPr>
        <w:t>ed</w:t>
      </w:r>
      <w:r w:rsidR="00EC78B4" w:rsidRPr="00C4563C">
        <w:rPr>
          <w:szCs w:val="20"/>
        </w:rPr>
        <w:t xml:space="preserve"> </w:t>
      </w:r>
      <w:r w:rsidR="00637820" w:rsidRPr="00C4563C">
        <w:rPr>
          <w:szCs w:val="20"/>
        </w:rPr>
        <w:t>the</w:t>
      </w:r>
      <w:r w:rsidR="00C82ED7">
        <w:rPr>
          <w:szCs w:val="20"/>
        </w:rPr>
        <w:t>ir</w:t>
      </w:r>
      <w:r w:rsidR="00637820" w:rsidRPr="00C4563C">
        <w:rPr>
          <w:szCs w:val="20"/>
        </w:rPr>
        <w:t xml:space="preserve"> highest </w:t>
      </w:r>
      <w:r w:rsidR="006F4B77" w:rsidRPr="00C4563C">
        <w:rPr>
          <w:szCs w:val="20"/>
        </w:rPr>
        <w:t xml:space="preserve">average </w:t>
      </w:r>
      <w:r w:rsidR="00F53B01">
        <w:rPr>
          <w:szCs w:val="20"/>
        </w:rPr>
        <w:t>earnings</w:t>
      </w:r>
      <w:r w:rsidR="00637820" w:rsidRPr="00C4563C">
        <w:rPr>
          <w:szCs w:val="20"/>
        </w:rPr>
        <w:t xml:space="preserve"> </w:t>
      </w:r>
      <w:r w:rsidR="00F53B01">
        <w:rPr>
          <w:szCs w:val="20"/>
        </w:rPr>
        <w:t>before interest and tax (EBIT)</w:t>
      </w:r>
      <w:r w:rsidR="00ED48FA">
        <w:rPr>
          <w:szCs w:val="20"/>
        </w:rPr>
        <w:t xml:space="preserve"> </w:t>
      </w:r>
      <w:r w:rsidR="00637820" w:rsidRPr="00C4563C">
        <w:rPr>
          <w:szCs w:val="20"/>
        </w:rPr>
        <w:t>in 1</w:t>
      </w:r>
      <w:r w:rsidR="00C4563C" w:rsidRPr="00C4563C">
        <w:rPr>
          <w:szCs w:val="20"/>
        </w:rPr>
        <w:t>8</w:t>
      </w:r>
      <w:r w:rsidR="00637820" w:rsidRPr="00C4563C">
        <w:rPr>
          <w:szCs w:val="20"/>
        </w:rPr>
        <w:t xml:space="preserve"> years</w:t>
      </w:r>
      <w:r w:rsidR="00017128" w:rsidRPr="00C4563C">
        <w:rPr>
          <w:szCs w:val="20"/>
        </w:rPr>
        <w:t>, while</w:t>
      </w:r>
      <w:r w:rsidR="005C72BA" w:rsidRPr="00C4563C">
        <w:rPr>
          <w:szCs w:val="20"/>
        </w:rPr>
        <w:t xml:space="preserve"> </w:t>
      </w:r>
      <w:r w:rsidR="00041555" w:rsidRPr="00C4563C">
        <w:rPr>
          <w:szCs w:val="20"/>
        </w:rPr>
        <w:t xml:space="preserve">businesses </w:t>
      </w:r>
      <w:r w:rsidR="000A0CEC" w:rsidRPr="00C4563C">
        <w:rPr>
          <w:szCs w:val="20"/>
        </w:rPr>
        <w:t xml:space="preserve">in </w:t>
      </w:r>
      <w:r w:rsidR="00DD5543" w:rsidRPr="00C4563C">
        <w:rPr>
          <w:szCs w:val="20"/>
        </w:rPr>
        <w:t>Gippsland recorded the</w:t>
      </w:r>
      <w:r w:rsidR="00BC322A">
        <w:rPr>
          <w:szCs w:val="20"/>
        </w:rPr>
        <w:t>ir</w:t>
      </w:r>
      <w:r w:rsidR="00DD5543" w:rsidRPr="00C4563C">
        <w:rPr>
          <w:szCs w:val="20"/>
        </w:rPr>
        <w:t xml:space="preserve"> </w:t>
      </w:r>
      <w:r w:rsidR="00CD70F1" w:rsidRPr="00C4563C">
        <w:rPr>
          <w:szCs w:val="20"/>
        </w:rPr>
        <w:t>second highest</w:t>
      </w:r>
      <w:r w:rsidR="009B5039" w:rsidRPr="00C4563C">
        <w:rPr>
          <w:szCs w:val="20"/>
        </w:rPr>
        <w:t xml:space="preserve"> </w:t>
      </w:r>
      <w:r w:rsidR="00CE6B95" w:rsidRPr="00C4563C">
        <w:rPr>
          <w:szCs w:val="20"/>
        </w:rPr>
        <w:t>profit</w:t>
      </w:r>
      <w:r w:rsidR="00E35800" w:rsidRPr="00C4563C">
        <w:rPr>
          <w:szCs w:val="20"/>
        </w:rPr>
        <w:t>s</w:t>
      </w:r>
      <w:r w:rsidR="00ED48FA">
        <w:rPr>
          <w:szCs w:val="20"/>
        </w:rPr>
        <w:t xml:space="preserve"> (Figure 2)</w:t>
      </w:r>
      <w:r w:rsidR="00CE6B95" w:rsidRPr="00C4563C">
        <w:rPr>
          <w:szCs w:val="20"/>
        </w:rPr>
        <w:t>.</w:t>
      </w:r>
    </w:p>
    <w:p w14:paraId="514CE9F4" w14:textId="0314588F" w:rsidR="00CF53B9" w:rsidRPr="00C4563C" w:rsidRDefault="00654666" w:rsidP="00E81489">
      <w:pPr>
        <w:rPr>
          <w:szCs w:val="20"/>
        </w:rPr>
      </w:pPr>
      <w:r w:rsidRPr="00C4563C">
        <w:rPr>
          <w:noProof/>
          <w:szCs w:val="20"/>
        </w:rPr>
        <w:drawing>
          <wp:inline distT="0" distB="0" distL="0" distR="0" wp14:anchorId="2B8AF64C" wp14:editId="6FD74716">
            <wp:extent cx="2857500" cy="1477182"/>
            <wp:effectExtent l="0" t="0" r="0" b="8890"/>
            <wp:docPr id="16" name="Picture 16" descr="Regional profitability over time for each region shown as a line graph. See appendix for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Regional profitability over time for each region shown as a line graph. See appendix for data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1638" cy="1479321"/>
                    </a:xfrm>
                    <a:prstGeom prst="rect">
                      <a:avLst/>
                    </a:prstGeom>
                    <a:noFill/>
                  </pic:spPr>
                </pic:pic>
              </a:graphicData>
            </a:graphic>
          </wp:inline>
        </w:drawing>
      </w:r>
      <w:r w:rsidR="00C66E29" w:rsidRPr="00C4563C">
        <w:rPr>
          <w:szCs w:val="20"/>
        </w:rPr>
        <w:t xml:space="preserve"> </w:t>
      </w:r>
      <w:r w:rsidR="002346BF" w:rsidRPr="00C4563C">
        <w:rPr>
          <w:szCs w:val="20"/>
        </w:rPr>
        <w:t xml:space="preserve"> </w:t>
      </w:r>
    </w:p>
    <w:p w14:paraId="28D4E03F" w14:textId="526715FF" w:rsidR="00607871" w:rsidRPr="000A6AD7" w:rsidRDefault="00304311" w:rsidP="000A6AD7">
      <w:pPr>
        <w:pStyle w:val="Caption"/>
      </w:pPr>
      <w:r w:rsidRPr="000A6AD7">
        <w:t xml:space="preserve">Figure </w:t>
      </w:r>
      <w:fldSimple w:instr=" SEQ Figure \* ARABIC ">
        <w:r w:rsidR="00FC7BFA" w:rsidRPr="000A6AD7">
          <w:t>2</w:t>
        </w:r>
      </w:fldSimple>
      <w:r w:rsidR="00DA5C9D" w:rsidRPr="000A6AD7">
        <w:t>. Regional profitability over time</w:t>
      </w:r>
    </w:p>
    <w:p w14:paraId="2D88C54E" w14:textId="25905F7E" w:rsidR="00D02195" w:rsidRPr="00C4563C" w:rsidRDefault="00F56EF6" w:rsidP="004331E4">
      <w:pPr>
        <w:rPr>
          <w:szCs w:val="20"/>
        </w:rPr>
      </w:pPr>
      <w:r w:rsidRPr="00C4563C">
        <w:rPr>
          <w:szCs w:val="20"/>
        </w:rPr>
        <w:t xml:space="preserve">In </w:t>
      </w:r>
      <w:r w:rsidR="00C82ED7">
        <w:rPr>
          <w:szCs w:val="20"/>
        </w:rPr>
        <w:t>2021</w:t>
      </w:r>
      <w:r w:rsidR="00682C4B">
        <w:t>–</w:t>
      </w:r>
      <w:r w:rsidR="00C82ED7">
        <w:rPr>
          <w:szCs w:val="20"/>
        </w:rPr>
        <w:t>22</w:t>
      </w:r>
      <w:r w:rsidRPr="00C4563C">
        <w:rPr>
          <w:szCs w:val="20"/>
        </w:rPr>
        <w:t xml:space="preserve">, </w:t>
      </w:r>
      <w:r w:rsidR="008274AD">
        <w:rPr>
          <w:szCs w:val="20"/>
        </w:rPr>
        <w:t xml:space="preserve">the </w:t>
      </w:r>
      <w:r w:rsidR="006E70EC">
        <w:rPr>
          <w:szCs w:val="20"/>
        </w:rPr>
        <w:t>r</w:t>
      </w:r>
      <w:r w:rsidRPr="00C4563C">
        <w:rPr>
          <w:szCs w:val="20"/>
        </w:rPr>
        <w:t xml:space="preserve">eturn on </w:t>
      </w:r>
      <w:r w:rsidR="006E70EC">
        <w:rPr>
          <w:szCs w:val="20"/>
        </w:rPr>
        <w:t>a</w:t>
      </w:r>
      <w:r w:rsidRPr="00C4563C">
        <w:rPr>
          <w:szCs w:val="20"/>
        </w:rPr>
        <w:t xml:space="preserve">ssets were above the </w:t>
      </w:r>
      <w:r w:rsidR="00ED48FA">
        <w:rPr>
          <w:szCs w:val="20"/>
        </w:rPr>
        <w:t>10-year</w:t>
      </w:r>
      <w:r w:rsidRPr="00C4563C">
        <w:rPr>
          <w:szCs w:val="20"/>
        </w:rPr>
        <w:t xml:space="preserve"> average in all regions. Surveyed farms located in South West Victoria recorded the highest average returns for the state</w:t>
      </w:r>
      <w:r w:rsidR="005F53DA">
        <w:rPr>
          <w:szCs w:val="20"/>
        </w:rPr>
        <w:t xml:space="preserve"> (</w:t>
      </w:r>
      <w:r w:rsidR="00B74E10">
        <w:rPr>
          <w:szCs w:val="20"/>
        </w:rPr>
        <w:t>Figure 3)</w:t>
      </w:r>
      <w:r w:rsidRPr="00C4563C">
        <w:rPr>
          <w:szCs w:val="20"/>
        </w:rPr>
        <w:t xml:space="preserve">, while farms in </w:t>
      </w:r>
      <w:r w:rsidR="00560230">
        <w:rPr>
          <w:szCs w:val="20"/>
        </w:rPr>
        <w:t>N</w:t>
      </w:r>
      <w:r w:rsidRPr="00C4563C">
        <w:rPr>
          <w:szCs w:val="20"/>
        </w:rPr>
        <w:t>orthern Victoria had the largest annual percentage increases. Regardless of the average, each region had participant farms that recorded high returns and negative returns</w:t>
      </w:r>
      <w:r w:rsidR="005F53DA">
        <w:rPr>
          <w:szCs w:val="20"/>
        </w:rPr>
        <w:t xml:space="preserve"> (Appendix B1, C1, D1)</w:t>
      </w:r>
      <w:r w:rsidRPr="00C4563C">
        <w:rPr>
          <w:szCs w:val="20"/>
        </w:rPr>
        <w:t xml:space="preserve">. </w:t>
      </w:r>
    </w:p>
    <w:p w14:paraId="6636B3C8" w14:textId="14434BE2" w:rsidR="00EC0F9C" w:rsidRPr="00035894" w:rsidRDefault="00035894" w:rsidP="00035894">
      <w:pPr>
        <w:rPr>
          <w:szCs w:val="20"/>
        </w:rPr>
      </w:pPr>
      <w:r w:rsidRPr="00C4563C">
        <w:rPr>
          <w:noProof/>
          <w:szCs w:val="20"/>
        </w:rPr>
        <w:drawing>
          <wp:inline distT="0" distB="0" distL="0" distR="0" wp14:anchorId="06D2D271" wp14:editId="1FF0CFA6">
            <wp:extent cx="3208130" cy="1457325"/>
            <wp:effectExtent l="0" t="0" r="0" b="0"/>
            <wp:docPr id="10" name="Picture 10" descr="2021–22 regional return on assets shown as a column graph. Data for graphs in appendix 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2021–22 regional return on assets shown as a column graph. Data for graphs in appendix tabl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8130" cy="1457325"/>
                    </a:xfrm>
                    <a:prstGeom prst="rect">
                      <a:avLst/>
                    </a:prstGeom>
                    <a:noFill/>
                  </pic:spPr>
                </pic:pic>
              </a:graphicData>
            </a:graphic>
          </wp:inline>
        </w:drawing>
      </w:r>
    </w:p>
    <w:p w14:paraId="558852DB" w14:textId="1764967A" w:rsidR="00F56EF6" w:rsidRPr="00C4563C" w:rsidRDefault="00DA5C9D" w:rsidP="00DA5C9D">
      <w:pPr>
        <w:pStyle w:val="Caption"/>
      </w:pPr>
      <w:r>
        <w:t xml:space="preserve">Figure </w:t>
      </w:r>
      <w:fldSimple w:instr=" SEQ Figure \* ARABIC ">
        <w:r w:rsidR="00FC7BFA">
          <w:rPr>
            <w:noProof/>
          </w:rPr>
          <w:t>3</w:t>
        </w:r>
      </w:fldSimple>
      <w:r w:rsidR="00D013D1">
        <w:t>. 2021</w:t>
      </w:r>
      <w:r w:rsidR="00EC0F9C">
        <w:t>–</w:t>
      </w:r>
      <w:r w:rsidR="00D013D1">
        <w:t>22 regional return on assets</w:t>
      </w:r>
    </w:p>
    <w:p w14:paraId="6B6730F8" w14:textId="771DE2AC" w:rsidR="00B83D29" w:rsidRPr="002968F6" w:rsidRDefault="00B83D29" w:rsidP="002968F6">
      <w:pPr>
        <w:pStyle w:val="Heading3"/>
        <w:rPr>
          <w:b/>
          <w:bCs/>
        </w:rPr>
      </w:pPr>
      <w:r w:rsidRPr="002968F6">
        <w:rPr>
          <w:b/>
          <w:bCs/>
        </w:rPr>
        <w:t>Scale</w:t>
      </w:r>
    </w:p>
    <w:p w14:paraId="2CE4D064" w14:textId="08ED9659" w:rsidR="005E1F2A" w:rsidRDefault="00F56EF6" w:rsidP="005E1F2A">
      <w:pPr>
        <w:rPr>
          <w:szCs w:val="20"/>
        </w:rPr>
      </w:pPr>
      <w:r w:rsidRPr="00C4563C">
        <w:rPr>
          <w:szCs w:val="20"/>
        </w:rPr>
        <w:t xml:space="preserve">When the LFMP dataset was </w:t>
      </w:r>
      <w:r w:rsidR="00FE2EED" w:rsidRPr="00C4563C">
        <w:rPr>
          <w:szCs w:val="20"/>
        </w:rPr>
        <w:t>separated</w:t>
      </w:r>
      <w:r w:rsidRPr="00C4563C">
        <w:rPr>
          <w:szCs w:val="20"/>
        </w:rPr>
        <w:t xml:space="preserve"> by </w:t>
      </w:r>
      <w:r w:rsidR="00FE2EED" w:rsidRPr="00C4563C">
        <w:rPr>
          <w:szCs w:val="20"/>
        </w:rPr>
        <w:t xml:space="preserve">business </w:t>
      </w:r>
      <w:r w:rsidRPr="00C4563C">
        <w:rPr>
          <w:szCs w:val="20"/>
        </w:rPr>
        <w:t>scale</w:t>
      </w:r>
      <w:r w:rsidR="00864DB7">
        <w:rPr>
          <w:szCs w:val="20"/>
        </w:rPr>
        <w:t xml:space="preserve"> based on total cash income</w:t>
      </w:r>
      <w:r w:rsidRPr="00C4563C">
        <w:rPr>
          <w:szCs w:val="20"/>
        </w:rPr>
        <w:t>, there were farms with good returns across all farm sizes</w:t>
      </w:r>
      <w:r w:rsidR="00E16F28">
        <w:rPr>
          <w:szCs w:val="20"/>
        </w:rPr>
        <w:t xml:space="preserve">. Figure 4 shows </w:t>
      </w:r>
      <w:r w:rsidRPr="00C4563C">
        <w:rPr>
          <w:szCs w:val="20"/>
        </w:rPr>
        <w:t>larger farms tend</w:t>
      </w:r>
      <w:r w:rsidR="00E16F28">
        <w:rPr>
          <w:szCs w:val="20"/>
        </w:rPr>
        <w:t>ed</w:t>
      </w:r>
      <w:r w:rsidRPr="00C4563C">
        <w:rPr>
          <w:szCs w:val="20"/>
        </w:rPr>
        <w:t xml:space="preserve"> to have higher </w:t>
      </w:r>
      <w:r w:rsidR="005E07EB">
        <w:rPr>
          <w:szCs w:val="20"/>
        </w:rPr>
        <w:t xml:space="preserve">average </w:t>
      </w:r>
      <w:r w:rsidRPr="00C4563C">
        <w:rPr>
          <w:szCs w:val="20"/>
        </w:rPr>
        <w:t xml:space="preserve">return on assets than smaller farms. </w:t>
      </w:r>
      <w:r w:rsidR="00AC16D1" w:rsidRPr="00C4563C">
        <w:rPr>
          <w:szCs w:val="20"/>
        </w:rPr>
        <w:t>Larger farms can reduce their costs through scale by spreading overhead (fixed) costs over more output</w:t>
      </w:r>
      <w:r w:rsidR="00FE2EED" w:rsidRPr="00C4563C">
        <w:rPr>
          <w:szCs w:val="20"/>
        </w:rPr>
        <w:t>.</w:t>
      </w:r>
      <w:r w:rsidR="00AC16D1" w:rsidRPr="00C4563C">
        <w:rPr>
          <w:szCs w:val="20"/>
        </w:rPr>
        <w:t xml:space="preserve"> </w:t>
      </w:r>
      <w:r w:rsidRPr="00C4563C">
        <w:rPr>
          <w:szCs w:val="20"/>
        </w:rPr>
        <w:t>Surveyed farms with cash income less than $</w:t>
      </w:r>
      <w:r w:rsidR="00B11691" w:rsidRPr="00C4563C">
        <w:rPr>
          <w:szCs w:val="20"/>
        </w:rPr>
        <w:t>428</w:t>
      </w:r>
      <w:r w:rsidRPr="00C4563C">
        <w:rPr>
          <w:szCs w:val="20"/>
        </w:rPr>
        <w:t xml:space="preserve">,000 had the lowest average </w:t>
      </w:r>
      <w:r w:rsidR="00F77A14">
        <w:rPr>
          <w:szCs w:val="20"/>
        </w:rPr>
        <w:t>r</w:t>
      </w:r>
      <w:r w:rsidRPr="00C4563C">
        <w:rPr>
          <w:szCs w:val="20"/>
        </w:rPr>
        <w:t xml:space="preserve">eturn on </w:t>
      </w:r>
      <w:r w:rsidR="00F77A14">
        <w:rPr>
          <w:szCs w:val="20"/>
        </w:rPr>
        <w:t>a</w:t>
      </w:r>
      <w:r w:rsidRPr="00C4563C">
        <w:rPr>
          <w:szCs w:val="20"/>
        </w:rPr>
        <w:t>ssets.</w:t>
      </w:r>
    </w:p>
    <w:p w14:paraId="50DF0452" w14:textId="77777777" w:rsidR="002055B6" w:rsidRPr="00C4563C" w:rsidRDefault="002055B6" w:rsidP="005E1F2A">
      <w:pPr>
        <w:rPr>
          <w:szCs w:val="20"/>
        </w:rPr>
      </w:pPr>
    </w:p>
    <w:p w14:paraId="1BE9E15B" w14:textId="77777777" w:rsidR="002055B6" w:rsidRDefault="007963B4" w:rsidP="002055B6">
      <w:r w:rsidRPr="00C4563C">
        <w:rPr>
          <w:noProof/>
          <w:szCs w:val="20"/>
        </w:rPr>
        <w:lastRenderedPageBreak/>
        <w:drawing>
          <wp:inline distT="0" distB="0" distL="0" distR="0" wp14:anchorId="7CC1DC24" wp14:editId="71AB2586">
            <wp:extent cx="3095625" cy="1589724"/>
            <wp:effectExtent l="0" t="0" r="0" b="0"/>
            <wp:docPr id="12" name="Picture 12" descr="2021–22 farm scale and return on assets shown as a scatter plot. Data in the app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2021–22 farm scale and return on assets shown as a scatter plot. Data in the appendi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3877" cy="1593962"/>
                    </a:xfrm>
                    <a:prstGeom prst="rect">
                      <a:avLst/>
                    </a:prstGeom>
                    <a:noFill/>
                  </pic:spPr>
                </pic:pic>
              </a:graphicData>
            </a:graphic>
          </wp:inline>
        </w:drawing>
      </w:r>
    </w:p>
    <w:p w14:paraId="0B4021D7" w14:textId="6CEEB02F" w:rsidR="00D013D1" w:rsidRPr="002055B6" w:rsidRDefault="00D013D1" w:rsidP="002055B6">
      <w:pPr>
        <w:rPr>
          <w:szCs w:val="20"/>
        </w:rPr>
      </w:pPr>
      <w:r>
        <w:t xml:space="preserve">Figure </w:t>
      </w:r>
      <w:fldSimple w:instr=" SEQ Figure \* ARABIC ">
        <w:r w:rsidR="00FC7BFA">
          <w:rPr>
            <w:noProof/>
          </w:rPr>
          <w:t>4</w:t>
        </w:r>
      </w:fldSimple>
      <w:r>
        <w:t xml:space="preserve">. </w:t>
      </w:r>
      <w:r w:rsidR="00207996">
        <w:t>2021</w:t>
      </w:r>
      <w:r w:rsidR="00EB3377">
        <w:t>–</w:t>
      </w:r>
      <w:r w:rsidR="00207996">
        <w:t>22 farm scale and return on assets</w:t>
      </w:r>
    </w:p>
    <w:p w14:paraId="571C0CE2" w14:textId="44D4BDED" w:rsidR="00757CFB" w:rsidRPr="002968F6" w:rsidRDefault="00757CFB" w:rsidP="002968F6">
      <w:pPr>
        <w:pStyle w:val="Heading3"/>
        <w:rPr>
          <w:b/>
          <w:bCs/>
        </w:rPr>
      </w:pPr>
      <w:r w:rsidRPr="002968F6">
        <w:rPr>
          <w:b/>
          <w:bCs/>
        </w:rPr>
        <w:t>Capital expenditure</w:t>
      </w:r>
    </w:p>
    <w:p w14:paraId="396AC376" w14:textId="65AF59D6" w:rsidR="00B83D29" w:rsidRPr="00C4563C" w:rsidRDefault="00B83D29" w:rsidP="00B83D29">
      <w:pPr>
        <w:rPr>
          <w:szCs w:val="20"/>
        </w:rPr>
      </w:pPr>
      <w:r w:rsidRPr="00C4563C">
        <w:rPr>
          <w:szCs w:val="20"/>
        </w:rPr>
        <w:t xml:space="preserve">High cashflows </w:t>
      </w:r>
      <w:r w:rsidR="00263B07">
        <w:rPr>
          <w:szCs w:val="20"/>
        </w:rPr>
        <w:t>for many LFMP farmers in 2021</w:t>
      </w:r>
      <w:r w:rsidR="00A23ACD">
        <w:t>–</w:t>
      </w:r>
      <w:r w:rsidR="00263B07">
        <w:rPr>
          <w:szCs w:val="20"/>
        </w:rPr>
        <w:t xml:space="preserve">22 </w:t>
      </w:r>
      <w:r w:rsidRPr="00C4563C">
        <w:rPr>
          <w:szCs w:val="20"/>
        </w:rPr>
        <w:t xml:space="preserve">resulted </w:t>
      </w:r>
      <w:r w:rsidR="009A67E2">
        <w:rPr>
          <w:szCs w:val="20"/>
        </w:rPr>
        <w:t xml:space="preserve">in </w:t>
      </w:r>
      <w:r w:rsidRPr="00C4563C">
        <w:rPr>
          <w:szCs w:val="20"/>
        </w:rPr>
        <w:t xml:space="preserve">high rates of expenditure on capital additions. </w:t>
      </w:r>
      <w:r w:rsidR="007A6944">
        <w:rPr>
          <w:szCs w:val="20"/>
        </w:rPr>
        <w:t xml:space="preserve">The most popular capital </w:t>
      </w:r>
      <w:r w:rsidR="0002588A">
        <w:rPr>
          <w:szCs w:val="20"/>
        </w:rPr>
        <w:t>addition</w:t>
      </w:r>
      <w:r w:rsidR="005B72FB">
        <w:rPr>
          <w:szCs w:val="20"/>
        </w:rPr>
        <w:t xml:space="preserve"> </w:t>
      </w:r>
      <w:r w:rsidR="0002588A">
        <w:rPr>
          <w:szCs w:val="20"/>
        </w:rPr>
        <w:t xml:space="preserve">in each region </w:t>
      </w:r>
      <w:r w:rsidR="005B72FB">
        <w:rPr>
          <w:szCs w:val="20"/>
        </w:rPr>
        <w:t xml:space="preserve">was </w:t>
      </w:r>
      <w:r w:rsidRPr="00C4563C">
        <w:rPr>
          <w:szCs w:val="20"/>
        </w:rPr>
        <w:t xml:space="preserve">plant and equipment (P&amp;E) </w:t>
      </w:r>
      <w:r w:rsidR="00AD45BA">
        <w:rPr>
          <w:szCs w:val="20"/>
        </w:rPr>
        <w:t>(</w:t>
      </w:r>
      <w:r w:rsidR="005C200C">
        <w:rPr>
          <w:szCs w:val="20"/>
        </w:rPr>
        <w:t>Figure 5)</w:t>
      </w:r>
      <w:r w:rsidRPr="00C4563C">
        <w:rPr>
          <w:szCs w:val="20"/>
        </w:rPr>
        <w:t xml:space="preserve">. </w:t>
      </w:r>
      <w:r w:rsidR="00E275CA">
        <w:rPr>
          <w:szCs w:val="20"/>
        </w:rPr>
        <w:t>This</w:t>
      </w:r>
      <w:r w:rsidRPr="00C4563C">
        <w:rPr>
          <w:szCs w:val="20"/>
        </w:rPr>
        <w:t xml:space="preserve"> </w:t>
      </w:r>
      <w:r w:rsidR="00B22439">
        <w:rPr>
          <w:szCs w:val="20"/>
        </w:rPr>
        <w:t>wa</w:t>
      </w:r>
      <w:r w:rsidRPr="00C4563C">
        <w:rPr>
          <w:szCs w:val="20"/>
        </w:rPr>
        <w:t>s attributable to a combination of replacing old P&amp;E</w:t>
      </w:r>
      <w:r w:rsidR="00345730">
        <w:rPr>
          <w:szCs w:val="20"/>
        </w:rPr>
        <w:t xml:space="preserve"> </w:t>
      </w:r>
      <w:r w:rsidR="00313201">
        <w:rPr>
          <w:szCs w:val="20"/>
        </w:rPr>
        <w:t>for new</w:t>
      </w:r>
      <w:r w:rsidRPr="00C4563C">
        <w:rPr>
          <w:szCs w:val="20"/>
        </w:rPr>
        <w:t xml:space="preserve"> and the incentives of </w:t>
      </w:r>
      <w:r w:rsidR="008274AD">
        <w:rPr>
          <w:szCs w:val="20"/>
        </w:rPr>
        <w:t>low-interest</w:t>
      </w:r>
      <w:r w:rsidRPr="00C4563C">
        <w:rPr>
          <w:szCs w:val="20"/>
        </w:rPr>
        <w:t xml:space="preserve"> rates and access to pand</w:t>
      </w:r>
      <w:r w:rsidR="00625229">
        <w:rPr>
          <w:szCs w:val="20"/>
        </w:rPr>
        <w:t>e</w:t>
      </w:r>
      <w:r w:rsidRPr="00C4563C">
        <w:rPr>
          <w:szCs w:val="20"/>
        </w:rPr>
        <w:t xml:space="preserve">mic tax </w:t>
      </w:r>
      <w:r w:rsidR="00AD45BA">
        <w:rPr>
          <w:szCs w:val="20"/>
        </w:rPr>
        <w:t>concessions</w:t>
      </w:r>
      <w:r w:rsidRPr="00C4563C">
        <w:rPr>
          <w:szCs w:val="20"/>
        </w:rPr>
        <w:t xml:space="preserve">. </w:t>
      </w:r>
    </w:p>
    <w:p w14:paraId="4FD961CE" w14:textId="5D801AA2" w:rsidR="00B83D29" w:rsidRPr="00C4563C" w:rsidRDefault="009731F4" w:rsidP="00B83D29">
      <w:pPr>
        <w:rPr>
          <w:b/>
          <w:bCs/>
          <w:szCs w:val="20"/>
        </w:rPr>
      </w:pPr>
      <w:r>
        <w:rPr>
          <w:b/>
          <w:bCs/>
          <w:noProof/>
          <w:szCs w:val="20"/>
        </w:rPr>
        <w:drawing>
          <wp:inline distT="0" distB="0" distL="0" distR="0" wp14:anchorId="32E93A97" wp14:editId="191B32E9">
            <wp:extent cx="2832201" cy="1685925"/>
            <wp:effectExtent l="0" t="0" r="6350" b="0"/>
            <wp:docPr id="214" name="Picture 214" descr="The proportion of farms for each region that made capital additions shown as a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descr="The proportion of farms for each region that made capital additions shown as a bar grap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8405" cy="1689618"/>
                    </a:xfrm>
                    <a:prstGeom prst="rect">
                      <a:avLst/>
                    </a:prstGeom>
                    <a:noFill/>
                  </pic:spPr>
                </pic:pic>
              </a:graphicData>
            </a:graphic>
          </wp:inline>
        </w:drawing>
      </w:r>
    </w:p>
    <w:p w14:paraId="37E17E5F" w14:textId="131659D6" w:rsidR="00207996" w:rsidRDefault="00207996" w:rsidP="002968F6">
      <w:pPr>
        <w:pStyle w:val="Caption"/>
      </w:pPr>
      <w:r>
        <w:t xml:space="preserve">Figure </w:t>
      </w:r>
      <w:fldSimple w:instr=" SEQ Figure \* ARABIC ">
        <w:r w:rsidR="00FC7BFA">
          <w:rPr>
            <w:noProof/>
          </w:rPr>
          <w:t>5</w:t>
        </w:r>
      </w:fldSimple>
      <w:r w:rsidR="00D90B07">
        <w:t xml:space="preserve">. </w:t>
      </w:r>
      <w:r w:rsidR="008274AD">
        <w:t xml:space="preserve">The proportion </w:t>
      </w:r>
      <w:r w:rsidR="00D90B07">
        <w:t>of farms that made capital additions</w:t>
      </w:r>
    </w:p>
    <w:p w14:paraId="70CDBBB7" w14:textId="77777777" w:rsidR="002968F6" w:rsidRDefault="002968F6" w:rsidP="002968F6"/>
    <w:p w14:paraId="4D58E94D" w14:textId="654C36DC" w:rsidR="004A1741" w:rsidRPr="002968F6" w:rsidRDefault="00B83D29" w:rsidP="002968F6">
      <w:pPr>
        <w:pStyle w:val="Heading3"/>
        <w:rPr>
          <w:b/>
          <w:bCs/>
        </w:rPr>
      </w:pPr>
      <w:r w:rsidRPr="002968F6">
        <w:rPr>
          <w:b/>
          <w:bCs/>
        </w:rPr>
        <w:t>Debt</w:t>
      </w:r>
    </w:p>
    <w:p w14:paraId="7A932475" w14:textId="26557AD8" w:rsidR="00B22439" w:rsidRDefault="004D4B77" w:rsidP="00757CFB">
      <w:pPr>
        <w:rPr>
          <w:szCs w:val="20"/>
        </w:rPr>
      </w:pPr>
      <w:r>
        <w:rPr>
          <w:szCs w:val="20"/>
        </w:rPr>
        <w:t>Increased cashflows in</w:t>
      </w:r>
      <w:r w:rsidR="004D2FFB">
        <w:rPr>
          <w:szCs w:val="20"/>
        </w:rPr>
        <w:t xml:space="preserve"> </w:t>
      </w:r>
      <w:r>
        <w:rPr>
          <w:szCs w:val="20"/>
        </w:rPr>
        <w:t>2021</w:t>
      </w:r>
      <w:r w:rsidR="00450895">
        <w:t xml:space="preserve">– </w:t>
      </w:r>
      <w:r>
        <w:rPr>
          <w:szCs w:val="20"/>
        </w:rPr>
        <w:t>22 also</w:t>
      </w:r>
      <w:r w:rsidR="00757CFB" w:rsidRPr="00C4563C">
        <w:rPr>
          <w:szCs w:val="20"/>
        </w:rPr>
        <w:t xml:space="preserve"> allowed a high proportion of surveyed farms to reduce </w:t>
      </w:r>
      <w:r w:rsidR="00757CFB" w:rsidRPr="00984C01">
        <w:rPr>
          <w:szCs w:val="20"/>
        </w:rPr>
        <w:t>debt (</w:t>
      </w:r>
      <w:r w:rsidR="00C220D0" w:rsidRPr="00984C01">
        <w:rPr>
          <w:szCs w:val="20"/>
        </w:rPr>
        <w:t xml:space="preserve">Figure </w:t>
      </w:r>
      <w:r w:rsidR="00984C01" w:rsidRPr="00984C01">
        <w:rPr>
          <w:szCs w:val="20"/>
        </w:rPr>
        <w:t>6</w:t>
      </w:r>
      <w:r w:rsidR="00757CFB" w:rsidRPr="00984C01">
        <w:rPr>
          <w:szCs w:val="20"/>
        </w:rPr>
        <w:t xml:space="preserve">). </w:t>
      </w:r>
      <w:r w:rsidR="001D1680" w:rsidRPr="00984C01">
        <w:rPr>
          <w:szCs w:val="20"/>
        </w:rPr>
        <w:t>However</w:t>
      </w:r>
      <w:r w:rsidR="001D1680" w:rsidRPr="00C4563C">
        <w:rPr>
          <w:szCs w:val="20"/>
        </w:rPr>
        <w:t xml:space="preserve">, a </w:t>
      </w:r>
      <w:r w:rsidR="00122136" w:rsidRPr="00C4563C">
        <w:rPr>
          <w:szCs w:val="20"/>
        </w:rPr>
        <w:t>large</w:t>
      </w:r>
      <w:r w:rsidR="001D1680" w:rsidRPr="00C4563C">
        <w:rPr>
          <w:szCs w:val="20"/>
        </w:rPr>
        <w:t xml:space="preserve"> </w:t>
      </w:r>
      <w:r w:rsidR="00122136" w:rsidRPr="00C4563C">
        <w:rPr>
          <w:szCs w:val="20"/>
        </w:rPr>
        <w:t xml:space="preserve">proportion of </w:t>
      </w:r>
      <w:r w:rsidR="001D1680" w:rsidRPr="00C4563C">
        <w:rPr>
          <w:szCs w:val="20"/>
        </w:rPr>
        <w:t>farm</w:t>
      </w:r>
      <w:r w:rsidR="00C174AF">
        <w:rPr>
          <w:szCs w:val="20"/>
        </w:rPr>
        <w:t xml:space="preserve">s </w:t>
      </w:r>
      <w:r w:rsidR="00B811A9">
        <w:rPr>
          <w:szCs w:val="20"/>
        </w:rPr>
        <w:t>increased the</w:t>
      </w:r>
      <w:r w:rsidR="00992568">
        <w:rPr>
          <w:szCs w:val="20"/>
        </w:rPr>
        <w:t>ir</w:t>
      </w:r>
      <w:r w:rsidR="00B811A9" w:rsidRPr="00C4563C">
        <w:rPr>
          <w:szCs w:val="20"/>
        </w:rPr>
        <w:t xml:space="preserve"> </w:t>
      </w:r>
      <w:r w:rsidR="001D1680" w:rsidRPr="00C4563C">
        <w:rPr>
          <w:szCs w:val="20"/>
        </w:rPr>
        <w:t xml:space="preserve">debt </w:t>
      </w:r>
      <w:r w:rsidR="00D16888">
        <w:rPr>
          <w:szCs w:val="20"/>
        </w:rPr>
        <w:t>over</w:t>
      </w:r>
      <w:r w:rsidR="008D7497">
        <w:rPr>
          <w:szCs w:val="20"/>
        </w:rPr>
        <w:t xml:space="preserve"> the 12 months</w:t>
      </w:r>
      <w:r w:rsidR="0020654D" w:rsidRPr="00C4563C">
        <w:rPr>
          <w:szCs w:val="20"/>
        </w:rPr>
        <w:t xml:space="preserve">, particularly in </w:t>
      </w:r>
      <w:r w:rsidR="0039010B">
        <w:rPr>
          <w:szCs w:val="20"/>
        </w:rPr>
        <w:t>N</w:t>
      </w:r>
      <w:r w:rsidR="0020654D" w:rsidRPr="00C4563C">
        <w:rPr>
          <w:szCs w:val="20"/>
        </w:rPr>
        <w:t>orth</w:t>
      </w:r>
      <w:r w:rsidR="00C753B5">
        <w:rPr>
          <w:szCs w:val="20"/>
        </w:rPr>
        <w:t xml:space="preserve">ern </w:t>
      </w:r>
      <w:r w:rsidR="0039010B">
        <w:rPr>
          <w:szCs w:val="20"/>
        </w:rPr>
        <w:t>Victoria</w:t>
      </w:r>
      <w:r w:rsidR="00C753B5">
        <w:rPr>
          <w:szCs w:val="20"/>
        </w:rPr>
        <w:t xml:space="preserve"> </w:t>
      </w:r>
      <w:r w:rsidR="0020654D" w:rsidRPr="00C4563C">
        <w:rPr>
          <w:szCs w:val="20"/>
        </w:rPr>
        <w:t>and South West</w:t>
      </w:r>
      <w:r w:rsidR="003778A7">
        <w:rPr>
          <w:szCs w:val="20"/>
        </w:rPr>
        <w:t xml:space="preserve"> Victoria</w:t>
      </w:r>
      <w:r w:rsidR="008D7497">
        <w:rPr>
          <w:szCs w:val="20"/>
        </w:rPr>
        <w:t xml:space="preserve">. </w:t>
      </w:r>
      <w:r w:rsidR="0014611C">
        <w:rPr>
          <w:szCs w:val="20"/>
        </w:rPr>
        <w:t>This was mostly for ca</w:t>
      </w:r>
      <w:r w:rsidR="00BB225B">
        <w:rPr>
          <w:szCs w:val="20"/>
        </w:rPr>
        <w:t>pital improvements</w:t>
      </w:r>
      <w:r w:rsidR="001D1680" w:rsidRPr="00C4563C">
        <w:rPr>
          <w:szCs w:val="20"/>
        </w:rPr>
        <w:t xml:space="preserve"> as managers chose to invest in land, </w:t>
      </w:r>
      <w:r w:rsidR="00B63E31">
        <w:rPr>
          <w:szCs w:val="20"/>
        </w:rPr>
        <w:t>P&amp;E</w:t>
      </w:r>
      <w:r w:rsidR="000A0F27" w:rsidRPr="00C4563C">
        <w:rPr>
          <w:szCs w:val="20"/>
        </w:rPr>
        <w:t>, new fences</w:t>
      </w:r>
      <w:r w:rsidR="001D1680" w:rsidRPr="00C4563C">
        <w:rPr>
          <w:szCs w:val="20"/>
        </w:rPr>
        <w:t xml:space="preserve"> and other on-farm improvements</w:t>
      </w:r>
      <w:r w:rsidR="000A0F27" w:rsidRPr="00C4563C">
        <w:rPr>
          <w:szCs w:val="20"/>
        </w:rPr>
        <w:t>.</w:t>
      </w:r>
      <w:r w:rsidR="001D1680" w:rsidRPr="00C4563C">
        <w:rPr>
          <w:szCs w:val="20"/>
        </w:rPr>
        <w:t xml:space="preserve"> </w:t>
      </w:r>
    </w:p>
    <w:p w14:paraId="6A2723E6" w14:textId="6FE8E009" w:rsidR="00757CFB" w:rsidRPr="00C4563C" w:rsidRDefault="00757CFB" w:rsidP="00757CFB">
      <w:pPr>
        <w:rPr>
          <w:b/>
          <w:bCs/>
          <w:szCs w:val="20"/>
        </w:rPr>
      </w:pPr>
      <w:r w:rsidRPr="00C4563C">
        <w:rPr>
          <w:szCs w:val="20"/>
        </w:rPr>
        <w:t xml:space="preserve">Debt was part of the business structures for a substantial proportion of surveyed farms. The use of debt increases the obligatory costs of farm businesses as principal and interest repayments must be paid in good and poor years. For this reason, farm management strategies employed throughout the year </w:t>
      </w:r>
      <w:r w:rsidR="005405F2">
        <w:rPr>
          <w:szCs w:val="20"/>
        </w:rPr>
        <w:t>can be</w:t>
      </w:r>
      <w:r w:rsidRPr="00C4563C">
        <w:rPr>
          <w:szCs w:val="20"/>
        </w:rPr>
        <w:t xml:space="preserve"> influenced by the level of debt held by the business. </w:t>
      </w:r>
    </w:p>
    <w:p w14:paraId="7A991AAC" w14:textId="68532924" w:rsidR="00757CFB" w:rsidRPr="00C4563C" w:rsidRDefault="00757CFB" w:rsidP="00757CFB">
      <w:pPr>
        <w:rPr>
          <w:szCs w:val="20"/>
        </w:rPr>
      </w:pPr>
      <w:r w:rsidRPr="00C4563C">
        <w:rPr>
          <w:noProof/>
          <w:szCs w:val="20"/>
        </w:rPr>
        <w:lastRenderedPageBreak/>
        <w:drawing>
          <wp:inline distT="0" distB="0" distL="0" distR="0" wp14:anchorId="15BA7ECB" wp14:editId="2B7FF25C">
            <wp:extent cx="3123034" cy="2146852"/>
            <wp:effectExtent l="0" t="0" r="1270" b="6350"/>
            <wp:docPr id="26" name="Picture 26" descr="Debt activity from 1 July 2021 to 30 June 2022 shown as a column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ebt activity from 1 July 2021 to 30 June 2022 shown as a column graph"/>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9410" cy="2164984"/>
                    </a:xfrm>
                    <a:prstGeom prst="rect">
                      <a:avLst/>
                    </a:prstGeom>
                    <a:noFill/>
                  </pic:spPr>
                </pic:pic>
              </a:graphicData>
            </a:graphic>
          </wp:inline>
        </w:drawing>
      </w:r>
    </w:p>
    <w:p w14:paraId="6C53E1A1" w14:textId="51C5DC75" w:rsidR="00B312A2" w:rsidRPr="00C4563C" w:rsidRDefault="00F175D6" w:rsidP="00F175D6">
      <w:pPr>
        <w:pStyle w:val="Caption"/>
        <w:rPr>
          <w:b/>
          <w:bCs/>
        </w:rPr>
      </w:pPr>
      <w:r>
        <w:t xml:space="preserve">Figure </w:t>
      </w:r>
      <w:fldSimple w:instr=" SEQ Figure \* ARABIC ">
        <w:r w:rsidR="00FC7BFA">
          <w:rPr>
            <w:noProof/>
          </w:rPr>
          <w:t>6</w:t>
        </w:r>
      </w:fldSimple>
      <w:r>
        <w:t>.</w:t>
      </w:r>
      <w:r w:rsidR="00C96D5A">
        <w:t xml:space="preserve"> Debt activity from </w:t>
      </w:r>
      <w:r w:rsidR="00A95C88">
        <w:t xml:space="preserve">1 </w:t>
      </w:r>
      <w:r w:rsidR="00C96D5A">
        <w:t xml:space="preserve">July 2021 to </w:t>
      </w:r>
      <w:r w:rsidR="00A95C88">
        <w:t xml:space="preserve">30 </w:t>
      </w:r>
      <w:r w:rsidR="00C96D5A">
        <w:t>June 2022</w:t>
      </w:r>
    </w:p>
    <w:p w14:paraId="75DCC7F3" w14:textId="77777777" w:rsidR="00383BEF" w:rsidRDefault="00383BEF">
      <w:pPr>
        <w:rPr>
          <w:rFonts w:asciiTheme="majorHAnsi" w:eastAsiaTheme="majorEastAsia" w:hAnsiTheme="majorHAnsi" w:cstheme="majorBidi"/>
          <w:b/>
          <w:bCs/>
          <w:color w:val="1F3763" w:themeColor="accent1" w:themeShade="7F"/>
          <w:sz w:val="24"/>
          <w:szCs w:val="24"/>
        </w:rPr>
      </w:pPr>
      <w:r>
        <w:rPr>
          <w:b/>
          <w:bCs/>
        </w:rPr>
        <w:br w:type="page"/>
      </w:r>
    </w:p>
    <w:p w14:paraId="371493E6" w14:textId="7E8CAD2E" w:rsidR="00790315" w:rsidRPr="0064154B" w:rsidRDefault="00790315" w:rsidP="002968F6">
      <w:pPr>
        <w:pStyle w:val="Heading3"/>
        <w:rPr>
          <w:rFonts w:ascii="VIC" w:eastAsiaTheme="minorHAnsi" w:hAnsi="VIC" w:cs="VIC-SemiBold"/>
          <w:b/>
          <w:bCs/>
          <w:color w:val="4C7329"/>
          <w:sz w:val="28"/>
          <w:szCs w:val="18"/>
          <w:lang w:val="en-US"/>
        </w:rPr>
      </w:pPr>
      <w:r w:rsidRPr="0064154B">
        <w:rPr>
          <w:rFonts w:ascii="VIC" w:eastAsiaTheme="minorHAnsi" w:hAnsi="VIC" w:cs="VIC-SemiBold"/>
          <w:b/>
          <w:bCs/>
          <w:color w:val="4C7329"/>
          <w:sz w:val="28"/>
          <w:szCs w:val="18"/>
          <w:lang w:val="en-US"/>
        </w:rPr>
        <w:lastRenderedPageBreak/>
        <w:t xml:space="preserve">Comparing the risk and return of </w:t>
      </w:r>
      <w:r w:rsidR="009C159A" w:rsidRPr="0064154B">
        <w:rPr>
          <w:rFonts w:ascii="VIC" w:eastAsiaTheme="minorHAnsi" w:hAnsi="VIC" w:cs="VIC-SemiBold"/>
          <w:b/>
          <w:bCs/>
          <w:color w:val="4C7329"/>
          <w:sz w:val="28"/>
          <w:szCs w:val="18"/>
          <w:lang w:val="en-US"/>
        </w:rPr>
        <w:t>Livestock Farm Monitor farms</w:t>
      </w:r>
      <w:r w:rsidRPr="0064154B">
        <w:rPr>
          <w:rFonts w:ascii="VIC" w:eastAsiaTheme="minorHAnsi" w:hAnsi="VIC" w:cs="VIC-SemiBold"/>
          <w:b/>
          <w:bCs/>
          <w:color w:val="4C7329"/>
          <w:sz w:val="28"/>
          <w:szCs w:val="18"/>
          <w:lang w:val="en-US"/>
        </w:rPr>
        <w:t xml:space="preserve"> with off-farm investments</w:t>
      </w:r>
    </w:p>
    <w:p w14:paraId="77DC1A95" w14:textId="38567EB2" w:rsidR="00F56677" w:rsidRDefault="007647E9" w:rsidP="00790315">
      <w:pPr>
        <w:rPr>
          <w:szCs w:val="20"/>
        </w:rPr>
      </w:pPr>
      <w:r>
        <w:rPr>
          <w:szCs w:val="20"/>
        </w:rPr>
        <w:t>A commonly asked question is h</w:t>
      </w:r>
      <w:r w:rsidR="00383BEF">
        <w:rPr>
          <w:szCs w:val="20"/>
        </w:rPr>
        <w:t xml:space="preserve">ow did </w:t>
      </w:r>
      <w:r w:rsidR="00A6498E">
        <w:rPr>
          <w:szCs w:val="20"/>
        </w:rPr>
        <w:t>LFMP</w:t>
      </w:r>
      <w:r w:rsidR="00383BEF">
        <w:rPr>
          <w:szCs w:val="20"/>
        </w:rPr>
        <w:t xml:space="preserve"> farms perform over the last five years</w:t>
      </w:r>
      <w:r w:rsidR="00FC0979">
        <w:rPr>
          <w:szCs w:val="20"/>
        </w:rPr>
        <w:t>?</w:t>
      </w:r>
      <w:r w:rsidR="00E01379">
        <w:rPr>
          <w:szCs w:val="20"/>
        </w:rPr>
        <w:t xml:space="preserve"> A common response is compared to what</w:t>
      </w:r>
      <w:r w:rsidR="00FC0979">
        <w:rPr>
          <w:szCs w:val="20"/>
        </w:rPr>
        <w:t>?</w:t>
      </w:r>
      <w:r w:rsidR="004A0D70">
        <w:rPr>
          <w:szCs w:val="20"/>
        </w:rPr>
        <w:t xml:space="preserve"> </w:t>
      </w:r>
      <w:r w:rsidR="00C61BA2">
        <w:rPr>
          <w:szCs w:val="20"/>
        </w:rPr>
        <w:t>In</w:t>
      </w:r>
      <w:r>
        <w:rPr>
          <w:szCs w:val="20"/>
        </w:rPr>
        <w:t xml:space="preserve"> answering this question, </w:t>
      </w:r>
      <w:r w:rsidR="00FB0D2F">
        <w:rPr>
          <w:szCs w:val="20"/>
        </w:rPr>
        <w:t>the criteria of performance m</w:t>
      </w:r>
      <w:r w:rsidR="00F44F07">
        <w:rPr>
          <w:szCs w:val="20"/>
        </w:rPr>
        <w:t>u</w:t>
      </w:r>
      <w:r w:rsidR="00FB0D2F">
        <w:rPr>
          <w:szCs w:val="20"/>
        </w:rPr>
        <w:t xml:space="preserve">st </w:t>
      </w:r>
      <w:r w:rsidR="00F44F07">
        <w:rPr>
          <w:szCs w:val="20"/>
        </w:rPr>
        <w:t>assess</w:t>
      </w:r>
      <w:r w:rsidR="009605D5">
        <w:rPr>
          <w:szCs w:val="20"/>
        </w:rPr>
        <w:t xml:space="preserve"> the</w:t>
      </w:r>
      <w:r w:rsidR="007F7BEC">
        <w:rPr>
          <w:szCs w:val="20"/>
        </w:rPr>
        <w:t xml:space="preserve"> size of</w:t>
      </w:r>
      <w:r w:rsidR="009605D5">
        <w:rPr>
          <w:szCs w:val="20"/>
        </w:rPr>
        <w:t xml:space="preserve"> returns </w:t>
      </w:r>
      <w:r w:rsidR="009605D5" w:rsidRPr="00161888">
        <w:rPr>
          <w:i/>
          <w:iCs/>
          <w:szCs w:val="20"/>
        </w:rPr>
        <w:t>and</w:t>
      </w:r>
      <w:r w:rsidR="009605D5">
        <w:rPr>
          <w:szCs w:val="20"/>
        </w:rPr>
        <w:t xml:space="preserve"> </w:t>
      </w:r>
      <w:r w:rsidR="00BE6DB2">
        <w:rPr>
          <w:szCs w:val="20"/>
        </w:rPr>
        <w:t>the</w:t>
      </w:r>
      <w:r w:rsidR="00F44F07">
        <w:rPr>
          <w:szCs w:val="20"/>
        </w:rPr>
        <w:t xml:space="preserve"> variability in return (</w:t>
      </w:r>
      <w:r w:rsidR="00BE6DB2">
        <w:rPr>
          <w:szCs w:val="20"/>
        </w:rPr>
        <w:t>risk</w:t>
      </w:r>
      <w:r w:rsidR="00F44F07">
        <w:rPr>
          <w:szCs w:val="20"/>
        </w:rPr>
        <w:t>)</w:t>
      </w:r>
      <w:r w:rsidR="00BE6DB2">
        <w:rPr>
          <w:szCs w:val="20"/>
        </w:rPr>
        <w:t xml:space="preserve"> associated with it.</w:t>
      </w:r>
      <w:r w:rsidR="00FE5FB9">
        <w:rPr>
          <w:szCs w:val="20"/>
        </w:rPr>
        <w:t xml:space="preserve"> </w:t>
      </w:r>
      <w:r w:rsidR="0094451F">
        <w:rPr>
          <w:szCs w:val="20"/>
        </w:rPr>
        <w:t xml:space="preserve">This section also looks at </w:t>
      </w:r>
      <w:r w:rsidR="00CF272F">
        <w:rPr>
          <w:szCs w:val="20"/>
        </w:rPr>
        <w:t xml:space="preserve">which </w:t>
      </w:r>
      <w:r w:rsidR="005E3B38">
        <w:rPr>
          <w:szCs w:val="20"/>
        </w:rPr>
        <w:t>LFM</w:t>
      </w:r>
      <w:r w:rsidR="008D3774">
        <w:rPr>
          <w:szCs w:val="20"/>
        </w:rPr>
        <w:t xml:space="preserve">P </w:t>
      </w:r>
      <w:r w:rsidR="00CF272F">
        <w:rPr>
          <w:szCs w:val="20"/>
        </w:rPr>
        <w:t>region came</w:t>
      </w:r>
      <w:r w:rsidR="00E20747">
        <w:rPr>
          <w:szCs w:val="20"/>
        </w:rPr>
        <w:t xml:space="preserve"> </w:t>
      </w:r>
      <w:r w:rsidR="00CF272F">
        <w:rPr>
          <w:szCs w:val="20"/>
        </w:rPr>
        <w:t>out on top</w:t>
      </w:r>
      <w:r w:rsidR="008411F7">
        <w:rPr>
          <w:szCs w:val="20"/>
        </w:rPr>
        <w:t xml:space="preserve"> and why</w:t>
      </w:r>
      <w:r w:rsidR="00C61BA2">
        <w:rPr>
          <w:szCs w:val="20"/>
        </w:rPr>
        <w:t>.</w:t>
      </w:r>
    </w:p>
    <w:p w14:paraId="03CBF697" w14:textId="3B22CA40" w:rsidR="00937C9A" w:rsidRPr="00C4563C" w:rsidRDefault="009F62CE" w:rsidP="00790315">
      <w:pPr>
        <w:rPr>
          <w:szCs w:val="20"/>
        </w:rPr>
      </w:pPr>
      <w:r>
        <w:rPr>
          <w:szCs w:val="20"/>
        </w:rPr>
        <w:t>Figure 7 shows</w:t>
      </w:r>
      <w:r w:rsidR="002A1F14">
        <w:rPr>
          <w:szCs w:val="20"/>
        </w:rPr>
        <w:t xml:space="preserve"> the average </w:t>
      </w:r>
      <w:r w:rsidR="001F73E2">
        <w:rPr>
          <w:szCs w:val="20"/>
        </w:rPr>
        <w:t xml:space="preserve">LFMP </w:t>
      </w:r>
      <w:r w:rsidR="00937C9A" w:rsidRPr="00C4563C">
        <w:rPr>
          <w:szCs w:val="20"/>
        </w:rPr>
        <w:t xml:space="preserve">return </w:t>
      </w:r>
      <w:r w:rsidR="00D1450D">
        <w:rPr>
          <w:szCs w:val="20"/>
        </w:rPr>
        <w:t>on</w:t>
      </w:r>
      <w:r w:rsidR="00937C9A" w:rsidRPr="00C4563C">
        <w:rPr>
          <w:szCs w:val="20"/>
        </w:rPr>
        <w:t xml:space="preserve"> assets</w:t>
      </w:r>
      <w:r w:rsidR="00D53326" w:rsidRPr="00C4563C">
        <w:rPr>
          <w:szCs w:val="20"/>
        </w:rPr>
        <w:t xml:space="preserve"> </w:t>
      </w:r>
      <w:r w:rsidR="00937C9A" w:rsidRPr="00C4563C">
        <w:rPr>
          <w:szCs w:val="20"/>
        </w:rPr>
        <w:t xml:space="preserve">over </w:t>
      </w:r>
      <w:r w:rsidR="0042166D" w:rsidRPr="00C4563C">
        <w:rPr>
          <w:szCs w:val="20"/>
        </w:rPr>
        <w:t xml:space="preserve">the last </w:t>
      </w:r>
      <w:r w:rsidR="00937C9A" w:rsidRPr="00C4563C">
        <w:rPr>
          <w:szCs w:val="20"/>
        </w:rPr>
        <w:t>five years</w:t>
      </w:r>
      <w:r w:rsidR="00E20747">
        <w:rPr>
          <w:szCs w:val="20"/>
        </w:rPr>
        <w:t>,</w:t>
      </w:r>
      <w:r w:rsidR="00937C9A" w:rsidRPr="00C4563C">
        <w:rPr>
          <w:szCs w:val="20"/>
        </w:rPr>
        <w:t xml:space="preserve"> </w:t>
      </w:r>
      <w:r w:rsidR="00DF1BE6">
        <w:rPr>
          <w:szCs w:val="20"/>
        </w:rPr>
        <w:t>in</w:t>
      </w:r>
      <w:r w:rsidR="00DF1BE6" w:rsidRPr="00C4563C">
        <w:rPr>
          <w:szCs w:val="20"/>
        </w:rPr>
        <w:t xml:space="preserve"> </w:t>
      </w:r>
      <w:r w:rsidR="00937C9A" w:rsidRPr="00C4563C">
        <w:rPr>
          <w:szCs w:val="20"/>
        </w:rPr>
        <w:t>compar</w:t>
      </w:r>
      <w:r w:rsidR="00DF1BE6">
        <w:rPr>
          <w:szCs w:val="20"/>
        </w:rPr>
        <w:t xml:space="preserve">ison </w:t>
      </w:r>
      <w:r w:rsidR="00937C9A" w:rsidRPr="00C4563C">
        <w:rPr>
          <w:szCs w:val="20"/>
        </w:rPr>
        <w:t>with returns from alternative off-farm investments that have similar risk, such as shares in the stock market, and others with less risk, such as bonds and cash.</w:t>
      </w:r>
      <w:r w:rsidR="006E0F9F">
        <w:rPr>
          <w:szCs w:val="20"/>
        </w:rPr>
        <w:t xml:space="preserve"> </w:t>
      </w:r>
      <w:r w:rsidR="009B6218">
        <w:rPr>
          <w:szCs w:val="20"/>
        </w:rPr>
        <w:t xml:space="preserve">The risk </w:t>
      </w:r>
      <w:r w:rsidR="006E0F9F">
        <w:rPr>
          <w:szCs w:val="20"/>
        </w:rPr>
        <w:t xml:space="preserve">was measured by </w:t>
      </w:r>
      <w:r w:rsidR="007D2C3B">
        <w:rPr>
          <w:szCs w:val="20"/>
        </w:rPr>
        <w:t xml:space="preserve">the </w:t>
      </w:r>
      <w:r w:rsidR="006E0F9F">
        <w:rPr>
          <w:szCs w:val="20"/>
        </w:rPr>
        <w:t>standard deviation in return on assets</w:t>
      </w:r>
      <w:r w:rsidR="006D2BCD">
        <w:rPr>
          <w:szCs w:val="20"/>
        </w:rPr>
        <w:t xml:space="preserve"> across the time period 2017</w:t>
      </w:r>
      <w:r w:rsidR="006D1341">
        <w:t>–</w:t>
      </w:r>
      <w:r w:rsidR="006D2BCD">
        <w:rPr>
          <w:szCs w:val="20"/>
        </w:rPr>
        <w:t>19 to 2021</w:t>
      </w:r>
      <w:r w:rsidR="006D1341">
        <w:t>–</w:t>
      </w:r>
      <w:r w:rsidR="006D2BCD">
        <w:rPr>
          <w:szCs w:val="20"/>
        </w:rPr>
        <w:t>22.</w:t>
      </w:r>
    </w:p>
    <w:p w14:paraId="0484C626" w14:textId="18C67E2C" w:rsidR="00146224" w:rsidRDefault="00790315" w:rsidP="00146224">
      <w:pPr>
        <w:rPr>
          <w:szCs w:val="20"/>
        </w:rPr>
      </w:pPr>
      <w:r w:rsidRPr="00C4563C">
        <w:rPr>
          <w:szCs w:val="20"/>
        </w:rPr>
        <w:t>Investment types whose performance falls toward</w:t>
      </w:r>
      <w:r w:rsidR="00AB060E" w:rsidRPr="00C4563C">
        <w:rPr>
          <w:szCs w:val="20"/>
        </w:rPr>
        <w:t xml:space="preserve"> </w:t>
      </w:r>
      <w:r w:rsidRPr="00C4563C">
        <w:rPr>
          <w:szCs w:val="20"/>
        </w:rPr>
        <w:t>the right</w:t>
      </w:r>
      <w:r w:rsidR="009B43AA">
        <w:rPr>
          <w:szCs w:val="20"/>
        </w:rPr>
        <w:t>-</w:t>
      </w:r>
      <w:r w:rsidRPr="00C4563C">
        <w:rPr>
          <w:szCs w:val="20"/>
        </w:rPr>
        <w:t xml:space="preserve">hand side of </w:t>
      </w:r>
      <w:r w:rsidR="008D3774">
        <w:rPr>
          <w:szCs w:val="20"/>
        </w:rPr>
        <w:t>Figure 7</w:t>
      </w:r>
      <w:r w:rsidRPr="00C4563C">
        <w:rPr>
          <w:szCs w:val="20"/>
        </w:rPr>
        <w:t xml:space="preserve"> are considered</w:t>
      </w:r>
      <w:r w:rsidR="00AB060E" w:rsidRPr="00C4563C">
        <w:rPr>
          <w:szCs w:val="20"/>
        </w:rPr>
        <w:t xml:space="preserve"> </w:t>
      </w:r>
      <w:r w:rsidRPr="00C4563C">
        <w:rPr>
          <w:szCs w:val="20"/>
        </w:rPr>
        <w:t>‘riskier’ than those indicated by points toward the</w:t>
      </w:r>
      <w:r w:rsidR="00E907FC" w:rsidRPr="00C4563C">
        <w:rPr>
          <w:szCs w:val="20"/>
        </w:rPr>
        <w:t xml:space="preserve"> </w:t>
      </w:r>
      <w:r w:rsidRPr="00C4563C">
        <w:rPr>
          <w:szCs w:val="20"/>
        </w:rPr>
        <w:t>left</w:t>
      </w:r>
      <w:r w:rsidR="00E27842">
        <w:rPr>
          <w:szCs w:val="20"/>
        </w:rPr>
        <w:t>-</w:t>
      </w:r>
      <w:r w:rsidRPr="00C4563C">
        <w:rPr>
          <w:szCs w:val="20"/>
        </w:rPr>
        <w:t xml:space="preserve">hand side. </w:t>
      </w:r>
      <w:r w:rsidR="001A62A3">
        <w:rPr>
          <w:szCs w:val="20"/>
        </w:rPr>
        <w:t xml:space="preserve">Less volatility </w:t>
      </w:r>
      <w:r w:rsidR="005F486E">
        <w:rPr>
          <w:szCs w:val="20"/>
        </w:rPr>
        <w:t>was experienced by f</w:t>
      </w:r>
      <w:r w:rsidR="00C902BB" w:rsidRPr="00C4563C">
        <w:rPr>
          <w:szCs w:val="20"/>
        </w:rPr>
        <w:t>arms across all regions</w:t>
      </w:r>
      <w:r w:rsidR="00E907FC" w:rsidRPr="00C4563C">
        <w:rPr>
          <w:szCs w:val="20"/>
        </w:rPr>
        <w:t xml:space="preserve"> </w:t>
      </w:r>
      <w:r w:rsidR="000E4576" w:rsidRPr="00C4563C">
        <w:rPr>
          <w:szCs w:val="20"/>
        </w:rPr>
        <w:t>than all other asset classes except cash.</w:t>
      </w:r>
      <w:r w:rsidR="00C902BB" w:rsidRPr="00C4563C">
        <w:rPr>
          <w:szCs w:val="20"/>
        </w:rPr>
        <w:t xml:space="preserve"> </w:t>
      </w:r>
      <w:r w:rsidR="00335CFB" w:rsidRPr="00EE3D1B">
        <w:rPr>
          <w:szCs w:val="20"/>
        </w:rPr>
        <w:t>T</w:t>
      </w:r>
      <w:r w:rsidR="000E4576" w:rsidRPr="00EE3D1B">
        <w:rPr>
          <w:szCs w:val="20"/>
        </w:rPr>
        <w:t xml:space="preserve">he time period represented in Figure </w:t>
      </w:r>
      <w:r w:rsidR="00984C01" w:rsidRPr="00EE3D1B">
        <w:rPr>
          <w:szCs w:val="20"/>
        </w:rPr>
        <w:t>7</w:t>
      </w:r>
      <w:r w:rsidR="000E4576" w:rsidRPr="00EE3D1B">
        <w:rPr>
          <w:szCs w:val="20"/>
        </w:rPr>
        <w:t xml:space="preserve"> </w:t>
      </w:r>
      <w:r w:rsidR="00770BBF" w:rsidRPr="00EE3D1B">
        <w:rPr>
          <w:szCs w:val="20"/>
        </w:rPr>
        <w:t xml:space="preserve">includes </w:t>
      </w:r>
      <w:r w:rsidR="003C5FD7" w:rsidRPr="00EE3D1B">
        <w:rPr>
          <w:szCs w:val="20"/>
        </w:rPr>
        <w:t>the COVID-19 pandemic</w:t>
      </w:r>
      <w:r w:rsidR="00BF47B4" w:rsidRPr="00EE3D1B">
        <w:rPr>
          <w:szCs w:val="20"/>
        </w:rPr>
        <w:t>,</w:t>
      </w:r>
      <w:r w:rsidR="00630F0D" w:rsidRPr="00EE3D1B">
        <w:rPr>
          <w:szCs w:val="20"/>
        </w:rPr>
        <w:t xml:space="preserve"> which caused large amounts</w:t>
      </w:r>
      <w:r w:rsidR="00630F0D" w:rsidRPr="00C4563C">
        <w:rPr>
          <w:szCs w:val="20"/>
        </w:rPr>
        <w:t xml:space="preserve"> of volatility in</w:t>
      </w:r>
      <w:r w:rsidR="00C331C6" w:rsidRPr="00C4563C">
        <w:rPr>
          <w:szCs w:val="20"/>
        </w:rPr>
        <w:t xml:space="preserve"> </w:t>
      </w:r>
      <w:r w:rsidR="006B4E9F" w:rsidRPr="00C4563C">
        <w:rPr>
          <w:szCs w:val="20"/>
        </w:rPr>
        <w:t>share</w:t>
      </w:r>
      <w:r w:rsidR="00DB14D6" w:rsidRPr="00C4563C">
        <w:rPr>
          <w:szCs w:val="20"/>
        </w:rPr>
        <w:t xml:space="preserve"> market</w:t>
      </w:r>
      <w:r w:rsidR="006B4E9F" w:rsidRPr="00C4563C">
        <w:rPr>
          <w:szCs w:val="20"/>
        </w:rPr>
        <w:t xml:space="preserve">s and </w:t>
      </w:r>
      <w:r w:rsidR="00A0765F" w:rsidRPr="00C4563C">
        <w:rPr>
          <w:szCs w:val="20"/>
        </w:rPr>
        <w:t>property markets</w:t>
      </w:r>
      <w:r w:rsidR="00335CFB">
        <w:rPr>
          <w:szCs w:val="20"/>
        </w:rPr>
        <w:t xml:space="preserve"> </w:t>
      </w:r>
      <w:r w:rsidR="00651F13">
        <w:rPr>
          <w:szCs w:val="20"/>
        </w:rPr>
        <w:t>resulting in more volatile returns than agriculture</w:t>
      </w:r>
      <w:r w:rsidR="00F87912">
        <w:rPr>
          <w:szCs w:val="20"/>
        </w:rPr>
        <w:t>-related asset classes</w:t>
      </w:r>
      <w:r w:rsidR="000E4576" w:rsidRPr="00C4563C">
        <w:rPr>
          <w:szCs w:val="20"/>
        </w:rPr>
        <w:t>.</w:t>
      </w:r>
    </w:p>
    <w:p w14:paraId="78EA00BD" w14:textId="5C59CF01" w:rsidR="005C1569" w:rsidRDefault="007A0C46" w:rsidP="00790315">
      <w:pPr>
        <w:rPr>
          <w:szCs w:val="20"/>
        </w:rPr>
      </w:pPr>
      <w:r w:rsidRPr="00C4563C">
        <w:rPr>
          <w:szCs w:val="20"/>
        </w:rPr>
        <w:t xml:space="preserve">South </w:t>
      </w:r>
      <w:r w:rsidR="00753BEC">
        <w:rPr>
          <w:szCs w:val="20"/>
        </w:rPr>
        <w:t>W</w:t>
      </w:r>
      <w:r w:rsidRPr="00C4563C">
        <w:rPr>
          <w:szCs w:val="20"/>
        </w:rPr>
        <w:t>est</w:t>
      </w:r>
      <w:r w:rsidR="00753BEC">
        <w:rPr>
          <w:szCs w:val="20"/>
        </w:rPr>
        <w:t xml:space="preserve"> Victoria</w:t>
      </w:r>
      <w:r w:rsidRPr="00C4563C">
        <w:rPr>
          <w:szCs w:val="20"/>
        </w:rPr>
        <w:t xml:space="preserve"> farms had the highest </w:t>
      </w:r>
      <w:r w:rsidR="000262B6">
        <w:rPr>
          <w:szCs w:val="20"/>
        </w:rPr>
        <w:t xml:space="preserve">average </w:t>
      </w:r>
      <w:r w:rsidRPr="00C4563C">
        <w:rPr>
          <w:szCs w:val="20"/>
        </w:rPr>
        <w:t xml:space="preserve">returns </w:t>
      </w:r>
      <w:r w:rsidR="00C40595">
        <w:rPr>
          <w:szCs w:val="20"/>
        </w:rPr>
        <w:t xml:space="preserve">of </w:t>
      </w:r>
      <w:r w:rsidR="00DB6658">
        <w:rPr>
          <w:szCs w:val="20"/>
        </w:rPr>
        <w:t xml:space="preserve">farms in </w:t>
      </w:r>
      <w:r w:rsidR="00C40595">
        <w:rPr>
          <w:szCs w:val="20"/>
        </w:rPr>
        <w:t xml:space="preserve">the other LFMP regions </w:t>
      </w:r>
      <w:r w:rsidR="000C129A" w:rsidRPr="00C4563C">
        <w:rPr>
          <w:szCs w:val="20"/>
        </w:rPr>
        <w:t>with equiv</w:t>
      </w:r>
      <w:r w:rsidR="00AD1576">
        <w:rPr>
          <w:szCs w:val="20"/>
        </w:rPr>
        <w:t>al</w:t>
      </w:r>
      <w:r w:rsidR="000C129A" w:rsidRPr="00C4563C">
        <w:rPr>
          <w:szCs w:val="20"/>
        </w:rPr>
        <w:t>ent risk</w:t>
      </w:r>
      <w:r w:rsidR="00C07846" w:rsidRPr="00C4563C">
        <w:rPr>
          <w:szCs w:val="20"/>
        </w:rPr>
        <w:t xml:space="preserve">. This result was influenced by </w:t>
      </w:r>
      <w:r w:rsidR="00DB6658">
        <w:rPr>
          <w:szCs w:val="20"/>
        </w:rPr>
        <w:t>s</w:t>
      </w:r>
      <w:r w:rsidR="0066602D" w:rsidRPr="00C4563C">
        <w:rPr>
          <w:szCs w:val="20"/>
        </w:rPr>
        <w:t xml:space="preserve">outh </w:t>
      </w:r>
      <w:r w:rsidR="00DB6658">
        <w:rPr>
          <w:szCs w:val="20"/>
        </w:rPr>
        <w:t>w</w:t>
      </w:r>
      <w:r w:rsidR="0066602D" w:rsidRPr="00C4563C">
        <w:rPr>
          <w:szCs w:val="20"/>
        </w:rPr>
        <w:t xml:space="preserve">est farms mostly escaping the </w:t>
      </w:r>
      <w:r w:rsidR="00872D49" w:rsidRPr="00C4563C">
        <w:rPr>
          <w:szCs w:val="20"/>
        </w:rPr>
        <w:t>negative impact of</w:t>
      </w:r>
      <w:r w:rsidR="00C07846" w:rsidRPr="00C4563C">
        <w:rPr>
          <w:szCs w:val="20"/>
        </w:rPr>
        <w:t xml:space="preserve"> dry seasonal conditions </w:t>
      </w:r>
      <w:r w:rsidR="0066602D" w:rsidRPr="00C4563C">
        <w:rPr>
          <w:szCs w:val="20"/>
        </w:rPr>
        <w:t xml:space="preserve">experienced by </w:t>
      </w:r>
      <w:r w:rsidR="009E1271">
        <w:rPr>
          <w:szCs w:val="20"/>
        </w:rPr>
        <w:t>N</w:t>
      </w:r>
      <w:r w:rsidR="0066602D" w:rsidRPr="00C4563C">
        <w:rPr>
          <w:szCs w:val="20"/>
        </w:rPr>
        <w:t>orth</w:t>
      </w:r>
      <w:r w:rsidR="003778A7">
        <w:rPr>
          <w:szCs w:val="20"/>
        </w:rPr>
        <w:t>ern Victoria</w:t>
      </w:r>
      <w:r w:rsidRPr="00C4563C">
        <w:rPr>
          <w:szCs w:val="20"/>
        </w:rPr>
        <w:t xml:space="preserve"> </w:t>
      </w:r>
      <w:r w:rsidR="00925724" w:rsidRPr="00C4563C">
        <w:rPr>
          <w:szCs w:val="20"/>
        </w:rPr>
        <w:t>and Gippsland businesses through 2018</w:t>
      </w:r>
      <w:r w:rsidR="00753BEC">
        <w:t>–</w:t>
      </w:r>
      <w:r w:rsidR="00925724" w:rsidRPr="00C4563C">
        <w:rPr>
          <w:szCs w:val="20"/>
        </w:rPr>
        <w:t>19 and 2019</w:t>
      </w:r>
      <w:r w:rsidR="00753BEC">
        <w:t>–</w:t>
      </w:r>
      <w:r w:rsidR="00925724" w:rsidRPr="00C4563C">
        <w:rPr>
          <w:szCs w:val="20"/>
        </w:rPr>
        <w:t>20</w:t>
      </w:r>
      <w:r w:rsidR="007B7888" w:rsidRPr="00C4563C">
        <w:rPr>
          <w:szCs w:val="20"/>
        </w:rPr>
        <w:t xml:space="preserve">. </w:t>
      </w:r>
      <w:r w:rsidRPr="00C4563C">
        <w:rPr>
          <w:szCs w:val="20"/>
        </w:rPr>
        <w:t xml:space="preserve">However, </w:t>
      </w:r>
      <w:r w:rsidR="00540EA6">
        <w:rPr>
          <w:szCs w:val="20"/>
        </w:rPr>
        <w:t>f</w:t>
      </w:r>
      <w:r w:rsidR="0000138D" w:rsidRPr="00C4563C">
        <w:rPr>
          <w:szCs w:val="20"/>
        </w:rPr>
        <w:t>arms in</w:t>
      </w:r>
      <w:r w:rsidR="001472D6" w:rsidRPr="00C4563C">
        <w:rPr>
          <w:szCs w:val="20"/>
        </w:rPr>
        <w:t xml:space="preserve"> </w:t>
      </w:r>
      <w:r w:rsidR="00753BEC">
        <w:rPr>
          <w:szCs w:val="20"/>
        </w:rPr>
        <w:t>N</w:t>
      </w:r>
      <w:r w:rsidR="001472D6" w:rsidRPr="00C4563C">
        <w:rPr>
          <w:szCs w:val="20"/>
        </w:rPr>
        <w:t>orth</w:t>
      </w:r>
      <w:r w:rsidR="003778A7">
        <w:rPr>
          <w:szCs w:val="20"/>
        </w:rPr>
        <w:t>ern Victoria</w:t>
      </w:r>
      <w:r w:rsidR="001472D6" w:rsidRPr="00C4563C">
        <w:rPr>
          <w:szCs w:val="20"/>
        </w:rPr>
        <w:t xml:space="preserve"> and</w:t>
      </w:r>
      <w:r w:rsidR="0000138D" w:rsidRPr="00C4563C">
        <w:rPr>
          <w:szCs w:val="20"/>
        </w:rPr>
        <w:t xml:space="preserve"> Gippsland</w:t>
      </w:r>
      <w:r w:rsidR="00790315" w:rsidRPr="00C4563C">
        <w:rPr>
          <w:szCs w:val="20"/>
        </w:rPr>
        <w:t xml:space="preserve"> had</w:t>
      </w:r>
      <w:r w:rsidR="00AB060E" w:rsidRPr="00C4563C">
        <w:rPr>
          <w:szCs w:val="20"/>
        </w:rPr>
        <w:t xml:space="preserve"> </w:t>
      </w:r>
      <w:r w:rsidR="00426F47">
        <w:rPr>
          <w:szCs w:val="20"/>
        </w:rPr>
        <w:t xml:space="preserve">higher </w:t>
      </w:r>
      <w:r w:rsidR="006C29C3" w:rsidRPr="00C4563C">
        <w:rPr>
          <w:szCs w:val="20"/>
        </w:rPr>
        <w:t>returns</w:t>
      </w:r>
      <w:r w:rsidR="00790315" w:rsidRPr="00C4563C">
        <w:rPr>
          <w:szCs w:val="20"/>
        </w:rPr>
        <w:t xml:space="preserve"> </w:t>
      </w:r>
      <w:r w:rsidR="001472D6" w:rsidRPr="00C4563C">
        <w:rPr>
          <w:szCs w:val="20"/>
        </w:rPr>
        <w:t>than</w:t>
      </w:r>
      <w:r w:rsidR="009C56B8" w:rsidRPr="00C4563C">
        <w:rPr>
          <w:szCs w:val="20"/>
        </w:rPr>
        <w:t xml:space="preserve"> </w:t>
      </w:r>
      <w:r w:rsidR="00790315" w:rsidRPr="00C4563C">
        <w:rPr>
          <w:szCs w:val="20"/>
        </w:rPr>
        <w:t>Australi</w:t>
      </w:r>
      <w:r w:rsidR="00BB4D5C" w:rsidRPr="00C4563C">
        <w:rPr>
          <w:szCs w:val="20"/>
        </w:rPr>
        <w:t>an bonds</w:t>
      </w:r>
      <w:r w:rsidR="00790315" w:rsidRPr="00C4563C">
        <w:rPr>
          <w:szCs w:val="20"/>
        </w:rPr>
        <w:t xml:space="preserve"> </w:t>
      </w:r>
      <w:r w:rsidR="00C06A0A" w:rsidRPr="00C4563C">
        <w:rPr>
          <w:szCs w:val="20"/>
        </w:rPr>
        <w:t xml:space="preserve">investment </w:t>
      </w:r>
      <w:r w:rsidR="00790315" w:rsidRPr="00C4563C">
        <w:rPr>
          <w:szCs w:val="20"/>
        </w:rPr>
        <w:t>over the same time and experienced less</w:t>
      </w:r>
      <w:r w:rsidR="00AB060E" w:rsidRPr="00C4563C">
        <w:rPr>
          <w:szCs w:val="20"/>
        </w:rPr>
        <w:t xml:space="preserve"> </w:t>
      </w:r>
      <w:r w:rsidR="00790315" w:rsidRPr="00C4563C">
        <w:rPr>
          <w:szCs w:val="20"/>
        </w:rPr>
        <w:t xml:space="preserve">volatility. </w:t>
      </w:r>
    </w:p>
    <w:p w14:paraId="73C359D0" w14:textId="6B441718" w:rsidR="00E730D4" w:rsidRDefault="00181AC2" w:rsidP="00790315">
      <w:pPr>
        <w:rPr>
          <w:szCs w:val="20"/>
        </w:rPr>
      </w:pPr>
      <w:r>
        <w:rPr>
          <w:szCs w:val="20"/>
        </w:rPr>
        <w:t>Growth in farmland capital value has been excluded from thi</w:t>
      </w:r>
      <w:r w:rsidR="00450372">
        <w:rPr>
          <w:szCs w:val="20"/>
        </w:rPr>
        <w:t xml:space="preserve">s analysis </w:t>
      </w:r>
      <w:r w:rsidR="001A7670">
        <w:rPr>
          <w:szCs w:val="20"/>
        </w:rPr>
        <w:t xml:space="preserve">and can be another </w:t>
      </w:r>
      <w:r w:rsidR="00375F42">
        <w:rPr>
          <w:szCs w:val="20"/>
        </w:rPr>
        <w:t xml:space="preserve">source of returns for farmland owners. </w:t>
      </w:r>
    </w:p>
    <w:p w14:paraId="5CEB907E" w14:textId="7C673226" w:rsidR="00375206" w:rsidRPr="004E1F3E" w:rsidRDefault="00DC4501" w:rsidP="00146224">
      <w:pPr>
        <w:rPr>
          <w:szCs w:val="20"/>
        </w:rPr>
      </w:pPr>
      <w:r w:rsidRPr="004E1F3E">
        <w:rPr>
          <w:szCs w:val="20"/>
        </w:rPr>
        <w:t>Th</w:t>
      </w:r>
      <w:r w:rsidR="00F47EE4" w:rsidRPr="004E1F3E">
        <w:rPr>
          <w:szCs w:val="20"/>
        </w:rPr>
        <w:t>e</w:t>
      </w:r>
      <w:r w:rsidRPr="004E1F3E">
        <w:rPr>
          <w:szCs w:val="20"/>
        </w:rPr>
        <w:t xml:space="preserve"> analysis shows th</w:t>
      </w:r>
      <w:r w:rsidR="009112A8" w:rsidRPr="004E1F3E">
        <w:rPr>
          <w:szCs w:val="20"/>
        </w:rPr>
        <w:t xml:space="preserve">e </w:t>
      </w:r>
      <w:r w:rsidR="00204809" w:rsidRPr="004E1F3E">
        <w:rPr>
          <w:szCs w:val="20"/>
        </w:rPr>
        <w:t>relationship between risk and return for the different investments</w:t>
      </w:r>
      <w:r w:rsidR="00DA2D9D" w:rsidRPr="004E1F3E">
        <w:rPr>
          <w:szCs w:val="20"/>
        </w:rPr>
        <w:t>. Investments with higher returns were associated with higher risk</w:t>
      </w:r>
      <w:r w:rsidR="00907BC4" w:rsidRPr="004E1F3E">
        <w:rPr>
          <w:szCs w:val="20"/>
        </w:rPr>
        <w:t xml:space="preserve">, but investments with similar returns exhibit different risk too. </w:t>
      </w:r>
    </w:p>
    <w:p w14:paraId="79648F47" w14:textId="1DFBE560" w:rsidR="007D1DE6" w:rsidRPr="004E1F3E" w:rsidRDefault="000B51DF" w:rsidP="00146224">
      <w:pPr>
        <w:rPr>
          <w:szCs w:val="20"/>
        </w:rPr>
      </w:pPr>
      <w:r w:rsidRPr="004E1F3E">
        <w:rPr>
          <w:szCs w:val="20"/>
        </w:rPr>
        <w:t>Managing the volatility in</w:t>
      </w:r>
      <w:r w:rsidR="00AC0BA7">
        <w:rPr>
          <w:szCs w:val="20"/>
        </w:rPr>
        <w:t xml:space="preserve"> a</w:t>
      </w:r>
      <w:r w:rsidRPr="004E1F3E">
        <w:rPr>
          <w:szCs w:val="20"/>
        </w:rPr>
        <w:t xml:space="preserve"> business over time is a </w:t>
      </w:r>
      <w:r w:rsidR="006B23C5">
        <w:rPr>
          <w:szCs w:val="20"/>
        </w:rPr>
        <w:t>characteristic</w:t>
      </w:r>
      <w:r w:rsidR="006B23C5" w:rsidRPr="004E1F3E">
        <w:rPr>
          <w:szCs w:val="20"/>
        </w:rPr>
        <w:t xml:space="preserve"> </w:t>
      </w:r>
      <w:r w:rsidRPr="004E1F3E">
        <w:rPr>
          <w:szCs w:val="20"/>
        </w:rPr>
        <w:t>of g</w:t>
      </w:r>
      <w:r w:rsidR="008A2AE3" w:rsidRPr="004E1F3E">
        <w:rPr>
          <w:szCs w:val="20"/>
        </w:rPr>
        <w:t xml:space="preserve">ood farm </w:t>
      </w:r>
      <w:r w:rsidR="00AF16B4">
        <w:rPr>
          <w:szCs w:val="20"/>
        </w:rPr>
        <w:t>managers</w:t>
      </w:r>
      <w:r w:rsidR="005A4D75" w:rsidRPr="004E1F3E">
        <w:rPr>
          <w:szCs w:val="20"/>
        </w:rPr>
        <w:t xml:space="preserve">. They </w:t>
      </w:r>
      <w:r w:rsidR="009E3531" w:rsidRPr="004E1F3E">
        <w:rPr>
          <w:szCs w:val="20"/>
        </w:rPr>
        <w:t xml:space="preserve">will </w:t>
      </w:r>
      <w:r w:rsidR="00CD33D3" w:rsidRPr="004E1F3E">
        <w:rPr>
          <w:szCs w:val="20"/>
        </w:rPr>
        <w:t>structure their business so the risk-return mix suits the</w:t>
      </w:r>
      <w:r w:rsidR="00AF16B4">
        <w:rPr>
          <w:szCs w:val="20"/>
        </w:rPr>
        <w:t>ir</w:t>
      </w:r>
      <w:r w:rsidR="00CD33D3" w:rsidRPr="004E1F3E">
        <w:rPr>
          <w:szCs w:val="20"/>
        </w:rPr>
        <w:t xml:space="preserve"> business goals and objectives. </w:t>
      </w:r>
    </w:p>
    <w:p w14:paraId="63E2EBA1" w14:textId="77777777" w:rsidR="00227B8D" w:rsidRDefault="00E71BA1" w:rsidP="000A6AD7">
      <w:pPr>
        <w:pStyle w:val="Caption"/>
      </w:pPr>
      <w:r w:rsidRPr="00C4563C">
        <w:rPr>
          <w:noProof/>
        </w:rPr>
        <w:lastRenderedPageBreak/>
        <w:drawing>
          <wp:inline distT="0" distB="0" distL="0" distR="0" wp14:anchorId="0E256544" wp14:editId="775A890C">
            <wp:extent cx="3538855" cy="2476500"/>
            <wp:effectExtent l="0" t="0" r="4445" b="0"/>
            <wp:docPr id="25" name="Picture 25" descr="Average and standard deviation of annual returns from various investments (2017–18 to 2021–22) shown as a scatte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verage and standard deviation of annual returns from various investments (2017–18 to 2021–22) shown as a scatter grap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53789" cy="2486951"/>
                    </a:xfrm>
                    <a:prstGeom prst="rect">
                      <a:avLst/>
                    </a:prstGeom>
                    <a:noFill/>
                  </pic:spPr>
                </pic:pic>
              </a:graphicData>
            </a:graphic>
          </wp:inline>
        </w:drawing>
      </w:r>
    </w:p>
    <w:p w14:paraId="30A40EA3" w14:textId="67488353" w:rsidR="00C220D0" w:rsidRPr="00984C01" w:rsidRDefault="00C220D0" w:rsidP="000A6AD7">
      <w:pPr>
        <w:pStyle w:val="Caption"/>
      </w:pPr>
      <w:r>
        <w:t xml:space="preserve">Figure </w:t>
      </w:r>
      <w:fldSimple w:instr=" SEQ Figure \* ARABIC ">
        <w:r w:rsidR="00FC7BFA">
          <w:rPr>
            <w:noProof/>
          </w:rPr>
          <w:t>7</w:t>
        </w:r>
      </w:fldSimple>
      <w:r>
        <w:t xml:space="preserve">. </w:t>
      </w:r>
      <w:r w:rsidR="00D82A07">
        <w:t>Return ver</w:t>
      </w:r>
      <w:r w:rsidR="00AC539E">
        <w:t xml:space="preserve">sus </w:t>
      </w:r>
      <w:r w:rsidR="00C61EE7">
        <w:t>r</w:t>
      </w:r>
      <w:r w:rsidR="00AC539E">
        <w:t xml:space="preserve">isk: </w:t>
      </w:r>
      <w:r w:rsidR="00F019B9">
        <w:t>Average and standard deviation of annual returns from various investments (20</w:t>
      </w:r>
      <w:r w:rsidR="00C278BD">
        <w:t>17</w:t>
      </w:r>
      <w:r w:rsidR="00E05A65">
        <w:t>–</w:t>
      </w:r>
      <w:r w:rsidR="00C278BD">
        <w:t>18</w:t>
      </w:r>
      <w:r w:rsidR="00F019B9">
        <w:t xml:space="preserve"> </w:t>
      </w:r>
      <w:r w:rsidR="00D51C3E">
        <w:t>to</w:t>
      </w:r>
      <w:r w:rsidR="00F019B9">
        <w:t xml:space="preserve"> 20</w:t>
      </w:r>
      <w:r w:rsidR="00C278BD">
        <w:t>21</w:t>
      </w:r>
      <w:r w:rsidR="00E05A65">
        <w:t>–</w:t>
      </w:r>
      <w:r w:rsidR="00C278BD">
        <w:t>22</w:t>
      </w:r>
      <w:r w:rsidR="00F019B9">
        <w:t xml:space="preserve">). </w:t>
      </w:r>
    </w:p>
    <w:p w14:paraId="085802ED" w14:textId="6165126A" w:rsidR="00757CFB" w:rsidRDefault="00757CFB">
      <w:pPr>
        <w:rPr>
          <w:rFonts w:cs="VIC-SemiBold"/>
          <w:b/>
          <w:color w:val="FF0000"/>
          <w:sz w:val="28"/>
          <w:szCs w:val="18"/>
          <w:lang w:val="en-US"/>
        </w:rPr>
      </w:pPr>
    </w:p>
    <w:p w14:paraId="0539A866" w14:textId="77777777" w:rsidR="00BD7CDB" w:rsidRDefault="00BD7CDB">
      <w:pPr>
        <w:rPr>
          <w:rFonts w:cs="VIC-SemiBold"/>
          <w:b/>
          <w:color w:val="FF0000"/>
          <w:sz w:val="28"/>
          <w:szCs w:val="18"/>
          <w:lang w:val="en-US"/>
        </w:rPr>
      </w:pPr>
    </w:p>
    <w:p w14:paraId="620A0DB3" w14:textId="77777777" w:rsidR="001B22CE" w:rsidRDefault="001B22CE">
      <w:pPr>
        <w:rPr>
          <w:rFonts w:cs="VIC-SemiBold"/>
          <w:b/>
          <w:sz w:val="28"/>
          <w:szCs w:val="18"/>
          <w:lang w:val="en-US"/>
        </w:rPr>
      </w:pPr>
      <w:r>
        <w:br w:type="page"/>
      </w:r>
    </w:p>
    <w:p w14:paraId="29D0C0BF" w14:textId="70FAD6A9" w:rsidR="00B96E74" w:rsidRPr="0064154B" w:rsidRDefault="00002085" w:rsidP="00681A15">
      <w:pPr>
        <w:pStyle w:val="Heading2"/>
        <w:rPr>
          <w:bCs/>
        </w:rPr>
      </w:pPr>
      <w:r w:rsidRPr="0064154B">
        <w:rPr>
          <w:bCs/>
        </w:rPr>
        <w:lastRenderedPageBreak/>
        <w:t>Gippsland</w:t>
      </w:r>
      <w:r w:rsidR="00794343" w:rsidRPr="0064154B">
        <w:rPr>
          <w:bCs/>
        </w:rPr>
        <w:t xml:space="preserve"> </w:t>
      </w:r>
    </w:p>
    <w:p w14:paraId="06575F1E" w14:textId="38E88117" w:rsidR="00B96E74" w:rsidRPr="002968F6" w:rsidRDefault="00B96E74" w:rsidP="002968F6">
      <w:pPr>
        <w:pStyle w:val="Heading3"/>
        <w:rPr>
          <w:b/>
          <w:bCs/>
        </w:rPr>
      </w:pPr>
      <w:r w:rsidRPr="002968F6">
        <w:rPr>
          <w:b/>
          <w:bCs/>
        </w:rPr>
        <w:t xml:space="preserve">Price </w:t>
      </w:r>
      <w:proofErr w:type="spellStart"/>
      <w:r w:rsidR="00074500">
        <w:rPr>
          <w:b/>
          <w:bCs/>
        </w:rPr>
        <w:t>r</w:t>
      </w:r>
      <w:r w:rsidRPr="002968F6">
        <w:rPr>
          <w:b/>
          <w:bCs/>
        </w:rPr>
        <w:t>ecieved</w:t>
      </w:r>
      <w:proofErr w:type="spellEnd"/>
    </w:p>
    <w:p w14:paraId="5509C426" w14:textId="52E40D85" w:rsidR="00432F7D" w:rsidRDefault="009C49E4" w:rsidP="001943A8">
      <w:pPr>
        <w:rPr>
          <w:color w:val="FF0000"/>
          <w:szCs w:val="20"/>
        </w:rPr>
      </w:pPr>
      <w:r>
        <w:rPr>
          <w:noProof/>
          <w:color w:val="FF0000"/>
          <w:szCs w:val="20"/>
        </w:rPr>
        <w:drawing>
          <wp:inline distT="0" distB="0" distL="0" distR="0" wp14:anchorId="11E77D56" wp14:editId="3AB40257">
            <wp:extent cx="2476500" cy="1703599"/>
            <wp:effectExtent l="0" t="0" r="0" b="0"/>
            <wp:docPr id="30" name="Picture 30" descr="Gippsland enterprise mix (proportion of cash income) shown as a pie graph. Data in the app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ippsland enterprise mix (proportion of cash income) shown as a pie graph. Data in the appendix"/>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9026" cy="1705337"/>
                    </a:xfrm>
                    <a:prstGeom prst="rect">
                      <a:avLst/>
                    </a:prstGeom>
                    <a:noFill/>
                  </pic:spPr>
                </pic:pic>
              </a:graphicData>
            </a:graphic>
          </wp:inline>
        </w:drawing>
      </w:r>
    </w:p>
    <w:p w14:paraId="7C012171" w14:textId="5DC4F00F" w:rsidR="009C49E4" w:rsidRDefault="00B95883" w:rsidP="009C49E4">
      <w:pPr>
        <w:pStyle w:val="Caption"/>
        <w:rPr>
          <w:color w:val="FF0000"/>
        </w:rPr>
      </w:pPr>
      <w:r>
        <w:t xml:space="preserve">Figure </w:t>
      </w:r>
      <w:fldSimple w:instr=" SEQ Figure \* ARABIC ">
        <w:r w:rsidR="00FC7BFA">
          <w:rPr>
            <w:noProof/>
          </w:rPr>
          <w:t>8</w:t>
        </w:r>
      </w:fldSimple>
      <w:r>
        <w:t>.</w:t>
      </w:r>
      <w:r w:rsidR="00AF4F9E">
        <w:t xml:space="preserve"> </w:t>
      </w:r>
      <w:r w:rsidR="009C49E4">
        <w:t>Gippsland</w:t>
      </w:r>
      <w:r w:rsidR="009C49E4" w:rsidRPr="0013594D">
        <w:t xml:space="preserve"> enterprise mix</w:t>
      </w:r>
      <w:r w:rsidR="009C49E4">
        <w:t xml:space="preserve"> (proportion of cash income)</w:t>
      </w:r>
    </w:p>
    <w:p w14:paraId="2247E11F" w14:textId="39E340FC" w:rsidR="00EA6E61" w:rsidRPr="007D6123" w:rsidRDefault="00EF3B87" w:rsidP="00EA6E61">
      <w:pPr>
        <w:rPr>
          <w:szCs w:val="20"/>
        </w:rPr>
      </w:pPr>
      <w:r>
        <w:rPr>
          <w:szCs w:val="20"/>
        </w:rPr>
        <w:t>B</w:t>
      </w:r>
      <w:r w:rsidR="00EA6E61" w:rsidRPr="007D6123">
        <w:rPr>
          <w:szCs w:val="20"/>
        </w:rPr>
        <w:t xml:space="preserve">eef </w:t>
      </w:r>
      <w:r w:rsidR="00676837">
        <w:rPr>
          <w:szCs w:val="20"/>
        </w:rPr>
        <w:t>was</w:t>
      </w:r>
      <w:r w:rsidR="00EA6E61" w:rsidRPr="007D6123">
        <w:rPr>
          <w:szCs w:val="20"/>
        </w:rPr>
        <w:t xml:space="preserve"> the dominant enterprise of the</w:t>
      </w:r>
      <w:r w:rsidR="003416D7">
        <w:rPr>
          <w:szCs w:val="20"/>
        </w:rPr>
        <w:t xml:space="preserve"> Gippsland</w:t>
      </w:r>
      <w:r w:rsidR="00EA6E61" w:rsidRPr="007D6123">
        <w:rPr>
          <w:szCs w:val="20"/>
        </w:rPr>
        <w:t xml:space="preserve"> region</w:t>
      </w:r>
      <w:r w:rsidR="008E1CBF">
        <w:rPr>
          <w:szCs w:val="20"/>
        </w:rPr>
        <w:t xml:space="preserve"> (Figure 8)</w:t>
      </w:r>
      <w:r w:rsidR="00B2451E">
        <w:rPr>
          <w:szCs w:val="20"/>
        </w:rPr>
        <w:t>. M</w:t>
      </w:r>
      <w:r w:rsidR="00BB1E41" w:rsidRPr="00BB1E41">
        <w:rPr>
          <w:szCs w:val="20"/>
        </w:rPr>
        <w:t>any participant farms were well</w:t>
      </w:r>
      <w:r w:rsidR="00850876">
        <w:rPr>
          <w:szCs w:val="20"/>
        </w:rPr>
        <w:t>-</w:t>
      </w:r>
      <w:r w:rsidR="00BB1E41" w:rsidRPr="00BB1E41">
        <w:rPr>
          <w:szCs w:val="20"/>
        </w:rPr>
        <w:t xml:space="preserve">placed to take advantage of the </w:t>
      </w:r>
      <w:r w:rsidR="00805ACC">
        <w:rPr>
          <w:szCs w:val="20"/>
        </w:rPr>
        <w:t>strong</w:t>
      </w:r>
      <w:r w:rsidR="009E00FE">
        <w:rPr>
          <w:szCs w:val="20"/>
        </w:rPr>
        <w:t xml:space="preserve"> </w:t>
      </w:r>
      <w:r w:rsidR="00BB1E41" w:rsidRPr="00BB1E41">
        <w:rPr>
          <w:szCs w:val="20"/>
        </w:rPr>
        <w:t>beef prices</w:t>
      </w:r>
      <w:r w:rsidR="00345E92">
        <w:rPr>
          <w:szCs w:val="20"/>
        </w:rPr>
        <w:t xml:space="preserve">. As a result, </w:t>
      </w:r>
      <w:r w:rsidR="007478AD">
        <w:rPr>
          <w:szCs w:val="20"/>
        </w:rPr>
        <w:t>regional</w:t>
      </w:r>
      <w:r w:rsidR="00BB1E41" w:rsidRPr="00BB1E41">
        <w:rPr>
          <w:szCs w:val="20"/>
        </w:rPr>
        <w:t xml:space="preserve"> gross farm income </w:t>
      </w:r>
      <w:r w:rsidR="00345E92">
        <w:rPr>
          <w:szCs w:val="20"/>
        </w:rPr>
        <w:t xml:space="preserve">was the highest </w:t>
      </w:r>
      <w:r w:rsidR="00B2451E">
        <w:rPr>
          <w:szCs w:val="20"/>
        </w:rPr>
        <w:t>recorded</w:t>
      </w:r>
      <w:r w:rsidR="00BB1E41" w:rsidRPr="00BB1E41">
        <w:rPr>
          <w:szCs w:val="20"/>
        </w:rPr>
        <w:t xml:space="preserve"> i</w:t>
      </w:r>
      <w:r w:rsidR="007478AD">
        <w:rPr>
          <w:szCs w:val="20"/>
        </w:rPr>
        <w:t>n 18 years</w:t>
      </w:r>
      <w:r w:rsidR="00BB1E41" w:rsidRPr="00BB1E41">
        <w:rPr>
          <w:szCs w:val="20"/>
        </w:rPr>
        <w:t xml:space="preserve"> (Appendix D12).</w:t>
      </w:r>
      <w:r w:rsidR="008E6507">
        <w:rPr>
          <w:szCs w:val="20"/>
        </w:rPr>
        <w:t xml:space="preserve"> </w:t>
      </w:r>
      <w:r w:rsidR="00F563AB">
        <w:rPr>
          <w:szCs w:val="20"/>
        </w:rPr>
        <w:t xml:space="preserve">High beef prices offset the decreased beef production which dropped below the regional </w:t>
      </w:r>
      <w:r w:rsidR="00345E92">
        <w:rPr>
          <w:szCs w:val="20"/>
        </w:rPr>
        <w:t>three</w:t>
      </w:r>
      <w:r w:rsidR="00F563AB">
        <w:rPr>
          <w:szCs w:val="20"/>
        </w:rPr>
        <w:t>-year average</w:t>
      </w:r>
      <w:r w:rsidR="00311645">
        <w:rPr>
          <w:szCs w:val="20"/>
        </w:rPr>
        <w:t>.</w:t>
      </w:r>
    </w:p>
    <w:p w14:paraId="6B63B90C" w14:textId="6A5197E1" w:rsidR="00EA6E61" w:rsidRPr="00D44F98" w:rsidRDefault="00EA6E61" w:rsidP="00FA7E68">
      <w:pPr>
        <w:pStyle w:val="Heading3"/>
        <w:rPr>
          <w:b/>
          <w:bCs/>
          <w:lang w:val="fr-FR"/>
        </w:rPr>
      </w:pPr>
      <w:proofErr w:type="gramStart"/>
      <w:r w:rsidRPr="00D44F98">
        <w:rPr>
          <w:b/>
          <w:bCs/>
          <w:lang w:val="fr-FR"/>
        </w:rPr>
        <w:t>Fertiliser:</w:t>
      </w:r>
      <w:proofErr w:type="gramEnd"/>
      <w:r w:rsidRPr="00D44F98">
        <w:rPr>
          <w:b/>
          <w:bCs/>
          <w:lang w:val="fr-FR"/>
        </w:rPr>
        <w:t xml:space="preserve"> </w:t>
      </w:r>
    </w:p>
    <w:p w14:paraId="54B233BF" w14:textId="77777777" w:rsidR="00A80E31" w:rsidRPr="00D44F98" w:rsidRDefault="00A80E31" w:rsidP="00EA6E61">
      <w:pPr>
        <w:rPr>
          <w:szCs w:val="20"/>
          <w:lang w:val="fr-FR"/>
        </w:rPr>
      </w:pPr>
    </w:p>
    <w:p w14:paraId="0165D50C" w14:textId="0926B6B3" w:rsidR="001D55E5" w:rsidRDefault="001D55E5" w:rsidP="002F2AC7">
      <w:pPr>
        <w:rPr>
          <w:szCs w:val="20"/>
        </w:rPr>
      </w:pPr>
      <w:r>
        <w:rPr>
          <w:noProof/>
          <w:color w:val="FF0000"/>
          <w:szCs w:val="20"/>
        </w:rPr>
        <w:drawing>
          <wp:inline distT="0" distB="0" distL="0" distR="0" wp14:anchorId="2D423935" wp14:editId="4D3E90E2">
            <wp:extent cx="2705100" cy="1473388"/>
            <wp:effectExtent l="0" t="0" r="0" b="0"/>
            <wp:docPr id="196" name="Picture 196" descr="Average cost of fertiliser applied to pasture over time shown as a lin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Average cost of fertiliser applied to pasture over time shown as a line graph."/>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11694" cy="1476979"/>
                    </a:xfrm>
                    <a:prstGeom prst="rect">
                      <a:avLst/>
                    </a:prstGeom>
                    <a:noFill/>
                  </pic:spPr>
                </pic:pic>
              </a:graphicData>
            </a:graphic>
          </wp:inline>
        </w:drawing>
      </w:r>
    </w:p>
    <w:p w14:paraId="53691E2A" w14:textId="5BEBCEB6" w:rsidR="00576EF0" w:rsidRPr="00576EF0" w:rsidRDefault="001D55E5" w:rsidP="00A80E31">
      <w:pPr>
        <w:pStyle w:val="Caption"/>
      </w:pPr>
      <w:r w:rsidRPr="000A6AD7">
        <w:t xml:space="preserve">Figure </w:t>
      </w:r>
      <w:fldSimple w:instr=" SEQ Figure \* ARABIC ">
        <w:r w:rsidRPr="000A6AD7">
          <w:t>9</w:t>
        </w:r>
      </w:fldSimple>
      <w:r w:rsidRPr="000A6AD7">
        <w:t>. Average cost of fertiliser applied to pasture over time</w:t>
      </w:r>
    </w:p>
    <w:p w14:paraId="636FFBED" w14:textId="6B25C626" w:rsidR="004349B5" w:rsidRDefault="00576EF0" w:rsidP="002F2AC7">
      <w:pPr>
        <w:rPr>
          <w:szCs w:val="20"/>
        </w:rPr>
      </w:pPr>
      <w:r w:rsidRPr="00283270">
        <w:rPr>
          <w:szCs w:val="20"/>
        </w:rPr>
        <w:t xml:space="preserve">Consistent with the trend </w:t>
      </w:r>
      <w:r w:rsidR="00E1050D">
        <w:rPr>
          <w:szCs w:val="20"/>
        </w:rPr>
        <w:t>observed in the other regions</w:t>
      </w:r>
      <w:r w:rsidRPr="00283270">
        <w:rPr>
          <w:szCs w:val="20"/>
        </w:rPr>
        <w:t xml:space="preserve">, fertiliser was the largest cost item on Gippsland farms. </w:t>
      </w:r>
      <w:r>
        <w:rPr>
          <w:szCs w:val="20"/>
        </w:rPr>
        <w:t xml:space="preserve">Gippsland was subject to the significant </w:t>
      </w:r>
      <w:r w:rsidR="009136FB">
        <w:rPr>
          <w:szCs w:val="20"/>
        </w:rPr>
        <w:t xml:space="preserve">unit </w:t>
      </w:r>
      <w:r>
        <w:rPr>
          <w:szCs w:val="20"/>
        </w:rPr>
        <w:t xml:space="preserve">price increase of all </w:t>
      </w:r>
      <w:proofErr w:type="gramStart"/>
      <w:r>
        <w:rPr>
          <w:szCs w:val="20"/>
        </w:rPr>
        <w:t>fertiliser</w:t>
      </w:r>
      <w:proofErr w:type="gramEnd"/>
      <w:r>
        <w:rPr>
          <w:szCs w:val="20"/>
        </w:rPr>
        <w:t xml:space="preserve"> experienced across the state</w:t>
      </w:r>
      <w:r w:rsidR="009136FB">
        <w:rPr>
          <w:szCs w:val="20"/>
        </w:rPr>
        <w:t>.</w:t>
      </w:r>
      <w:r w:rsidR="0067446C">
        <w:rPr>
          <w:szCs w:val="20"/>
        </w:rPr>
        <w:t xml:space="preserve"> </w:t>
      </w:r>
      <w:r w:rsidR="007534D9">
        <w:rPr>
          <w:szCs w:val="20"/>
        </w:rPr>
        <w:t>A</w:t>
      </w:r>
      <w:r w:rsidR="0067446C">
        <w:rPr>
          <w:szCs w:val="20"/>
        </w:rPr>
        <w:t xml:space="preserve">dditional freight costs to the region meant that </w:t>
      </w:r>
      <w:r w:rsidRPr="00D97FD7">
        <w:rPr>
          <w:szCs w:val="20"/>
        </w:rPr>
        <w:t>Gippsland farm</w:t>
      </w:r>
      <w:r w:rsidR="007B46D7">
        <w:rPr>
          <w:szCs w:val="20"/>
        </w:rPr>
        <w:t>er</w:t>
      </w:r>
      <w:r w:rsidRPr="00D97FD7">
        <w:rPr>
          <w:szCs w:val="20"/>
        </w:rPr>
        <w:t xml:space="preserve">s paid more per unit of fertiliser </w:t>
      </w:r>
      <w:r>
        <w:rPr>
          <w:szCs w:val="20"/>
        </w:rPr>
        <w:t>than the</w:t>
      </w:r>
      <w:r w:rsidR="007534D9">
        <w:rPr>
          <w:szCs w:val="20"/>
        </w:rPr>
        <w:t xml:space="preserve">ir </w:t>
      </w:r>
      <w:r w:rsidR="00824137">
        <w:rPr>
          <w:szCs w:val="20"/>
        </w:rPr>
        <w:t>n</w:t>
      </w:r>
      <w:r>
        <w:rPr>
          <w:szCs w:val="20"/>
        </w:rPr>
        <w:t>orth</w:t>
      </w:r>
      <w:r w:rsidR="003778A7">
        <w:rPr>
          <w:szCs w:val="20"/>
        </w:rPr>
        <w:t>ern</w:t>
      </w:r>
      <w:r>
        <w:rPr>
          <w:szCs w:val="20"/>
        </w:rPr>
        <w:t xml:space="preserve"> and </w:t>
      </w:r>
      <w:r w:rsidR="00824137">
        <w:rPr>
          <w:szCs w:val="20"/>
        </w:rPr>
        <w:t>s</w:t>
      </w:r>
      <w:r w:rsidR="00FE1F06">
        <w:rPr>
          <w:szCs w:val="20"/>
        </w:rPr>
        <w:t xml:space="preserve">outh </w:t>
      </w:r>
      <w:r w:rsidR="00824137">
        <w:rPr>
          <w:szCs w:val="20"/>
        </w:rPr>
        <w:t>w</w:t>
      </w:r>
      <w:r w:rsidR="00FE1F06">
        <w:rPr>
          <w:szCs w:val="20"/>
        </w:rPr>
        <w:t>est</w:t>
      </w:r>
      <w:r>
        <w:rPr>
          <w:szCs w:val="20"/>
        </w:rPr>
        <w:t xml:space="preserve"> </w:t>
      </w:r>
      <w:r w:rsidR="007534D9">
        <w:rPr>
          <w:szCs w:val="20"/>
        </w:rPr>
        <w:t>counterparts</w:t>
      </w:r>
      <w:r>
        <w:rPr>
          <w:szCs w:val="20"/>
        </w:rPr>
        <w:t xml:space="preserve">. </w:t>
      </w:r>
    </w:p>
    <w:p w14:paraId="42851783" w14:textId="07824910" w:rsidR="00576EF0" w:rsidRDefault="00576EF0" w:rsidP="002F2AC7">
      <w:pPr>
        <w:rPr>
          <w:szCs w:val="20"/>
        </w:rPr>
      </w:pPr>
      <w:r>
        <w:rPr>
          <w:szCs w:val="20"/>
        </w:rPr>
        <w:t xml:space="preserve">Decreases in regional phosphorus and nitrogen application rates helped offset the high fertiliser prices. </w:t>
      </w:r>
      <w:r w:rsidR="003F3206">
        <w:rPr>
          <w:szCs w:val="20"/>
        </w:rPr>
        <w:t xml:space="preserve">High fertiliser prices and </w:t>
      </w:r>
      <w:r w:rsidR="007D068D">
        <w:rPr>
          <w:szCs w:val="20"/>
        </w:rPr>
        <w:t xml:space="preserve">very </w:t>
      </w:r>
      <w:r w:rsidR="00E763DB">
        <w:rPr>
          <w:szCs w:val="20"/>
        </w:rPr>
        <w:t>wet conditions resulted in</w:t>
      </w:r>
      <w:r w:rsidR="007D068D">
        <w:rPr>
          <w:szCs w:val="20"/>
        </w:rPr>
        <w:t xml:space="preserve"> the largest proportion of farms </w:t>
      </w:r>
      <w:r w:rsidR="003A2A8E">
        <w:rPr>
          <w:szCs w:val="20"/>
        </w:rPr>
        <w:t xml:space="preserve">not applying any fertiliser in </w:t>
      </w:r>
      <w:r w:rsidR="00DD6D09">
        <w:rPr>
          <w:szCs w:val="20"/>
        </w:rPr>
        <w:t>four</w:t>
      </w:r>
      <w:r w:rsidR="003A2A8E">
        <w:rPr>
          <w:szCs w:val="20"/>
        </w:rPr>
        <w:t xml:space="preserve"> years</w:t>
      </w:r>
      <w:r w:rsidR="00723E57">
        <w:rPr>
          <w:szCs w:val="20"/>
        </w:rPr>
        <w:t xml:space="preserve"> (Figure 10)</w:t>
      </w:r>
      <w:r w:rsidR="003A2A8E">
        <w:rPr>
          <w:szCs w:val="20"/>
        </w:rPr>
        <w:t xml:space="preserve">. </w:t>
      </w:r>
      <w:r w:rsidR="00C83EB2">
        <w:rPr>
          <w:szCs w:val="20"/>
        </w:rPr>
        <w:t xml:space="preserve"> </w:t>
      </w:r>
      <w:r w:rsidR="00F54C8D">
        <w:rPr>
          <w:szCs w:val="20"/>
        </w:rPr>
        <w:t xml:space="preserve">Despite </w:t>
      </w:r>
      <w:r w:rsidR="00C83EB2">
        <w:rPr>
          <w:szCs w:val="20"/>
        </w:rPr>
        <w:t>the decreased application rate, e</w:t>
      </w:r>
      <w:r w:rsidR="00723E57" w:rsidRPr="00F97824">
        <w:rPr>
          <w:szCs w:val="20"/>
        </w:rPr>
        <w:t>xpenditure on fertiliser</w:t>
      </w:r>
      <w:r w:rsidR="00723E57">
        <w:rPr>
          <w:szCs w:val="20"/>
        </w:rPr>
        <w:t xml:space="preserve"> </w:t>
      </w:r>
      <w:r w:rsidR="00723E57" w:rsidRPr="00F97824">
        <w:rPr>
          <w:szCs w:val="20"/>
        </w:rPr>
        <w:t xml:space="preserve">was the highest </w:t>
      </w:r>
      <w:r w:rsidR="00723E57">
        <w:rPr>
          <w:szCs w:val="20"/>
        </w:rPr>
        <w:t xml:space="preserve">recorded </w:t>
      </w:r>
      <w:r w:rsidR="00723E57" w:rsidRPr="00F97824">
        <w:rPr>
          <w:szCs w:val="20"/>
        </w:rPr>
        <w:t xml:space="preserve">in </w:t>
      </w:r>
      <w:r w:rsidR="00723E57">
        <w:rPr>
          <w:szCs w:val="20"/>
        </w:rPr>
        <w:t>the past decade</w:t>
      </w:r>
      <w:r w:rsidR="00723E57" w:rsidRPr="00F97824">
        <w:rPr>
          <w:szCs w:val="20"/>
        </w:rPr>
        <w:t xml:space="preserve"> (Figure </w:t>
      </w:r>
      <w:r w:rsidR="00C83EB2">
        <w:rPr>
          <w:szCs w:val="20"/>
        </w:rPr>
        <w:t>10</w:t>
      </w:r>
      <w:r w:rsidR="00723E57" w:rsidRPr="00F97824">
        <w:rPr>
          <w:szCs w:val="20"/>
        </w:rPr>
        <w:t>)</w:t>
      </w:r>
      <w:r w:rsidR="00C83EB2">
        <w:rPr>
          <w:szCs w:val="20"/>
        </w:rPr>
        <w:t>.</w:t>
      </w:r>
      <w:r w:rsidR="00723E57">
        <w:rPr>
          <w:color w:val="FF0000"/>
          <w:szCs w:val="20"/>
        </w:rPr>
        <w:t xml:space="preserve">  </w:t>
      </w:r>
    </w:p>
    <w:p w14:paraId="18468240" w14:textId="259E62DB" w:rsidR="001D55E5" w:rsidRDefault="001D55E5" w:rsidP="002F2AC7">
      <w:pPr>
        <w:rPr>
          <w:szCs w:val="20"/>
        </w:rPr>
      </w:pPr>
      <w:r>
        <w:rPr>
          <w:b/>
          <w:bCs/>
          <w:noProof/>
          <w:szCs w:val="20"/>
        </w:rPr>
        <w:lastRenderedPageBreak/>
        <w:drawing>
          <wp:inline distT="0" distB="0" distL="0" distR="0" wp14:anchorId="5BA8D0B8" wp14:editId="65130AB8">
            <wp:extent cx="2640965" cy="1618615"/>
            <wp:effectExtent l="0" t="0" r="6985" b="635"/>
            <wp:docPr id="209" name="Picture 209" descr="Proportion of farms that applied zero fertiliser (2018–19 to 2021–22) shown as a column graph. Data in app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Proportion of farms that applied zero fertiliser (2018–19 to 2021–22) shown as a column graph. Data in appendi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40965" cy="1618615"/>
                    </a:xfrm>
                    <a:prstGeom prst="rect">
                      <a:avLst/>
                    </a:prstGeom>
                    <a:noFill/>
                  </pic:spPr>
                </pic:pic>
              </a:graphicData>
            </a:graphic>
          </wp:inline>
        </w:drawing>
      </w:r>
    </w:p>
    <w:p w14:paraId="64574622" w14:textId="74A19AD5" w:rsidR="001D55E5" w:rsidRPr="000A6AD7" w:rsidRDefault="001D55E5" w:rsidP="000A6AD7">
      <w:pPr>
        <w:pStyle w:val="Caption"/>
      </w:pPr>
      <w:r w:rsidRPr="000A6AD7">
        <w:t xml:space="preserve">Figure </w:t>
      </w:r>
      <w:fldSimple w:instr=" SEQ Figure \* ARABIC ">
        <w:r w:rsidRPr="000A6AD7">
          <w:t>10</w:t>
        </w:r>
      </w:fldSimple>
      <w:r w:rsidRPr="000A6AD7">
        <w:t>. Proportion of farms that applied zero fertiliser (2018</w:t>
      </w:r>
      <w:r w:rsidR="000E0698">
        <w:t>–</w:t>
      </w:r>
      <w:r w:rsidRPr="000A6AD7">
        <w:t>19 to 2021</w:t>
      </w:r>
      <w:r w:rsidR="000E0698">
        <w:t>–</w:t>
      </w:r>
      <w:r w:rsidRPr="000A6AD7">
        <w:t>22)</w:t>
      </w:r>
    </w:p>
    <w:p w14:paraId="411844AF" w14:textId="77777777" w:rsidR="001D55E5" w:rsidRDefault="001D55E5" w:rsidP="002F2AC7">
      <w:pPr>
        <w:rPr>
          <w:szCs w:val="20"/>
        </w:rPr>
      </w:pPr>
    </w:p>
    <w:p w14:paraId="36B732CC" w14:textId="2C39AB41" w:rsidR="00B96E74" w:rsidRPr="00FA7E68" w:rsidRDefault="00B96E74" w:rsidP="00FA7E68">
      <w:pPr>
        <w:pStyle w:val="Heading3"/>
        <w:rPr>
          <w:b/>
          <w:bCs/>
        </w:rPr>
      </w:pPr>
      <w:r w:rsidRPr="00FA7E68">
        <w:rPr>
          <w:b/>
          <w:bCs/>
        </w:rPr>
        <w:t xml:space="preserve">Gross </w:t>
      </w:r>
      <w:r w:rsidR="00074500">
        <w:rPr>
          <w:b/>
          <w:bCs/>
        </w:rPr>
        <w:t>m</w:t>
      </w:r>
      <w:r w:rsidRPr="00FA7E68">
        <w:rPr>
          <w:b/>
          <w:bCs/>
        </w:rPr>
        <w:t>argins</w:t>
      </w:r>
    </w:p>
    <w:p w14:paraId="505C66E0" w14:textId="76BDC155" w:rsidR="00EB03AD" w:rsidRDefault="00B96E74">
      <w:pPr>
        <w:rPr>
          <w:szCs w:val="20"/>
        </w:rPr>
      </w:pPr>
      <w:r w:rsidRPr="00D71719">
        <w:rPr>
          <w:szCs w:val="20"/>
        </w:rPr>
        <w:t xml:space="preserve">Beef gross margins </w:t>
      </w:r>
      <w:r w:rsidR="009E3505">
        <w:rPr>
          <w:szCs w:val="20"/>
        </w:rPr>
        <w:t xml:space="preserve">were 19 per cent </w:t>
      </w:r>
      <w:r w:rsidR="009E3505" w:rsidRPr="00942C08">
        <w:rPr>
          <w:szCs w:val="20"/>
        </w:rPr>
        <w:t xml:space="preserve">above </w:t>
      </w:r>
      <w:r w:rsidR="00C4714E" w:rsidRPr="00942C08">
        <w:rPr>
          <w:szCs w:val="20"/>
        </w:rPr>
        <w:t xml:space="preserve">the </w:t>
      </w:r>
      <w:r w:rsidR="00B85A58">
        <w:rPr>
          <w:szCs w:val="20"/>
        </w:rPr>
        <w:t>three</w:t>
      </w:r>
      <w:r w:rsidR="007B0800" w:rsidRPr="00942C08">
        <w:rPr>
          <w:szCs w:val="20"/>
        </w:rPr>
        <w:t xml:space="preserve">-year </w:t>
      </w:r>
      <w:r w:rsidR="00020BB3" w:rsidRPr="00942C08">
        <w:rPr>
          <w:szCs w:val="20"/>
        </w:rPr>
        <w:t xml:space="preserve">average </w:t>
      </w:r>
      <w:r w:rsidR="009E3505" w:rsidRPr="00942C08">
        <w:rPr>
          <w:szCs w:val="20"/>
        </w:rPr>
        <w:t>in 2021</w:t>
      </w:r>
      <w:r w:rsidR="00C32CCD">
        <w:t>–</w:t>
      </w:r>
      <w:r w:rsidR="009E3505" w:rsidRPr="00942C08">
        <w:rPr>
          <w:szCs w:val="20"/>
        </w:rPr>
        <w:t xml:space="preserve">22 due to </w:t>
      </w:r>
      <w:r w:rsidR="00C4714E" w:rsidRPr="00942C08">
        <w:rPr>
          <w:szCs w:val="20"/>
        </w:rPr>
        <w:t xml:space="preserve">high </w:t>
      </w:r>
      <w:r w:rsidRPr="00942C08">
        <w:rPr>
          <w:szCs w:val="20"/>
        </w:rPr>
        <w:t>income</w:t>
      </w:r>
      <w:r w:rsidR="005F61C7" w:rsidRPr="00942C08">
        <w:rPr>
          <w:szCs w:val="20"/>
        </w:rPr>
        <w:t xml:space="preserve"> and </w:t>
      </w:r>
      <w:r w:rsidR="00C4714E" w:rsidRPr="00942C08">
        <w:rPr>
          <w:szCs w:val="20"/>
        </w:rPr>
        <w:t>low</w:t>
      </w:r>
      <w:r w:rsidR="005F61C7" w:rsidRPr="00942C08">
        <w:rPr>
          <w:szCs w:val="20"/>
        </w:rPr>
        <w:t xml:space="preserve"> average </w:t>
      </w:r>
      <w:r w:rsidR="004E1D5D" w:rsidRPr="00942C08">
        <w:rPr>
          <w:szCs w:val="20"/>
        </w:rPr>
        <w:t xml:space="preserve">variable </w:t>
      </w:r>
      <w:r w:rsidR="005F61C7" w:rsidRPr="00942C08">
        <w:rPr>
          <w:szCs w:val="20"/>
        </w:rPr>
        <w:t>costs</w:t>
      </w:r>
      <w:r w:rsidRPr="00942C08">
        <w:rPr>
          <w:szCs w:val="20"/>
        </w:rPr>
        <w:t>.</w:t>
      </w:r>
      <w:r w:rsidR="007B0800" w:rsidRPr="00942C08">
        <w:rPr>
          <w:szCs w:val="20"/>
        </w:rPr>
        <w:t xml:space="preserve"> </w:t>
      </w:r>
    </w:p>
    <w:p w14:paraId="1E98D682" w14:textId="68AEBFB4" w:rsidR="002234D4" w:rsidRPr="00D71719" w:rsidRDefault="00707F33">
      <w:pPr>
        <w:rPr>
          <w:szCs w:val="20"/>
        </w:rPr>
      </w:pPr>
      <w:r w:rsidRPr="00942C08">
        <w:rPr>
          <w:szCs w:val="20"/>
        </w:rPr>
        <w:t xml:space="preserve">The </w:t>
      </w:r>
      <w:r w:rsidR="00F535B3">
        <w:rPr>
          <w:szCs w:val="20"/>
        </w:rPr>
        <w:t xml:space="preserve">shrinking </w:t>
      </w:r>
      <w:r w:rsidR="00ED7D09" w:rsidRPr="00942C08">
        <w:rPr>
          <w:szCs w:val="20"/>
        </w:rPr>
        <w:t>size of</w:t>
      </w:r>
      <w:r w:rsidR="00066C63" w:rsidRPr="00942C08">
        <w:rPr>
          <w:szCs w:val="20"/>
        </w:rPr>
        <w:t xml:space="preserve"> the</w:t>
      </w:r>
      <w:r w:rsidR="00560D67" w:rsidRPr="00942C08">
        <w:rPr>
          <w:szCs w:val="20"/>
        </w:rPr>
        <w:t xml:space="preserve"> Gippsland</w:t>
      </w:r>
      <w:r w:rsidRPr="00942C08">
        <w:rPr>
          <w:szCs w:val="20"/>
        </w:rPr>
        <w:t xml:space="preserve"> </w:t>
      </w:r>
      <w:r w:rsidR="00FD070D">
        <w:rPr>
          <w:szCs w:val="20"/>
        </w:rPr>
        <w:t xml:space="preserve">sheep </w:t>
      </w:r>
      <w:r w:rsidR="00066C63" w:rsidRPr="00942C08">
        <w:rPr>
          <w:szCs w:val="20"/>
        </w:rPr>
        <w:t>flock</w:t>
      </w:r>
      <w:r w:rsidR="00560D67" w:rsidRPr="00942C08">
        <w:rPr>
          <w:szCs w:val="20"/>
        </w:rPr>
        <w:t xml:space="preserve"> was highlighted</w:t>
      </w:r>
      <w:r w:rsidRPr="00942C08">
        <w:rPr>
          <w:szCs w:val="20"/>
        </w:rPr>
        <w:t xml:space="preserve"> </w:t>
      </w:r>
      <w:r w:rsidR="00E938A1" w:rsidRPr="00942C08">
        <w:rPr>
          <w:szCs w:val="20"/>
        </w:rPr>
        <w:t xml:space="preserve">with below </w:t>
      </w:r>
      <w:r w:rsidR="0006010B" w:rsidRPr="00942C08">
        <w:rPr>
          <w:szCs w:val="20"/>
        </w:rPr>
        <w:t>average stocking rate</w:t>
      </w:r>
      <w:r w:rsidR="0019347A" w:rsidRPr="00942C08">
        <w:rPr>
          <w:szCs w:val="20"/>
        </w:rPr>
        <w:t>s</w:t>
      </w:r>
      <w:r w:rsidR="0006010B" w:rsidRPr="00942C08">
        <w:rPr>
          <w:szCs w:val="20"/>
        </w:rPr>
        <w:t xml:space="preserve"> and </w:t>
      </w:r>
      <w:r w:rsidR="00791D37" w:rsidRPr="00942C08">
        <w:rPr>
          <w:szCs w:val="20"/>
        </w:rPr>
        <w:t xml:space="preserve">sales quantity </w:t>
      </w:r>
      <w:r w:rsidR="00E938A1" w:rsidRPr="00942C08">
        <w:rPr>
          <w:szCs w:val="20"/>
        </w:rPr>
        <w:t>in 2021</w:t>
      </w:r>
      <w:r w:rsidR="003112C1">
        <w:t>–</w:t>
      </w:r>
      <w:r w:rsidR="00E938A1" w:rsidRPr="00942C08">
        <w:rPr>
          <w:szCs w:val="20"/>
        </w:rPr>
        <w:t>22. This</w:t>
      </w:r>
      <w:r w:rsidR="00623961" w:rsidRPr="00942C08">
        <w:rPr>
          <w:szCs w:val="20"/>
        </w:rPr>
        <w:t xml:space="preserve"> </w:t>
      </w:r>
      <w:r w:rsidR="0021151F">
        <w:rPr>
          <w:szCs w:val="20"/>
        </w:rPr>
        <w:t>contributed to a 28 per cent reduction</w:t>
      </w:r>
      <w:r w:rsidR="0021151F" w:rsidRPr="00942C08">
        <w:rPr>
          <w:szCs w:val="20"/>
        </w:rPr>
        <w:t xml:space="preserve"> </w:t>
      </w:r>
      <w:r w:rsidR="00813E2D" w:rsidRPr="00942C08">
        <w:rPr>
          <w:szCs w:val="20"/>
        </w:rPr>
        <w:t xml:space="preserve">in </w:t>
      </w:r>
      <w:r w:rsidR="00A901D0" w:rsidRPr="00942C08">
        <w:rPr>
          <w:szCs w:val="20"/>
        </w:rPr>
        <w:t>prime lamb</w:t>
      </w:r>
      <w:r w:rsidR="00813E2D" w:rsidRPr="00942C08">
        <w:rPr>
          <w:szCs w:val="20"/>
        </w:rPr>
        <w:t xml:space="preserve"> gross margin</w:t>
      </w:r>
      <w:r w:rsidR="00881B65" w:rsidRPr="00942C08">
        <w:rPr>
          <w:szCs w:val="20"/>
        </w:rPr>
        <w:t xml:space="preserve"> </w:t>
      </w:r>
      <w:r w:rsidR="005D2F53">
        <w:rPr>
          <w:szCs w:val="20"/>
        </w:rPr>
        <w:t>compared to</w:t>
      </w:r>
      <w:r w:rsidR="00881B65" w:rsidRPr="00942C08">
        <w:rPr>
          <w:szCs w:val="20"/>
        </w:rPr>
        <w:t xml:space="preserve"> </w:t>
      </w:r>
      <w:r w:rsidR="007E13E5">
        <w:rPr>
          <w:szCs w:val="20"/>
        </w:rPr>
        <w:t xml:space="preserve">the </w:t>
      </w:r>
      <w:r w:rsidR="00F7543D">
        <w:rPr>
          <w:szCs w:val="20"/>
        </w:rPr>
        <w:t>three</w:t>
      </w:r>
      <w:r w:rsidR="007E13E5">
        <w:rPr>
          <w:szCs w:val="20"/>
        </w:rPr>
        <w:t xml:space="preserve">-year </w:t>
      </w:r>
      <w:r w:rsidR="00881B65" w:rsidRPr="00942C08">
        <w:rPr>
          <w:szCs w:val="20"/>
        </w:rPr>
        <w:t>average.</w:t>
      </w:r>
    </w:p>
    <w:p w14:paraId="420753EC" w14:textId="2F877832" w:rsidR="002F2AC7" w:rsidRPr="00FA7E68" w:rsidRDefault="00D22517" w:rsidP="00FA7E68">
      <w:pPr>
        <w:pStyle w:val="Heading3"/>
        <w:rPr>
          <w:b/>
          <w:bCs/>
        </w:rPr>
      </w:pPr>
      <w:r w:rsidRPr="00FA7E68">
        <w:rPr>
          <w:b/>
          <w:bCs/>
        </w:rPr>
        <w:t xml:space="preserve">Calving and </w:t>
      </w:r>
      <w:r w:rsidR="00074500">
        <w:rPr>
          <w:b/>
          <w:bCs/>
        </w:rPr>
        <w:t>l</w:t>
      </w:r>
      <w:r w:rsidRPr="00FA7E68">
        <w:rPr>
          <w:b/>
          <w:bCs/>
        </w:rPr>
        <w:t>ambing pattern</w:t>
      </w:r>
    </w:p>
    <w:p w14:paraId="4E8D9975" w14:textId="42F6E5F2" w:rsidR="002F2AC7" w:rsidRDefault="004760C9" w:rsidP="002F2AC7">
      <w:pPr>
        <w:rPr>
          <w:color w:val="FF0000"/>
          <w:szCs w:val="20"/>
        </w:rPr>
      </w:pPr>
      <w:r w:rsidRPr="00FA7E68">
        <w:rPr>
          <w:b/>
          <w:bCs/>
          <w:noProof/>
          <w:color w:val="FF0000"/>
        </w:rPr>
        <w:drawing>
          <wp:inline distT="0" distB="0" distL="0" distR="0" wp14:anchorId="29583CC3" wp14:editId="73C84EF7">
            <wp:extent cx="2789555" cy="1609725"/>
            <wp:effectExtent l="0" t="0" r="0" b="9525"/>
            <wp:docPr id="194" name="Picture 194" descr="2021–22 calving and lambing pattern shown as a lin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2021–22 calving and lambing pattern shown as a line graph"/>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89555" cy="1609725"/>
                    </a:xfrm>
                    <a:prstGeom prst="rect">
                      <a:avLst/>
                    </a:prstGeom>
                    <a:noFill/>
                  </pic:spPr>
                </pic:pic>
              </a:graphicData>
            </a:graphic>
          </wp:inline>
        </w:drawing>
      </w:r>
    </w:p>
    <w:p w14:paraId="2212245F" w14:textId="77777777" w:rsidR="00A23437" w:rsidRDefault="00A23437" w:rsidP="002F2AC7">
      <w:pPr>
        <w:rPr>
          <w:color w:val="FF0000"/>
        </w:rPr>
      </w:pPr>
    </w:p>
    <w:p w14:paraId="44C77937" w14:textId="1BFB8EB9" w:rsidR="00AD0698" w:rsidRPr="000A6AD7" w:rsidRDefault="00EF6EC3" w:rsidP="000A6AD7">
      <w:pPr>
        <w:pStyle w:val="Caption"/>
      </w:pPr>
      <w:r w:rsidRPr="000A6AD7">
        <w:t xml:space="preserve">Figure </w:t>
      </w:r>
      <w:fldSimple w:instr=" SEQ Figure \* ARABIC ">
        <w:r w:rsidR="00FC7BFA" w:rsidRPr="000A6AD7">
          <w:t>11</w:t>
        </w:r>
      </w:fldSimple>
      <w:r w:rsidR="00974212" w:rsidRPr="000A6AD7">
        <w:t>.</w:t>
      </w:r>
      <w:r w:rsidR="000B6FD2" w:rsidRPr="000A6AD7">
        <w:t xml:space="preserve"> </w:t>
      </w:r>
      <w:r w:rsidR="00EF25E3" w:rsidRPr="000A6AD7">
        <w:t>2021</w:t>
      </w:r>
      <w:r w:rsidR="005602E6">
        <w:t>–</w:t>
      </w:r>
      <w:r w:rsidR="00EF25E3" w:rsidRPr="000A6AD7">
        <w:t>22 c</w:t>
      </w:r>
      <w:r w:rsidR="000B6FD2" w:rsidRPr="000A6AD7">
        <w:t>al</w:t>
      </w:r>
      <w:r w:rsidR="00EF25E3" w:rsidRPr="000A6AD7">
        <w:t>ving and lambing pattern</w:t>
      </w:r>
    </w:p>
    <w:p w14:paraId="38DCB144" w14:textId="1C9F0888" w:rsidR="000F06FF" w:rsidRDefault="002F2AC7" w:rsidP="002F2AC7">
      <w:pPr>
        <w:rPr>
          <w:szCs w:val="20"/>
        </w:rPr>
      </w:pPr>
      <w:r w:rsidRPr="00560BD4">
        <w:t xml:space="preserve">July and </w:t>
      </w:r>
      <w:r w:rsidR="004760C9" w:rsidRPr="00560BD4">
        <w:t>August</w:t>
      </w:r>
      <w:r w:rsidRPr="00560BD4">
        <w:t xml:space="preserve"> were the peak months for lambing in sheep enterprises while September was the peak month for calving in beef enterprises. Consequently, spring </w:t>
      </w:r>
      <w:r w:rsidR="00C337F6">
        <w:t xml:space="preserve">2021 </w:t>
      </w:r>
      <w:r w:rsidRPr="00560BD4">
        <w:t xml:space="preserve">represented the months of highest feed demand. </w:t>
      </w:r>
      <w:r w:rsidR="00E56FD3">
        <w:t>On average Gippsland farms</w:t>
      </w:r>
      <w:r w:rsidR="00944C74">
        <w:t xml:space="preserve"> received </w:t>
      </w:r>
      <w:r w:rsidR="00E56FD3">
        <w:t>145</w:t>
      </w:r>
      <w:r w:rsidR="00E073EF">
        <w:t xml:space="preserve"> per cent</w:t>
      </w:r>
      <w:r w:rsidR="00E56FD3">
        <w:t xml:space="preserve"> </w:t>
      </w:r>
      <w:r w:rsidR="003B065D" w:rsidRPr="003B065D">
        <w:t xml:space="preserve">of </w:t>
      </w:r>
      <w:r w:rsidR="00931F0C">
        <w:t xml:space="preserve">their </w:t>
      </w:r>
      <w:r w:rsidR="003B065D" w:rsidRPr="003B065D">
        <w:t>long</w:t>
      </w:r>
      <w:r w:rsidR="00E073EF">
        <w:t>-</w:t>
      </w:r>
      <w:r w:rsidR="003B065D" w:rsidRPr="003B065D">
        <w:t>term average spring rainfall (Appendix C2)</w:t>
      </w:r>
      <w:r w:rsidR="003B065D">
        <w:t xml:space="preserve"> which </w:t>
      </w:r>
      <w:r w:rsidRPr="00560BD4">
        <w:t>left some soils saturated</w:t>
      </w:r>
      <w:r w:rsidR="00560BD4" w:rsidRPr="00560BD4">
        <w:t xml:space="preserve">, </w:t>
      </w:r>
      <w:r w:rsidR="002613A0">
        <w:t>particularly</w:t>
      </w:r>
      <w:r w:rsidR="002613A0" w:rsidRPr="00560BD4">
        <w:t xml:space="preserve"> </w:t>
      </w:r>
      <w:r w:rsidR="00560BD4" w:rsidRPr="00560BD4">
        <w:t>in South and West Gippsland</w:t>
      </w:r>
      <w:r w:rsidR="00AE0FCC">
        <w:t>.</w:t>
      </w:r>
      <w:r w:rsidR="00560BD4" w:rsidRPr="00560BD4">
        <w:t xml:space="preserve"> </w:t>
      </w:r>
      <w:r w:rsidR="00AE0FCC">
        <w:t>We</w:t>
      </w:r>
      <w:r w:rsidR="00E073EF">
        <w:t>t</w:t>
      </w:r>
      <w:r w:rsidR="00AE0FCC">
        <w:t xml:space="preserve"> conditions</w:t>
      </w:r>
      <w:r w:rsidR="00113281">
        <w:t xml:space="preserve"> </w:t>
      </w:r>
      <w:r w:rsidRPr="00560BD4">
        <w:t xml:space="preserve">provided a challenge to harvest pasture for conservation. </w:t>
      </w:r>
      <w:r w:rsidR="00560BD4" w:rsidRPr="008B7955">
        <w:t>Despite the wet conditions,</w:t>
      </w:r>
      <w:r w:rsidR="003C0872">
        <w:t xml:space="preserve"> average</w:t>
      </w:r>
      <w:r w:rsidR="00560BD4" w:rsidRPr="008B7955">
        <w:t xml:space="preserve"> </w:t>
      </w:r>
      <w:r w:rsidRPr="008B7955">
        <w:t xml:space="preserve">quantities of fodder harvested </w:t>
      </w:r>
      <w:r w:rsidR="00560BD4" w:rsidRPr="008B7955">
        <w:t>increased</w:t>
      </w:r>
      <w:r w:rsidR="003A0569">
        <w:t xml:space="preserve"> compared to the previous year</w:t>
      </w:r>
      <w:r w:rsidR="008A180E">
        <w:t xml:space="preserve">. </w:t>
      </w:r>
      <w:r w:rsidR="003A0569">
        <w:t>H</w:t>
      </w:r>
      <w:r w:rsidRPr="008B7955">
        <w:t>ay and silage making costs and</w:t>
      </w:r>
      <w:r w:rsidR="00560BD4" w:rsidRPr="008B7955">
        <w:t xml:space="preserve"> </w:t>
      </w:r>
      <w:r w:rsidRPr="008B7955">
        <w:t>feed inventories</w:t>
      </w:r>
      <w:r w:rsidR="00834F17">
        <w:t xml:space="preserve"> increased as a result</w:t>
      </w:r>
      <w:r w:rsidRPr="008B7955">
        <w:rPr>
          <w:szCs w:val="20"/>
        </w:rPr>
        <w:t xml:space="preserve">. </w:t>
      </w:r>
    </w:p>
    <w:p w14:paraId="75C81BD9" w14:textId="38AE1EC0" w:rsidR="008229B3" w:rsidRDefault="001C43EF" w:rsidP="000F06FF">
      <w:pPr>
        <w:rPr>
          <w:szCs w:val="20"/>
        </w:rPr>
      </w:pPr>
      <w:r>
        <w:rPr>
          <w:szCs w:val="20"/>
        </w:rPr>
        <w:t xml:space="preserve">Grazed pasture made up a larger component of the average animal diet </w:t>
      </w:r>
      <w:r w:rsidR="00076EBE">
        <w:rPr>
          <w:szCs w:val="20"/>
        </w:rPr>
        <w:t>in 2021</w:t>
      </w:r>
      <w:r w:rsidR="00B1620A">
        <w:t>–</w:t>
      </w:r>
      <w:r w:rsidR="00076EBE">
        <w:rPr>
          <w:szCs w:val="20"/>
        </w:rPr>
        <w:t>22. The g</w:t>
      </w:r>
      <w:r w:rsidR="00DB533F">
        <w:rPr>
          <w:szCs w:val="20"/>
        </w:rPr>
        <w:t xml:space="preserve">ood pasture production </w:t>
      </w:r>
      <w:r w:rsidR="009935A5">
        <w:rPr>
          <w:szCs w:val="20"/>
        </w:rPr>
        <w:t xml:space="preserve">also </w:t>
      </w:r>
      <w:r w:rsidR="00DB533F">
        <w:rPr>
          <w:szCs w:val="20"/>
        </w:rPr>
        <w:t xml:space="preserve">reduced </w:t>
      </w:r>
      <w:r w:rsidR="00EB6240">
        <w:rPr>
          <w:szCs w:val="20"/>
        </w:rPr>
        <w:t>supplementary feeding</w:t>
      </w:r>
      <w:r w:rsidR="00076EBE">
        <w:rPr>
          <w:szCs w:val="20"/>
        </w:rPr>
        <w:t xml:space="preserve"> requirements thereby </w:t>
      </w:r>
      <w:r w:rsidR="00454742">
        <w:rPr>
          <w:szCs w:val="20"/>
        </w:rPr>
        <w:t>help</w:t>
      </w:r>
      <w:r w:rsidR="00076EBE">
        <w:rPr>
          <w:szCs w:val="20"/>
        </w:rPr>
        <w:t>ing to</w:t>
      </w:r>
      <w:r w:rsidR="00454742">
        <w:rPr>
          <w:szCs w:val="20"/>
        </w:rPr>
        <w:t xml:space="preserve"> minimise exposure to higher feed prices.</w:t>
      </w:r>
    </w:p>
    <w:p w14:paraId="2170F80A" w14:textId="6AACE20E" w:rsidR="000F06FF" w:rsidRPr="00FA7E68" w:rsidRDefault="000F06FF" w:rsidP="00FA7E68">
      <w:pPr>
        <w:pStyle w:val="Heading3"/>
        <w:rPr>
          <w:b/>
          <w:bCs/>
        </w:rPr>
      </w:pPr>
      <w:r w:rsidRPr="00FA7E68">
        <w:rPr>
          <w:b/>
          <w:bCs/>
        </w:rPr>
        <w:lastRenderedPageBreak/>
        <w:t>Assets</w:t>
      </w:r>
    </w:p>
    <w:p w14:paraId="76046A6E" w14:textId="02879152" w:rsidR="00AD0698" w:rsidRPr="00FE1F9F" w:rsidRDefault="000F06FF" w:rsidP="002F2AC7">
      <w:pPr>
        <w:rPr>
          <w:color w:val="FF0000"/>
          <w:szCs w:val="20"/>
        </w:rPr>
      </w:pPr>
      <w:r w:rsidRPr="00AA5C0A">
        <w:rPr>
          <w:szCs w:val="20"/>
        </w:rPr>
        <w:t>Rising farmland and cattle prices resulted in Gippsland participants managing the highest value</w:t>
      </w:r>
      <w:r w:rsidR="0037762B">
        <w:rPr>
          <w:szCs w:val="20"/>
        </w:rPr>
        <w:t xml:space="preserve"> of</w:t>
      </w:r>
      <w:r w:rsidRPr="00AA5C0A">
        <w:rPr>
          <w:szCs w:val="20"/>
        </w:rPr>
        <w:t xml:space="preserve"> total assets per hectare</w:t>
      </w:r>
      <w:r w:rsidR="0037762B">
        <w:rPr>
          <w:szCs w:val="20"/>
        </w:rPr>
        <w:t xml:space="preserve"> of the LFMP regions</w:t>
      </w:r>
      <w:r w:rsidRPr="00AA5C0A">
        <w:rPr>
          <w:szCs w:val="20"/>
        </w:rPr>
        <w:t>.</w:t>
      </w:r>
      <w:r w:rsidRPr="00F73ED4">
        <w:rPr>
          <w:color w:val="FF0000"/>
        </w:rPr>
        <w:t xml:space="preserve"> </w:t>
      </w:r>
      <w:r w:rsidRPr="00AA5C0A">
        <w:rPr>
          <w:szCs w:val="20"/>
        </w:rPr>
        <w:t xml:space="preserve">Increases in land prices </w:t>
      </w:r>
      <w:r w:rsidR="00C80D96">
        <w:rPr>
          <w:szCs w:val="20"/>
        </w:rPr>
        <w:t>offset</w:t>
      </w:r>
      <w:r w:rsidRPr="00AA5C0A">
        <w:rPr>
          <w:szCs w:val="20"/>
        </w:rPr>
        <w:t xml:space="preserve"> the </w:t>
      </w:r>
      <w:r w:rsidR="00253F8A">
        <w:rPr>
          <w:szCs w:val="20"/>
        </w:rPr>
        <w:t>higher</w:t>
      </w:r>
      <w:r w:rsidRPr="00AA5C0A">
        <w:rPr>
          <w:szCs w:val="20"/>
        </w:rPr>
        <w:t xml:space="preserve"> debt levels </w:t>
      </w:r>
      <w:r w:rsidR="001800C0">
        <w:rPr>
          <w:szCs w:val="20"/>
        </w:rPr>
        <w:t>leading to</w:t>
      </w:r>
      <w:r w:rsidRPr="00AA5C0A">
        <w:rPr>
          <w:szCs w:val="20"/>
        </w:rPr>
        <w:t xml:space="preserve"> an average annual addition to farmers</w:t>
      </w:r>
      <w:r w:rsidR="0091558E">
        <w:rPr>
          <w:szCs w:val="20"/>
        </w:rPr>
        <w:t>’</w:t>
      </w:r>
      <w:r w:rsidRPr="00AA5C0A">
        <w:rPr>
          <w:szCs w:val="20"/>
        </w:rPr>
        <w:t xml:space="preserve"> wealth (equity) of </w:t>
      </w:r>
      <w:r w:rsidRPr="00E75009">
        <w:rPr>
          <w:szCs w:val="20"/>
        </w:rPr>
        <w:t>$</w:t>
      </w:r>
      <w:r w:rsidR="001F37D5" w:rsidRPr="00E75009">
        <w:rPr>
          <w:szCs w:val="20"/>
        </w:rPr>
        <w:t>3,044</w:t>
      </w:r>
      <w:r w:rsidRPr="00E75009">
        <w:rPr>
          <w:szCs w:val="20"/>
        </w:rPr>
        <w:t xml:space="preserve">/ha. </w:t>
      </w:r>
    </w:p>
    <w:p w14:paraId="40C63415" w14:textId="6BC7CC1B" w:rsidR="000F06FF" w:rsidRPr="00FA7E68" w:rsidRDefault="000F06FF" w:rsidP="00FA7E68">
      <w:pPr>
        <w:pStyle w:val="Heading3"/>
        <w:rPr>
          <w:b/>
          <w:bCs/>
          <w:color w:val="FF0000"/>
          <w:szCs w:val="20"/>
        </w:rPr>
      </w:pPr>
      <w:r w:rsidRPr="00FA7E68">
        <w:rPr>
          <w:b/>
          <w:bCs/>
          <w:noProof/>
        </w:rPr>
        <w:t xml:space="preserve">Return on </w:t>
      </w:r>
      <w:r w:rsidR="00074500">
        <w:rPr>
          <w:b/>
          <w:bCs/>
          <w:noProof/>
        </w:rPr>
        <w:t>a</w:t>
      </w:r>
      <w:r w:rsidRPr="00FA7E68">
        <w:rPr>
          <w:b/>
          <w:bCs/>
          <w:noProof/>
        </w:rPr>
        <w:t>ssets</w:t>
      </w:r>
    </w:p>
    <w:p w14:paraId="16E64698" w14:textId="0E1B92A6" w:rsidR="003E790E" w:rsidRDefault="00AD0698" w:rsidP="00752FA4">
      <w:pPr>
        <w:rPr>
          <w:color w:val="FF0000"/>
          <w:szCs w:val="20"/>
        </w:rPr>
      </w:pPr>
      <w:r>
        <w:rPr>
          <w:noProof/>
          <w:color w:val="FF0000"/>
          <w:szCs w:val="20"/>
        </w:rPr>
        <w:drawing>
          <wp:inline distT="0" distB="0" distL="0" distR="0" wp14:anchorId="5B3C84F3" wp14:editId="6471DD8E">
            <wp:extent cx="2759864" cy="1638300"/>
            <wp:effectExtent l="0" t="0" r="2540" b="0"/>
            <wp:docPr id="7" name="Picture 7" descr="Average Gippsland return on assets over time shown as a column graph. Data in the app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verage Gippsland return on assets over time shown as a column graph. Data in the appendix"/>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3650" cy="1652420"/>
                    </a:xfrm>
                    <a:prstGeom prst="rect">
                      <a:avLst/>
                    </a:prstGeom>
                    <a:noFill/>
                  </pic:spPr>
                </pic:pic>
              </a:graphicData>
            </a:graphic>
          </wp:inline>
        </w:drawing>
      </w:r>
    </w:p>
    <w:p w14:paraId="740FE7BA" w14:textId="276B4859" w:rsidR="00702FF7" w:rsidRPr="000A6AD7" w:rsidRDefault="00EF25E3" w:rsidP="000A6AD7">
      <w:pPr>
        <w:pStyle w:val="Caption"/>
      </w:pPr>
      <w:r w:rsidRPr="000A6AD7">
        <w:t xml:space="preserve">Figure </w:t>
      </w:r>
      <w:fldSimple w:instr=" SEQ Figure \* ARABIC ">
        <w:r w:rsidR="00FC7BFA" w:rsidRPr="000A6AD7">
          <w:t>12</w:t>
        </w:r>
      </w:fldSimple>
      <w:r w:rsidRPr="000A6AD7">
        <w:t xml:space="preserve">. Average </w:t>
      </w:r>
      <w:r w:rsidR="00691756">
        <w:t xml:space="preserve">Gippsland </w:t>
      </w:r>
      <w:r w:rsidRPr="000A6AD7">
        <w:t>return on assets over time</w:t>
      </w:r>
    </w:p>
    <w:p w14:paraId="72BB39DD" w14:textId="45A41D39" w:rsidR="00035894" w:rsidRDefault="004C1AED" w:rsidP="00752FA4">
      <w:pPr>
        <w:rPr>
          <w:szCs w:val="20"/>
        </w:rPr>
      </w:pPr>
      <w:r>
        <w:rPr>
          <w:szCs w:val="20"/>
        </w:rPr>
        <w:t xml:space="preserve">Increases in farm profits </w:t>
      </w:r>
      <w:r w:rsidR="00C80D96">
        <w:rPr>
          <w:szCs w:val="20"/>
        </w:rPr>
        <w:t>matched</w:t>
      </w:r>
      <w:r>
        <w:rPr>
          <w:szCs w:val="20"/>
        </w:rPr>
        <w:t xml:space="preserve"> the </w:t>
      </w:r>
      <w:r w:rsidR="00C03064" w:rsidRPr="00AA5C0A">
        <w:rPr>
          <w:szCs w:val="20"/>
        </w:rPr>
        <w:t>increase in the value of total assets managed</w:t>
      </w:r>
      <w:r w:rsidR="003829AA">
        <w:rPr>
          <w:szCs w:val="20"/>
        </w:rPr>
        <w:t>.</w:t>
      </w:r>
      <w:r w:rsidR="00D70903">
        <w:rPr>
          <w:szCs w:val="20"/>
        </w:rPr>
        <w:t xml:space="preserve"> </w:t>
      </w:r>
      <w:r w:rsidR="003829AA">
        <w:rPr>
          <w:szCs w:val="20"/>
        </w:rPr>
        <w:t xml:space="preserve">Therefore </w:t>
      </w:r>
      <w:r w:rsidR="00622B7A" w:rsidRPr="002864A8">
        <w:rPr>
          <w:szCs w:val="20"/>
        </w:rPr>
        <w:t>2021</w:t>
      </w:r>
      <w:r w:rsidR="004D6C50">
        <w:t>–</w:t>
      </w:r>
      <w:r w:rsidR="00622B7A" w:rsidRPr="002864A8">
        <w:rPr>
          <w:szCs w:val="20"/>
        </w:rPr>
        <w:t>22</w:t>
      </w:r>
      <w:r w:rsidR="00622B7A">
        <w:rPr>
          <w:szCs w:val="20"/>
        </w:rPr>
        <w:t xml:space="preserve"> </w:t>
      </w:r>
      <w:r w:rsidR="00622B7A" w:rsidRPr="002864A8">
        <w:rPr>
          <w:szCs w:val="20"/>
        </w:rPr>
        <w:t xml:space="preserve">average </w:t>
      </w:r>
      <w:r w:rsidR="00622B7A">
        <w:rPr>
          <w:szCs w:val="20"/>
        </w:rPr>
        <w:t xml:space="preserve">return on assets </w:t>
      </w:r>
      <w:r w:rsidR="005E0628">
        <w:rPr>
          <w:szCs w:val="20"/>
        </w:rPr>
        <w:t>for</w:t>
      </w:r>
      <w:r w:rsidR="00622B7A" w:rsidRPr="002864A8">
        <w:rPr>
          <w:szCs w:val="20"/>
        </w:rPr>
        <w:t xml:space="preserve"> Gippsland farms remained higher than</w:t>
      </w:r>
      <w:r w:rsidR="00E8416C">
        <w:rPr>
          <w:szCs w:val="20"/>
        </w:rPr>
        <w:t xml:space="preserve"> the 10-year</w:t>
      </w:r>
      <w:r w:rsidR="00622B7A" w:rsidRPr="002864A8">
        <w:rPr>
          <w:szCs w:val="20"/>
        </w:rPr>
        <w:t xml:space="preserve"> average and was the second highest recorded in </w:t>
      </w:r>
      <w:r w:rsidR="00622B7A">
        <w:rPr>
          <w:szCs w:val="20"/>
        </w:rPr>
        <w:t>the last decade (Figure 12).</w:t>
      </w:r>
    </w:p>
    <w:p w14:paraId="4401EC0C" w14:textId="77777777" w:rsidR="00035894" w:rsidRDefault="00035894">
      <w:pPr>
        <w:rPr>
          <w:szCs w:val="20"/>
        </w:rPr>
      </w:pPr>
      <w:r>
        <w:rPr>
          <w:szCs w:val="20"/>
        </w:rPr>
        <w:br w:type="page"/>
      </w:r>
    </w:p>
    <w:p w14:paraId="10A5D9E0" w14:textId="77777777" w:rsidR="00C03064" w:rsidRDefault="00C03064" w:rsidP="00752FA4">
      <w:pPr>
        <w:rPr>
          <w:szCs w:val="20"/>
        </w:rPr>
      </w:pPr>
    </w:p>
    <w:p w14:paraId="4D8EFEF1" w14:textId="2BE89A8B" w:rsidR="000E65DA" w:rsidRPr="000E65DA" w:rsidRDefault="00842DD0" w:rsidP="000E65DA">
      <w:pPr>
        <w:pStyle w:val="Caption"/>
        <w:rPr>
          <w:color w:val="FF0000"/>
        </w:rPr>
      </w:pPr>
      <w:r w:rsidRPr="00842DD0">
        <w:rPr>
          <w:noProof/>
          <w:color w:val="FF0000"/>
        </w:rPr>
        <mc:AlternateContent>
          <mc:Choice Requires="wps">
            <w:drawing>
              <wp:inline distT="0" distB="0" distL="0" distR="0" wp14:anchorId="3983EBE1" wp14:editId="034B4A5A">
                <wp:extent cx="5762625" cy="1485900"/>
                <wp:effectExtent l="0" t="0" r="28575" b="19050"/>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85900"/>
                        </a:xfrm>
                        <a:prstGeom prst="rect">
                          <a:avLst/>
                        </a:prstGeom>
                        <a:solidFill>
                          <a:schemeClr val="accent1">
                            <a:lumMod val="20000"/>
                            <a:lumOff val="80000"/>
                          </a:schemeClr>
                        </a:solidFill>
                        <a:ln w="9525">
                          <a:solidFill>
                            <a:srgbClr val="000000"/>
                          </a:solidFill>
                          <a:miter lim="800000"/>
                          <a:headEnd/>
                          <a:tailEnd/>
                        </a:ln>
                      </wps:spPr>
                      <wps:txbx>
                        <w:txbxContent>
                          <w:p w14:paraId="4286F5EE" w14:textId="4830117B" w:rsidR="00842DD0" w:rsidRPr="00CB4E11" w:rsidRDefault="00FA5538" w:rsidP="00842DD0">
                            <w:pPr>
                              <w:pStyle w:val="Caption"/>
                            </w:pPr>
                            <w:r>
                              <w:t>Gippsland r</w:t>
                            </w:r>
                            <w:r w:rsidR="00842DD0" w:rsidRPr="00CB4E11">
                              <w:t xml:space="preserve">egional </w:t>
                            </w:r>
                            <w:r>
                              <w:t>s</w:t>
                            </w:r>
                            <w:r w:rsidR="00842DD0" w:rsidRPr="00CB4E11">
                              <w:t>ummary</w:t>
                            </w:r>
                          </w:p>
                          <w:p w14:paraId="38910C16" w14:textId="74B778FE" w:rsidR="00ED1EA5" w:rsidRPr="00CB4E11" w:rsidRDefault="00F9401B" w:rsidP="00842DD0">
                            <w:pPr>
                              <w:pStyle w:val="ListParagraph"/>
                              <w:numPr>
                                <w:ilvl w:val="0"/>
                                <w:numId w:val="8"/>
                              </w:numPr>
                              <w:rPr>
                                <w:szCs w:val="20"/>
                              </w:rPr>
                            </w:pPr>
                            <w:r w:rsidRPr="00CB4E11">
                              <w:rPr>
                                <w:szCs w:val="20"/>
                              </w:rPr>
                              <w:t xml:space="preserve">Beef </w:t>
                            </w:r>
                            <w:r w:rsidR="00ED1EA5" w:rsidRPr="00CB4E11">
                              <w:rPr>
                                <w:szCs w:val="20"/>
                              </w:rPr>
                              <w:t>sales</w:t>
                            </w:r>
                            <w:r w:rsidRPr="00CB4E11">
                              <w:rPr>
                                <w:szCs w:val="20"/>
                              </w:rPr>
                              <w:t xml:space="preserve"> made up 73</w:t>
                            </w:r>
                            <w:r w:rsidR="00FA5538">
                              <w:rPr>
                                <w:szCs w:val="20"/>
                              </w:rPr>
                              <w:t xml:space="preserve"> per cent</w:t>
                            </w:r>
                            <w:r w:rsidR="00ED1EA5" w:rsidRPr="00CB4E11">
                              <w:rPr>
                                <w:szCs w:val="20"/>
                              </w:rPr>
                              <w:t xml:space="preserve"> of cash income</w:t>
                            </w:r>
                            <w:r w:rsidR="000B4E73">
                              <w:rPr>
                                <w:szCs w:val="20"/>
                              </w:rPr>
                              <w:t xml:space="preserve"> </w:t>
                            </w:r>
                            <w:r w:rsidR="005F0234">
                              <w:rPr>
                                <w:szCs w:val="20"/>
                              </w:rPr>
                              <w:t>for LFMP farms in Gippsland</w:t>
                            </w:r>
                          </w:p>
                          <w:p w14:paraId="2D755EE2" w14:textId="75567FF1" w:rsidR="00915F28" w:rsidRPr="00CB4E11" w:rsidRDefault="00B5070D" w:rsidP="00842DD0">
                            <w:pPr>
                              <w:pStyle w:val="ListParagraph"/>
                              <w:numPr>
                                <w:ilvl w:val="0"/>
                                <w:numId w:val="8"/>
                              </w:numPr>
                              <w:rPr>
                                <w:szCs w:val="20"/>
                              </w:rPr>
                            </w:pPr>
                            <w:r w:rsidRPr="00CB4E11">
                              <w:rPr>
                                <w:szCs w:val="20"/>
                              </w:rPr>
                              <w:t xml:space="preserve">Highest </w:t>
                            </w:r>
                            <w:r w:rsidR="007D3CA0" w:rsidRPr="00CB4E11">
                              <w:rPr>
                                <w:szCs w:val="20"/>
                              </w:rPr>
                              <w:t xml:space="preserve">average </w:t>
                            </w:r>
                            <w:r w:rsidRPr="00CB4E11">
                              <w:rPr>
                                <w:szCs w:val="20"/>
                              </w:rPr>
                              <w:t>price received for</w:t>
                            </w:r>
                            <w:r w:rsidR="00446EFC" w:rsidRPr="00CB4E11">
                              <w:rPr>
                                <w:szCs w:val="20"/>
                              </w:rPr>
                              <w:t xml:space="preserve"> beef cattle in 18</w:t>
                            </w:r>
                            <w:r w:rsidR="003811E2" w:rsidRPr="00CB4E11">
                              <w:rPr>
                                <w:szCs w:val="20"/>
                              </w:rPr>
                              <w:t xml:space="preserve"> </w:t>
                            </w:r>
                            <w:r w:rsidR="00446EFC" w:rsidRPr="00CB4E11">
                              <w:rPr>
                                <w:szCs w:val="20"/>
                              </w:rPr>
                              <w:t>years</w:t>
                            </w:r>
                            <w:r w:rsidR="00865C5B">
                              <w:rPr>
                                <w:szCs w:val="20"/>
                              </w:rPr>
                              <w:t xml:space="preserve"> </w:t>
                            </w:r>
                          </w:p>
                          <w:p w14:paraId="406E76E4" w14:textId="127731C5" w:rsidR="00331562" w:rsidRDefault="00FD0217" w:rsidP="008F7E10">
                            <w:pPr>
                              <w:pStyle w:val="ListParagraph"/>
                              <w:numPr>
                                <w:ilvl w:val="0"/>
                                <w:numId w:val="8"/>
                              </w:numPr>
                              <w:rPr>
                                <w:szCs w:val="20"/>
                              </w:rPr>
                            </w:pPr>
                            <w:r w:rsidRPr="00CB4E11">
                              <w:rPr>
                                <w:szCs w:val="20"/>
                              </w:rPr>
                              <w:t xml:space="preserve">Highest </w:t>
                            </w:r>
                            <w:r w:rsidR="007D3CA0" w:rsidRPr="00CB4E11">
                              <w:rPr>
                                <w:szCs w:val="20"/>
                              </w:rPr>
                              <w:t xml:space="preserve">average </w:t>
                            </w:r>
                            <w:r w:rsidRPr="00CB4E11">
                              <w:rPr>
                                <w:szCs w:val="20"/>
                              </w:rPr>
                              <w:t xml:space="preserve">gross farm income </w:t>
                            </w:r>
                            <w:r w:rsidR="000260D7" w:rsidRPr="00CB4E11">
                              <w:rPr>
                                <w:szCs w:val="20"/>
                              </w:rPr>
                              <w:t xml:space="preserve">recorded </w:t>
                            </w:r>
                            <w:r w:rsidRPr="00CB4E11">
                              <w:rPr>
                                <w:szCs w:val="20"/>
                              </w:rPr>
                              <w:t xml:space="preserve">in </w:t>
                            </w:r>
                            <w:r w:rsidR="000260D7" w:rsidRPr="00CB4E11">
                              <w:rPr>
                                <w:szCs w:val="20"/>
                              </w:rPr>
                              <w:t>18 years</w:t>
                            </w:r>
                          </w:p>
                          <w:p w14:paraId="37D1F2A5" w14:textId="2A045A60" w:rsidR="00700DD1" w:rsidRPr="00CB4E11" w:rsidRDefault="00700DD1" w:rsidP="008F7E10">
                            <w:pPr>
                              <w:pStyle w:val="ListParagraph"/>
                              <w:numPr>
                                <w:ilvl w:val="0"/>
                                <w:numId w:val="8"/>
                              </w:numPr>
                              <w:rPr>
                                <w:szCs w:val="20"/>
                              </w:rPr>
                            </w:pPr>
                            <w:r>
                              <w:rPr>
                                <w:szCs w:val="20"/>
                              </w:rPr>
                              <w:t>Highest return on assets since 2016</w:t>
                            </w:r>
                            <w:r w:rsidR="004F7838">
                              <w:t>–</w:t>
                            </w:r>
                            <w:r>
                              <w:rPr>
                                <w:szCs w:val="20"/>
                              </w:rPr>
                              <w:t>17</w:t>
                            </w:r>
                          </w:p>
                          <w:p w14:paraId="1D7D31BC" w14:textId="6522971B" w:rsidR="002130EC" w:rsidRPr="00CB4E11" w:rsidRDefault="007D3CA0" w:rsidP="00842DD0">
                            <w:pPr>
                              <w:pStyle w:val="ListParagraph"/>
                              <w:numPr>
                                <w:ilvl w:val="0"/>
                                <w:numId w:val="8"/>
                              </w:numPr>
                              <w:rPr>
                                <w:szCs w:val="20"/>
                              </w:rPr>
                            </w:pPr>
                            <w:r w:rsidRPr="00CB4E11">
                              <w:rPr>
                                <w:szCs w:val="20"/>
                              </w:rPr>
                              <w:t xml:space="preserve">Average </w:t>
                            </w:r>
                            <w:r w:rsidR="0079572E" w:rsidRPr="00CB4E11">
                              <w:rPr>
                                <w:szCs w:val="20"/>
                              </w:rPr>
                              <w:t xml:space="preserve">annual </w:t>
                            </w:r>
                            <w:r w:rsidR="00BA42C2" w:rsidRPr="00CB4E11">
                              <w:rPr>
                                <w:szCs w:val="20"/>
                              </w:rPr>
                              <w:t>increase</w:t>
                            </w:r>
                            <w:r w:rsidR="002E6141" w:rsidRPr="00CB4E11">
                              <w:rPr>
                                <w:szCs w:val="20"/>
                              </w:rPr>
                              <w:t xml:space="preserve"> to </w:t>
                            </w:r>
                            <w:r w:rsidR="00F9723E" w:rsidRPr="00CB4E11">
                              <w:rPr>
                                <w:szCs w:val="20"/>
                              </w:rPr>
                              <w:t>equity</w:t>
                            </w:r>
                            <w:r w:rsidR="002E6141" w:rsidRPr="00CB4E11">
                              <w:rPr>
                                <w:szCs w:val="20"/>
                              </w:rPr>
                              <w:t xml:space="preserve"> (</w:t>
                            </w:r>
                            <w:r w:rsidR="00F9723E" w:rsidRPr="00CB4E11">
                              <w:rPr>
                                <w:szCs w:val="20"/>
                              </w:rPr>
                              <w:t>net worth</w:t>
                            </w:r>
                            <w:r w:rsidR="002E6141" w:rsidRPr="00CB4E11">
                              <w:rPr>
                                <w:szCs w:val="20"/>
                              </w:rPr>
                              <w:t xml:space="preserve">) of $3,044/ha </w:t>
                            </w:r>
                          </w:p>
                          <w:p w14:paraId="48C31A59" w14:textId="77777777" w:rsidR="00782800" w:rsidRPr="00AD0698" w:rsidRDefault="00782800" w:rsidP="00AD0698">
                            <w:pPr>
                              <w:ind w:left="360"/>
                              <w:rPr>
                                <w:color w:val="FF0000"/>
                                <w:szCs w:val="20"/>
                              </w:rPr>
                            </w:pPr>
                          </w:p>
                          <w:p w14:paraId="7B4F92BE" w14:textId="0062D84A" w:rsidR="00842DD0" w:rsidRDefault="00842DD0"/>
                        </w:txbxContent>
                      </wps:txbx>
                      <wps:bodyPr rot="0" vert="horz" wrap="square" lIns="91440" tIns="45720" rIns="91440" bIns="45720" anchor="t" anchorCtr="0">
                        <a:noAutofit/>
                      </wps:bodyPr>
                    </wps:wsp>
                  </a:graphicData>
                </a:graphic>
              </wp:inline>
            </w:drawing>
          </mc:Choice>
          <mc:Fallback>
            <w:pict>
              <v:shape w14:anchorId="3983EBE1" id="_x0000_s1027" type="#_x0000_t202" style="width:453.7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" fillcolor="#d9e2f3 [660]">
                <v:textbox>
                  <w:txbxContent>
                    <w:p w14:paraId="4286F5EE" w14:textId="4830117B" w:rsidR="00842DD0" w:rsidRPr="00CB4E11" w:rsidRDefault="00FA5538" w:rsidP="00842DD0">
                      <w:pPr>
                        <w:pStyle w:val="Caption"/>
                      </w:pPr>
                      <w:r>
                        <w:t>Gippsland r</w:t>
                      </w:r>
                      <w:r w:rsidR="00842DD0" w:rsidRPr="00CB4E11">
                        <w:t xml:space="preserve">egional </w:t>
                      </w:r>
                      <w:r>
                        <w:t>s</w:t>
                      </w:r>
                      <w:r w:rsidR="00842DD0" w:rsidRPr="00CB4E11">
                        <w:t>ummary</w:t>
                      </w:r>
                    </w:p>
                    <w:p w14:paraId="38910C16" w14:textId="74B778FE" w:rsidR="00ED1EA5" w:rsidRPr="00CB4E11" w:rsidRDefault="00F9401B" w:rsidP="00842DD0">
                      <w:pPr>
                        <w:pStyle w:val="ListParagraph"/>
                        <w:numPr>
                          <w:ilvl w:val="0"/>
                          <w:numId w:val="8"/>
                        </w:numPr>
                        <w:rPr>
                          <w:szCs w:val="20"/>
                        </w:rPr>
                      </w:pPr>
                      <w:r w:rsidRPr="00CB4E11">
                        <w:rPr>
                          <w:szCs w:val="20"/>
                        </w:rPr>
                        <w:t xml:space="preserve">Beef </w:t>
                      </w:r>
                      <w:r w:rsidR="00ED1EA5" w:rsidRPr="00CB4E11">
                        <w:rPr>
                          <w:szCs w:val="20"/>
                        </w:rPr>
                        <w:t>sales</w:t>
                      </w:r>
                      <w:r w:rsidRPr="00CB4E11">
                        <w:rPr>
                          <w:szCs w:val="20"/>
                        </w:rPr>
                        <w:t xml:space="preserve"> made up 73</w:t>
                      </w:r>
                      <w:r w:rsidR="00FA5538">
                        <w:rPr>
                          <w:szCs w:val="20"/>
                        </w:rPr>
                        <w:t xml:space="preserve"> per cent</w:t>
                      </w:r>
                      <w:r w:rsidR="00ED1EA5" w:rsidRPr="00CB4E11">
                        <w:rPr>
                          <w:szCs w:val="20"/>
                        </w:rPr>
                        <w:t xml:space="preserve"> of cash income</w:t>
                      </w:r>
                      <w:r w:rsidR="000B4E73">
                        <w:rPr>
                          <w:szCs w:val="20"/>
                        </w:rPr>
                        <w:t xml:space="preserve"> </w:t>
                      </w:r>
                      <w:r w:rsidR="005F0234">
                        <w:rPr>
                          <w:szCs w:val="20"/>
                        </w:rPr>
                        <w:t>for LFMP farms in Gippsland</w:t>
                      </w:r>
                    </w:p>
                    <w:p w14:paraId="2D755EE2" w14:textId="75567FF1" w:rsidR="00915F28" w:rsidRPr="00CB4E11" w:rsidRDefault="00B5070D" w:rsidP="00842DD0">
                      <w:pPr>
                        <w:pStyle w:val="ListParagraph"/>
                        <w:numPr>
                          <w:ilvl w:val="0"/>
                          <w:numId w:val="8"/>
                        </w:numPr>
                        <w:rPr>
                          <w:szCs w:val="20"/>
                        </w:rPr>
                      </w:pPr>
                      <w:r w:rsidRPr="00CB4E11">
                        <w:rPr>
                          <w:szCs w:val="20"/>
                        </w:rPr>
                        <w:t xml:space="preserve">Highest </w:t>
                      </w:r>
                      <w:r w:rsidR="007D3CA0" w:rsidRPr="00CB4E11">
                        <w:rPr>
                          <w:szCs w:val="20"/>
                        </w:rPr>
                        <w:t xml:space="preserve">average </w:t>
                      </w:r>
                      <w:r w:rsidRPr="00CB4E11">
                        <w:rPr>
                          <w:szCs w:val="20"/>
                        </w:rPr>
                        <w:t>price received for</w:t>
                      </w:r>
                      <w:r w:rsidR="00446EFC" w:rsidRPr="00CB4E11">
                        <w:rPr>
                          <w:szCs w:val="20"/>
                        </w:rPr>
                        <w:t xml:space="preserve"> beef cattle in 18</w:t>
                      </w:r>
                      <w:r w:rsidR="003811E2" w:rsidRPr="00CB4E11">
                        <w:rPr>
                          <w:szCs w:val="20"/>
                        </w:rPr>
                        <w:t xml:space="preserve"> </w:t>
                      </w:r>
                      <w:r w:rsidR="00446EFC" w:rsidRPr="00CB4E11">
                        <w:rPr>
                          <w:szCs w:val="20"/>
                        </w:rPr>
                        <w:t>years</w:t>
                      </w:r>
                      <w:r w:rsidR="00865C5B">
                        <w:rPr>
                          <w:szCs w:val="20"/>
                        </w:rPr>
                        <w:t xml:space="preserve"> </w:t>
                      </w:r>
                    </w:p>
                    <w:p w14:paraId="406E76E4" w14:textId="127731C5" w:rsidR="00331562" w:rsidRDefault="00FD0217" w:rsidP="008F7E10">
                      <w:pPr>
                        <w:pStyle w:val="ListParagraph"/>
                        <w:numPr>
                          <w:ilvl w:val="0"/>
                          <w:numId w:val="8"/>
                        </w:numPr>
                        <w:rPr>
                          <w:szCs w:val="20"/>
                        </w:rPr>
                      </w:pPr>
                      <w:r w:rsidRPr="00CB4E11">
                        <w:rPr>
                          <w:szCs w:val="20"/>
                        </w:rPr>
                        <w:t xml:space="preserve">Highest </w:t>
                      </w:r>
                      <w:r w:rsidR="007D3CA0" w:rsidRPr="00CB4E11">
                        <w:rPr>
                          <w:szCs w:val="20"/>
                        </w:rPr>
                        <w:t xml:space="preserve">average </w:t>
                      </w:r>
                      <w:r w:rsidRPr="00CB4E11">
                        <w:rPr>
                          <w:szCs w:val="20"/>
                        </w:rPr>
                        <w:t xml:space="preserve">gross farm income </w:t>
                      </w:r>
                      <w:r w:rsidR="000260D7" w:rsidRPr="00CB4E11">
                        <w:rPr>
                          <w:szCs w:val="20"/>
                        </w:rPr>
                        <w:t xml:space="preserve">recorded </w:t>
                      </w:r>
                      <w:r w:rsidRPr="00CB4E11">
                        <w:rPr>
                          <w:szCs w:val="20"/>
                        </w:rPr>
                        <w:t xml:space="preserve">in </w:t>
                      </w:r>
                      <w:r w:rsidR="000260D7" w:rsidRPr="00CB4E11">
                        <w:rPr>
                          <w:szCs w:val="20"/>
                        </w:rPr>
                        <w:t>18 years</w:t>
                      </w:r>
                    </w:p>
                    <w:p w14:paraId="37D1F2A5" w14:textId="2A045A60" w:rsidR="00700DD1" w:rsidRPr="00CB4E11" w:rsidRDefault="00700DD1" w:rsidP="008F7E10">
                      <w:pPr>
                        <w:pStyle w:val="ListParagraph"/>
                        <w:numPr>
                          <w:ilvl w:val="0"/>
                          <w:numId w:val="8"/>
                        </w:numPr>
                        <w:rPr>
                          <w:szCs w:val="20"/>
                        </w:rPr>
                      </w:pPr>
                      <w:r>
                        <w:rPr>
                          <w:szCs w:val="20"/>
                        </w:rPr>
                        <w:t>Highest return on assets since 2016</w:t>
                      </w:r>
                      <w:r w:rsidR="004F7838">
                        <w:t>–</w:t>
                      </w:r>
                      <w:r>
                        <w:rPr>
                          <w:szCs w:val="20"/>
                        </w:rPr>
                        <w:t>17</w:t>
                      </w:r>
                    </w:p>
                    <w:p w14:paraId="1D7D31BC" w14:textId="6522971B" w:rsidR="002130EC" w:rsidRPr="00CB4E11" w:rsidRDefault="007D3CA0" w:rsidP="00842DD0">
                      <w:pPr>
                        <w:pStyle w:val="ListParagraph"/>
                        <w:numPr>
                          <w:ilvl w:val="0"/>
                          <w:numId w:val="8"/>
                        </w:numPr>
                        <w:rPr>
                          <w:szCs w:val="20"/>
                        </w:rPr>
                      </w:pPr>
                      <w:r w:rsidRPr="00CB4E11">
                        <w:rPr>
                          <w:szCs w:val="20"/>
                        </w:rPr>
                        <w:t xml:space="preserve">Average </w:t>
                      </w:r>
                      <w:r w:rsidR="0079572E" w:rsidRPr="00CB4E11">
                        <w:rPr>
                          <w:szCs w:val="20"/>
                        </w:rPr>
                        <w:t xml:space="preserve">annual </w:t>
                      </w:r>
                      <w:r w:rsidR="00BA42C2" w:rsidRPr="00CB4E11">
                        <w:rPr>
                          <w:szCs w:val="20"/>
                        </w:rPr>
                        <w:t>increase</w:t>
                      </w:r>
                      <w:r w:rsidR="002E6141" w:rsidRPr="00CB4E11">
                        <w:rPr>
                          <w:szCs w:val="20"/>
                        </w:rPr>
                        <w:t xml:space="preserve"> to </w:t>
                      </w:r>
                      <w:r w:rsidR="00F9723E" w:rsidRPr="00CB4E11">
                        <w:rPr>
                          <w:szCs w:val="20"/>
                        </w:rPr>
                        <w:t>equity</w:t>
                      </w:r>
                      <w:r w:rsidR="002E6141" w:rsidRPr="00CB4E11">
                        <w:rPr>
                          <w:szCs w:val="20"/>
                        </w:rPr>
                        <w:t xml:space="preserve"> (</w:t>
                      </w:r>
                      <w:r w:rsidR="00F9723E" w:rsidRPr="00CB4E11">
                        <w:rPr>
                          <w:szCs w:val="20"/>
                        </w:rPr>
                        <w:t>net worth</w:t>
                      </w:r>
                      <w:r w:rsidR="002E6141" w:rsidRPr="00CB4E11">
                        <w:rPr>
                          <w:szCs w:val="20"/>
                        </w:rPr>
                        <w:t xml:space="preserve">) of $3,044/ha </w:t>
                      </w:r>
                    </w:p>
                    <w:p w14:paraId="48C31A59" w14:textId="77777777" w:rsidR="00782800" w:rsidRPr="00AD0698" w:rsidRDefault="00782800" w:rsidP="00AD0698">
                      <w:pPr>
                        <w:ind w:left="360"/>
                        <w:rPr>
                          <w:color w:val="FF0000"/>
                          <w:szCs w:val="20"/>
                        </w:rPr>
                      </w:pPr>
                    </w:p>
                    <w:p w14:paraId="7B4F92BE" w14:textId="0062D84A" w:rsidR="00842DD0" w:rsidRDefault="00842DD0"/>
                  </w:txbxContent>
                </v:textbox>
                <w10:anchorlock/>
              </v:shape>
            </w:pict>
          </mc:Fallback>
        </mc:AlternateContent>
      </w:r>
    </w:p>
    <w:tbl>
      <w:tblPr>
        <w:tblStyle w:val="GridTable1Light"/>
        <w:tblW w:w="7240" w:type="dxa"/>
        <w:tblLook w:val="04A0" w:firstRow="1" w:lastRow="0" w:firstColumn="1" w:lastColumn="0" w:noHBand="0" w:noVBand="1"/>
      </w:tblPr>
      <w:tblGrid>
        <w:gridCol w:w="4400"/>
        <w:gridCol w:w="2121"/>
        <w:gridCol w:w="1227"/>
      </w:tblGrid>
      <w:tr w:rsidR="000E65DA" w:rsidRPr="00B34EF5" w14:paraId="155E5C01" w14:textId="77777777" w:rsidTr="007E69B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376F0A14" w14:textId="06001E17" w:rsidR="000E65DA" w:rsidRPr="00B34EF5" w:rsidRDefault="000E65DA" w:rsidP="000E65DA">
            <w:pPr>
              <w:rPr>
                <w:rFonts w:eastAsia="Times New Roman" w:cs="Calibri"/>
                <w:b w:val="0"/>
                <w:bCs w:val="0"/>
                <w:color w:val="000000"/>
                <w:szCs w:val="20"/>
                <w:lang w:eastAsia="en-AU"/>
              </w:rPr>
            </w:pPr>
            <w:r w:rsidRPr="00B34EF5">
              <w:rPr>
                <w:rFonts w:eastAsia="Times New Roman" w:cs="Calibri"/>
                <w:color w:val="000000"/>
                <w:szCs w:val="20"/>
                <w:lang w:eastAsia="en-AU"/>
              </w:rPr>
              <w:t>Regional summary</w:t>
            </w:r>
          </w:p>
        </w:tc>
        <w:tc>
          <w:tcPr>
            <w:tcW w:w="2121" w:type="dxa"/>
            <w:noWrap/>
            <w:hideMark/>
          </w:tcPr>
          <w:p w14:paraId="39E2653A" w14:textId="77777777" w:rsidR="000E65DA" w:rsidRPr="00B34EF5" w:rsidRDefault="000E65DA" w:rsidP="000E65DA">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Cs w:val="20"/>
                <w:lang w:eastAsia="en-AU"/>
              </w:rPr>
            </w:pPr>
            <w:r w:rsidRPr="00B34EF5">
              <w:rPr>
                <w:rFonts w:ascii="Cambria" w:eastAsia="Times New Roman" w:hAnsi="Cambria" w:cs="Cambria"/>
                <w:color w:val="000000"/>
                <w:szCs w:val="20"/>
                <w:lang w:eastAsia="en-AU"/>
              </w:rPr>
              <w:t> </w:t>
            </w:r>
          </w:p>
        </w:tc>
        <w:tc>
          <w:tcPr>
            <w:tcW w:w="719" w:type="dxa"/>
            <w:noWrap/>
            <w:hideMark/>
          </w:tcPr>
          <w:p w14:paraId="3D52323E" w14:textId="77777777" w:rsidR="000E65DA" w:rsidRPr="00B34EF5" w:rsidRDefault="000E65DA" w:rsidP="000E65DA">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ascii="Cambria" w:eastAsia="Times New Roman" w:hAnsi="Cambria" w:cs="Cambria"/>
                <w:color w:val="000000"/>
                <w:szCs w:val="20"/>
                <w:lang w:eastAsia="en-AU"/>
              </w:rPr>
              <w:t> </w:t>
            </w:r>
          </w:p>
        </w:tc>
      </w:tr>
      <w:tr w:rsidR="000E65DA" w:rsidRPr="00B34EF5" w14:paraId="6C52D0EE"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5FFC3FEB" w14:textId="77777777" w:rsidR="000E65DA" w:rsidRPr="00B34EF5" w:rsidRDefault="000E65DA" w:rsidP="000E65DA">
            <w:pPr>
              <w:rPr>
                <w:rFonts w:eastAsia="Times New Roman" w:cs="Calibri"/>
                <w:b w:val="0"/>
                <w:bCs w:val="0"/>
                <w:color w:val="000000"/>
                <w:szCs w:val="20"/>
                <w:lang w:eastAsia="en-AU"/>
              </w:rPr>
            </w:pPr>
            <w:r w:rsidRPr="00B34EF5">
              <w:rPr>
                <w:rFonts w:ascii="Cambria" w:eastAsia="Times New Roman" w:hAnsi="Cambria" w:cs="Cambria"/>
                <w:color w:val="000000"/>
                <w:szCs w:val="20"/>
                <w:lang w:eastAsia="en-AU"/>
              </w:rPr>
              <w:t> </w:t>
            </w:r>
          </w:p>
        </w:tc>
        <w:tc>
          <w:tcPr>
            <w:tcW w:w="2121" w:type="dxa"/>
            <w:noWrap/>
            <w:hideMark/>
          </w:tcPr>
          <w:p w14:paraId="5478DFAD"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Cs w:val="20"/>
                <w:lang w:eastAsia="en-AU"/>
              </w:rPr>
            </w:pPr>
            <w:r w:rsidRPr="00B34EF5">
              <w:rPr>
                <w:rFonts w:eastAsia="Times New Roman" w:cs="Calibri"/>
                <w:b/>
                <w:bCs/>
                <w:color w:val="000000"/>
                <w:szCs w:val="20"/>
                <w:lang w:eastAsia="en-AU"/>
              </w:rPr>
              <w:t>3-yr average</w:t>
            </w:r>
          </w:p>
          <w:p w14:paraId="6B2D04FE" w14:textId="3A6ACBA4" w:rsidR="0082677B" w:rsidRPr="00B34EF5" w:rsidRDefault="0082677B"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Cs w:val="20"/>
                <w:lang w:eastAsia="en-AU"/>
              </w:rPr>
            </w:pPr>
            <w:r w:rsidRPr="00B34EF5">
              <w:rPr>
                <w:rFonts w:eastAsia="Times New Roman" w:cs="Calibri"/>
                <w:b/>
                <w:bCs/>
                <w:color w:val="000000"/>
                <w:szCs w:val="20"/>
                <w:lang w:eastAsia="en-AU"/>
              </w:rPr>
              <w:t>Gippsland</w:t>
            </w:r>
          </w:p>
        </w:tc>
        <w:tc>
          <w:tcPr>
            <w:tcW w:w="719" w:type="dxa"/>
            <w:noWrap/>
            <w:hideMark/>
          </w:tcPr>
          <w:p w14:paraId="39257052" w14:textId="129B875B"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Cs w:val="20"/>
                <w:lang w:eastAsia="en-AU"/>
              </w:rPr>
            </w:pPr>
            <w:r w:rsidRPr="00B34EF5">
              <w:rPr>
                <w:rFonts w:eastAsia="Times New Roman" w:cs="Calibri"/>
                <w:b/>
                <w:bCs/>
                <w:color w:val="000000"/>
                <w:szCs w:val="20"/>
                <w:lang w:eastAsia="en-AU"/>
              </w:rPr>
              <w:t>G</w:t>
            </w:r>
            <w:r w:rsidR="00E84DD1" w:rsidRPr="00B34EF5">
              <w:rPr>
                <w:rFonts w:eastAsia="Times New Roman" w:cs="Calibri"/>
                <w:b/>
                <w:bCs/>
                <w:color w:val="000000"/>
                <w:szCs w:val="20"/>
                <w:lang w:eastAsia="en-AU"/>
              </w:rPr>
              <w:t>ippsland</w:t>
            </w:r>
            <w:r w:rsidR="00E9334D" w:rsidRPr="00B34EF5">
              <w:rPr>
                <w:rFonts w:eastAsia="Times New Roman" w:cs="Calibri"/>
                <w:b/>
                <w:bCs/>
                <w:color w:val="000000"/>
                <w:szCs w:val="20"/>
                <w:lang w:eastAsia="en-AU"/>
              </w:rPr>
              <w:t xml:space="preserve"> 2021</w:t>
            </w:r>
            <w:r w:rsidR="00F515A8">
              <w:t>–</w:t>
            </w:r>
            <w:r w:rsidR="00E9334D" w:rsidRPr="00B34EF5">
              <w:rPr>
                <w:rFonts w:eastAsia="Times New Roman" w:cs="Calibri"/>
                <w:b/>
                <w:bCs/>
                <w:color w:val="000000"/>
                <w:szCs w:val="20"/>
                <w:lang w:eastAsia="en-AU"/>
              </w:rPr>
              <w:t>22</w:t>
            </w:r>
          </w:p>
        </w:tc>
      </w:tr>
      <w:tr w:rsidR="000E65DA" w:rsidRPr="00B34EF5" w14:paraId="2DA766A3"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40261DD1"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Beef income ($/ha)</w:t>
            </w:r>
          </w:p>
        </w:tc>
        <w:tc>
          <w:tcPr>
            <w:tcW w:w="2121" w:type="dxa"/>
            <w:noWrap/>
            <w:hideMark/>
          </w:tcPr>
          <w:p w14:paraId="1152AF60"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$1,250</w:t>
            </w:r>
          </w:p>
        </w:tc>
        <w:tc>
          <w:tcPr>
            <w:tcW w:w="719" w:type="dxa"/>
            <w:noWrap/>
            <w:hideMark/>
          </w:tcPr>
          <w:p w14:paraId="2C1E9E30"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$1,348</w:t>
            </w:r>
          </w:p>
        </w:tc>
      </w:tr>
      <w:tr w:rsidR="000E65DA" w:rsidRPr="00B34EF5" w14:paraId="0BC3E445"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0A1954D5" w14:textId="72A817DC"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 xml:space="preserve">Prime </w:t>
            </w:r>
            <w:r w:rsidR="00B34EF5">
              <w:rPr>
                <w:rFonts w:eastAsia="Times New Roman" w:cs="Calibri"/>
                <w:color w:val="000000"/>
                <w:szCs w:val="20"/>
                <w:lang w:eastAsia="en-AU"/>
              </w:rPr>
              <w:t>l</w:t>
            </w:r>
            <w:r w:rsidRPr="00B34EF5">
              <w:rPr>
                <w:rFonts w:eastAsia="Times New Roman" w:cs="Calibri"/>
                <w:color w:val="000000"/>
                <w:szCs w:val="20"/>
                <w:lang w:eastAsia="en-AU"/>
              </w:rPr>
              <w:t>amb income ($/ha)</w:t>
            </w:r>
          </w:p>
        </w:tc>
        <w:tc>
          <w:tcPr>
            <w:tcW w:w="2121" w:type="dxa"/>
            <w:noWrap/>
            <w:hideMark/>
          </w:tcPr>
          <w:p w14:paraId="08D82C26"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$1,154</w:t>
            </w:r>
          </w:p>
        </w:tc>
        <w:tc>
          <w:tcPr>
            <w:tcW w:w="719" w:type="dxa"/>
            <w:noWrap/>
            <w:hideMark/>
          </w:tcPr>
          <w:p w14:paraId="68226D31"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$930</w:t>
            </w:r>
          </w:p>
        </w:tc>
      </w:tr>
      <w:tr w:rsidR="000E65DA" w:rsidRPr="00B34EF5" w14:paraId="631752A7"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7518DB05" w14:textId="168C78BC"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 xml:space="preserve">Wool </w:t>
            </w:r>
            <w:r w:rsidR="00B34EF5">
              <w:rPr>
                <w:rFonts w:eastAsia="Times New Roman" w:cs="Calibri"/>
                <w:color w:val="000000"/>
                <w:szCs w:val="20"/>
                <w:lang w:eastAsia="en-AU"/>
              </w:rPr>
              <w:t>s</w:t>
            </w:r>
            <w:r w:rsidRPr="00B34EF5">
              <w:rPr>
                <w:rFonts w:eastAsia="Times New Roman" w:cs="Calibri"/>
                <w:color w:val="000000"/>
                <w:szCs w:val="20"/>
                <w:lang w:eastAsia="en-AU"/>
              </w:rPr>
              <w:t>heep income ($/ha)</w:t>
            </w:r>
          </w:p>
        </w:tc>
        <w:tc>
          <w:tcPr>
            <w:tcW w:w="2121" w:type="dxa"/>
            <w:noWrap/>
            <w:hideMark/>
          </w:tcPr>
          <w:p w14:paraId="5597323F"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$711</w:t>
            </w:r>
          </w:p>
        </w:tc>
        <w:tc>
          <w:tcPr>
            <w:tcW w:w="719" w:type="dxa"/>
            <w:noWrap/>
            <w:hideMark/>
          </w:tcPr>
          <w:p w14:paraId="246F763A"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$717</w:t>
            </w:r>
          </w:p>
        </w:tc>
      </w:tr>
      <w:tr w:rsidR="000E65DA" w:rsidRPr="00B34EF5" w14:paraId="2AACD755"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10CACABB"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Beef variable costs ($/ha)</w:t>
            </w:r>
          </w:p>
        </w:tc>
        <w:tc>
          <w:tcPr>
            <w:tcW w:w="2121" w:type="dxa"/>
            <w:noWrap/>
            <w:hideMark/>
          </w:tcPr>
          <w:p w14:paraId="4ED0174A"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$510</w:t>
            </w:r>
          </w:p>
        </w:tc>
        <w:tc>
          <w:tcPr>
            <w:tcW w:w="719" w:type="dxa"/>
            <w:noWrap/>
            <w:hideMark/>
          </w:tcPr>
          <w:p w14:paraId="201A43EE"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$470</w:t>
            </w:r>
          </w:p>
        </w:tc>
      </w:tr>
      <w:tr w:rsidR="000E65DA" w:rsidRPr="00B34EF5" w14:paraId="6C82BD00"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43CD9180" w14:textId="7DE2775C"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 xml:space="preserve">Prime </w:t>
            </w:r>
            <w:r w:rsidR="00B34EF5">
              <w:rPr>
                <w:rFonts w:eastAsia="Times New Roman" w:cs="Calibri"/>
                <w:color w:val="000000"/>
                <w:szCs w:val="20"/>
                <w:lang w:eastAsia="en-AU"/>
              </w:rPr>
              <w:t>l</w:t>
            </w:r>
            <w:r w:rsidRPr="00B34EF5">
              <w:rPr>
                <w:rFonts w:eastAsia="Times New Roman" w:cs="Calibri"/>
                <w:color w:val="000000"/>
                <w:szCs w:val="20"/>
                <w:lang w:eastAsia="en-AU"/>
              </w:rPr>
              <w:t>amb variable costs ($/ha)</w:t>
            </w:r>
          </w:p>
        </w:tc>
        <w:tc>
          <w:tcPr>
            <w:tcW w:w="2121" w:type="dxa"/>
            <w:noWrap/>
            <w:hideMark/>
          </w:tcPr>
          <w:p w14:paraId="4053A920"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$417</w:t>
            </w:r>
          </w:p>
        </w:tc>
        <w:tc>
          <w:tcPr>
            <w:tcW w:w="719" w:type="dxa"/>
            <w:noWrap/>
            <w:hideMark/>
          </w:tcPr>
          <w:p w14:paraId="648C115B"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$399</w:t>
            </w:r>
          </w:p>
        </w:tc>
      </w:tr>
      <w:tr w:rsidR="000E65DA" w:rsidRPr="00B34EF5" w14:paraId="119C5E54"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E99AD3F" w14:textId="73A457B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 xml:space="preserve">Wool </w:t>
            </w:r>
            <w:r w:rsidR="00CD5CB0">
              <w:rPr>
                <w:rFonts w:eastAsia="Times New Roman" w:cs="Calibri"/>
                <w:color w:val="000000"/>
                <w:szCs w:val="20"/>
                <w:lang w:eastAsia="en-AU"/>
              </w:rPr>
              <w:t>s</w:t>
            </w:r>
            <w:r w:rsidRPr="00B34EF5">
              <w:rPr>
                <w:rFonts w:eastAsia="Times New Roman" w:cs="Calibri"/>
                <w:color w:val="000000"/>
                <w:szCs w:val="20"/>
                <w:lang w:eastAsia="en-AU"/>
              </w:rPr>
              <w:t>heep variable costs ($/ha)</w:t>
            </w:r>
          </w:p>
        </w:tc>
        <w:tc>
          <w:tcPr>
            <w:tcW w:w="2121" w:type="dxa"/>
            <w:noWrap/>
            <w:hideMark/>
          </w:tcPr>
          <w:p w14:paraId="18983AA8"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$280</w:t>
            </w:r>
          </w:p>
        </w:tc>
        <w:tc>
          <w:tcPr>
            <w:tcW w:w="719" w:type="dxa"/>
            <w:noWrap/>
            <w:hideMark/>
          </w:tcPr>
          <w:p w14:paraId="230F00BF"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$278</w:t>
            </w:r>
          </w:p>
        </w:tc>
      </w:tr>
      <w:tr w:rsidR="000E65DA" w:rsidRPr="00B34EF5" w14:paraId="5E8B9794"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36DB862C"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Total assets managed ($/ha)</w:t>
            </w:r>
          </w:p>
        </w:tc>
        <w:tc>
          <w:tcPr>
            <w:tcW w:w="2121" w:type="dxa"/>
            <w:noWrap/>
            <w:hideMark/>
          </w:tcPr>
          <w:p w14:paraId="1EB70EAB"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$16,385</w:t>
            </w:r>
          </w:p>
        </w:tc>
        <w:tc>
          <w:tcPr>
            <w:tcW w:w="719" w:type="dxa"/>
            <w:noWrap/>
            <w:hideMark/>
          </w:tcPr>
          <w:p w14:paraId="6FBA70F0"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AU"/>
              </w:rPr>
            </w:pPr>
            <w:r w:rsidRPr="00B34EF5">
              <w:rPr>
                <w:rFonts w:eastAsia="Times New Roman" w:cs="Calibri"/>
                <w:szCs w:val="20"/>
                <w:lang w:eastAsia="en-AU"/>
              </w:rPr>
              <w:t>$19,602</w:t>
            </w:r>
          </w:p>
        </w:tc>
      </w:tr>
      <w:tr w:rsidR="000E65DA" w:rsidRPr="00B34EF5" w14:paraId="089FB07C"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2C42F44A"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Total debt ($/ha)</w:t>
            </w:r>
          </w:p>
        </w:tc>
        <w:tc>
          <w:tcPr>
            <w:tcW w:w="2121" w:type="dxa"/>
            <w:noWrap/>
            <w:hideMark/>
          </w:tcPr>
          <w:p w14:paraId="1FA28776"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$1,395</w:t>
            </w:r>
          </w:p>
        </w:tc>
        <w:tc>
          <w:tcPr>
            <w:tcW w:w="719" w:type="dxa"/>
            <w:noWrap/>
            <w:hideMark/>
          </w:tcPr>
          <w:p w14:paraId="393385C5"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AU"/>
              </w:rPr>
            </w:pPr>
            <w:r w:rsidRPr="00B34EF5">
              <w:rPr>
                <w:rFonts w:eastAsia="Times New Roman" w:cs="Calibri"/>
                <w:szCs w:val="20"/>
                <w:lang w:eastAsia="en-AU"/>
              </w:rPr>
              <w:t>$1,865</w:t>
            </w:r>
          </w:p>
        </w:tc>
      </w:tr>
      <w:tr w:rsidR="000E65DA" w:rsidRPr="00B34EF5" w14:paraId="7253C2B6"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71423752"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Annual increase in equity ($/ha)</w:t>
            </w:r>
          </w:p>
        </w:tc>
        <w:tc>
          <w:tcPr>
            <w:tcW w:w="2121" w:type="dxa"/>
            <w:noWrap/>
            <w:hideMark/>
          </w:tcPr>
          <w:p w14:paraId="1451406C"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$1,827</w:t>
            </w:r>
          </w:p>
        </w:tc>
        <w:tc>
          <w:tcPr>
            <w:tcW w:w="719" w:type="dxa"/>
            <w:noWrap/>
            <w:hideMark/>
          </w:tcPr>
          <w:p w14:paraId="0C213DFD"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AU"/>
              </w:rPr>
            </w:pPr>
            <w:r w:rsidRPr="00B34EF5">
              <w:rPr>
                <w:rFonts w:eastAsia="Times New Roman" w:cs="Calibri"/>
                <w:szCs w:val="20"/>
                <w:lang w:eastAsia="en-AU"/>
              </w:rPr>
              <w:t>$3,044</w:t>
            </w:r>
          </w:p>
        </w:tc>
      </w:tr>
      <w:tr w:rsidR="000E65DA" w:rsidRPr="00B34EF5" w14:paraId="1AE84B56"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1261BBFA"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 xml:space="preserve">Beef sold (kg </w:t>
            </w:r>
            <w:proofErr w:type="spellStart"/>
            <w:r w:rsidRPr="00B34EF5">
              <w:rPr>
                <w:rFonts w:eastAsia="Times New Roman" w:cs="Calibri"/>
                <w:color w:val="000000"/>
                <w:szCs w:val="20"/>
                <w:lang w:eastAsia="en-AU"/>
              </w:rPr>
              <w:t>lwt</w:t>
            </w:r>
            <w:proofErr w:type="spellEnd"/>
            <w:r w:rsidRPr="00B34EF5">
              <w:rPr>
                <w:rFonts w:eastAsia="Times New Roman" w:cs="Calibri"/>
                <w:color w:val="000000"/>
                <w:szCs w:val="20"/>
                <w:lang w:eastAsia="en-AU"/>
              </w:rPr>
              <w:t>/ha)</w:t>
            </w:r>
          </w:p>
        </w:tc>
        <w:tc>
          <w:tcPr>
            <w:tcW w:w="2121" w:type="dxa"/>
            <w:noWrap/>
            <w:hideMark/>
          </w:tcPr>
          <w:p w14:paraId="4A752309"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365</w:t>
            </w:r>
          </w:p>
        </w:tc>
        <w:tc>
          <w:tcPr>
            <w:tcW w:w="719" w:type="dxa"/>
            <w:noWrap/>
            <w:hideMark/>
          </w:tcPr>
          <w:p w14:paraId="0ACDF979"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288</w:t>
            </w:r>
          </w:p>
        </w:tc>
      </w:tr>
      <w:tr w:rsidR="000E65DA" w:rsidRPr="00B34EF5" w14:paraId="4AD5D4BF"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5C9ED471"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Lamb sold (kg cwt/ha)</w:t>
            </w:r>
          </w:p>
        </w:tc>
        <w:tc>
          <w:tcPr>
            <w:tcW w:w="2121" w:type="dxa"/>
            <w:noWrap/>
            <w:hideMark/>
          </w:tcPr>
          <w:p w14:paraId="5448E7B7"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114</w:t>
            </w:r>
          </w:p>
        </w:tc>
        <w:tc>
          <w:tcPr>
            <w:tcW w:w="719" w:type="dxa"/>
            <w:noWrap/>
            <w:hideMark/>
          </w:tcPr>
          <w:p w14:paraId="0BEE2A34"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89</w:t>
            </w:r>
          </w:p>
        </w:tc>
      </w:tr>
      <w:tr w:rsidR="000E65DA" w:rsidRPr="00B34EF5" w14:paraId="4EE101CE" w14:textId="77777777" w:rsidTr="007E69B9">
        <w:trPr>
          <w:trHeight w:val="285"/>
        </w:trPr>
        <w:tc>
          <w:tcPr>
            <w:cnfStyle w:val="001000000000" w:firstRow="0" w:lastRow="0" w:firstColumn="1" w:lastColumn="0" w:oddVBand="0" w:evenVBand="0" w:oddHBand="0" w:evenHBand="0" w:firstRowFirstColumn="0" w:firstRowLastColumn="0" w:lastRowFirstColumn="0" w:lastRowLastColumn="0"/>
            <w:tcW w:w="4400" w:type="dxa"/>
            <w:noWrap/>
            <w:hideMark/>
          </w:tcPr>
          <w:p w14:paraId="084F84A6"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Wool sheep wool cut (kg Gr./ha)</w:t>
            </w:r>
          </w:p>
        </w:tc>
        <w:tc>
          <w:tcPr>
            <w:tcW w:w="2121" w:type="dxa"/>
            <w:noWrap/>
            <w:hideMark/>
          </w:tcPr>
          <w:p w14:paraId="6DA07EF0"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38</w:t>
            </w:r>
          </w:p>
        </w:tc>
        <w:tc>
          <w:tcPr>
            <w:tcW w:w="719" w:type="dxa"/>
            <w:noWrap/>
            <w:hideMark/>
          </w:tcPr>
          <w:p w14:paraId="4132A497"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37</w:t>
            </w:r>
          </w:p>
        </w:tc>
      </w:tr>
      <w:tr w:rsidR="000E65DA" w:rsidRPr="00B34EF5" w14:paraId="7E2A388C"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290F2A95"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Labour use (FTE/farm)</w:t>
            </w:r>
          </w:p>
        </w:tc>
        <w:tc>
          <w:tcPr>
            <w:tcW w:w="2121" w:type="dxa"/>
            <w:noWrap/>
            <w:hideMark/>
          </w:tcPr>
          <w:p w14:paraId="45E15B70"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1.9</w:t>
            </w:r>
          </w:p>
        </w:tc>
        <w:tc>
          <w:tcPr>
            <w:tcW w:w="719" w:type="dxa"/>
            <w:noWrap/>
            <w:hideMark/>
          </w:tcPr>
          <w:p w14:paraId="717DB233"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1.9</w:t>
            </w:r>
          </w:p>
        </w:tc>
      </w:tr>
      <w:tr w:rsidR="000E65DA" w:rsidRPr="00B34EF5" w14:paraId="2B05873D"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34C853F6"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Labour use efficiency (ha/FTE)</w:t>
            </w:r>
          </w:p>
        </w:tc>
        <w:tc>
          <w:tcPr>
            <w:tcW w:w="2121" w:type="dxa"/>
            <w:noWrap/>
            <w:hideMark/>
          </w:tcPr>
          <w:p w14:paraId="0449DD03"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310</w:t>
            </w:r>
          </w:p>
        </w:tc>
        <w:tc>
          <w:tcPr>
            <w:tcW w:w="719" w:type="dxa"/>
            <w:noWrap/>
            <w:hideMark/>
          </w:tcPr>
          <w:p w14:paraId="20B06AFF"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299</w:t>
            </w:r>
          </w:p>
        </w:tc>
      </w:tr>
      <w:tr w:rsidR="000E65DA" w:rsidRPr="00B34EF5" w14:paraId="17D1C8F4"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0E21F765"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Labour use efficiency (DSE/FTE)</w:t>
            </w:r>
          </w:p>
        </w:tc>
        <w:tc>
          <w:tcPr>
            <w:tcW w:w="2121" w:type="dxa"/>
            <w:noWrap/>
            <w:hideMark/>
          </w:tcPr>
          <w:p w14:paraId="481C9510"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4,761</w:t>
            </w:r>
          </w:p>
        </w:tc>
        <w:tc>
          <w:tcPr>
            <w:tcW w:w="719" w:type="dxa"/>
            <w:noWrap/>
            <w:hideMark/>
          </w:tcPr>
          <w:p w14:paraId="0B8F6992"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4,772</w:t>
            </w:r>
          </w:p>
        </w:tc>
      </w:tr>
      <w:tr w:rsidR="000E65DA" w:rsidRPr="00B34EF5" w14:paraId="1C1E2D7B"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616F3FB"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Labour use efficiency (cash income/FTE)</w:t>
            </w:r>
          </w:p>
        </w:tc>
        <w:tc>
          <w:tcPr>
            <w:tcW w:w="2121" w:type="dxa"/>
            <w:noWrap/>
            <w:hideMark/>
          </w:tcPr>
          <w:p w14:paraId="199ADEFE"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$396,251</w:t>
            </w:r>
          </w:p>
        </w:tc>
        <w:tc>
          <w:tcPr>
            <w:tcW w:w="719" w:type="dxa"/>
            <w:noWrap/>
            <w:hideMark/>
          </w:tcPr>
          <w:p w14:paraId="656984F2"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$427,409</w:t>
            </w:r>
          </w:p>
        </w:tc>
      </w:tr>
      <w:tr w:rsidR="000E65DA" w:rsidRPr="00B34EF5" w14:paraId="731CBACB"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4CC37AEF"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Nitrogen applied to pasture (kg/ha)</w:t>
            </w:r>
          </w:p>
        </w:tc>
        <w:tc>
          <w:tcPr>
            <w:tcW w:w="2121" w:type="dxa"/>
            <w:noWrap/>
            <w:hideMark/>
          </w:tcPr>
          <w:p w14:paraId="025005F5"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14</w:t>
            </w:r>
          </w:p>
        </w:tc>
        <w:tc>
          <w:tcPr>
            <w:tcW w:w="719" w:type="dxa"/>
            <w:noWrap/>
            <w:hideMark/>
          </w:tcPr>
          <w:p w14:paraId="53014764"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11</w:t>
            </w:r>
          </w:p>
        </w:tc>
      </w:tr>
      <w:tr w:rsidR="000E65DA" w:rsidRPr="00B34EF5" w14:paraId="20168024"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3036EB11"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Phosphorus applied to pasture (kg/ha)</w:t>
            </w:r>
          </w:p>
        </w:tc>
        <w:tc>
          <w:tcPr>
            <w:tcW w:w="2121" w:type="dxa"/>
            <w:noWrap/>
            <w:hideMark/>
          </w:tcPr>
          <w:p w14:paraId="45E4C59D"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12</w:t>
            </w:r>
          </w:p>
        </w:tc>
        <w:tc>
          <w:tcPr>
            <w:tcW w:w="719" w:type="dxa"/>
            <w:noWrap/>
            <w:hideMark/>
          </w:tcPr>
          <w:p w14:paraId="747DFB16"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11</w:t>
            </w:r>
          </w:p>
        </w:tc>
      </w:tr>
      <w:tr w:rsidR="000E65DA" w:rsidRPr="00B34EF5" w14:paraId="4643D726"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1A3EB661" w14:textId="77777777" w:rsidR="000E65DA" w:rsidRPr="00B34EF5" w:rsidRDefault="000E65DA" w:rsidP="000E65DA">
            <w:pPr>
              <w:rPr>
                <w:rFonts w:eastAsia="Times New Roman" w:cs="Calibri"/>
                <w:color w:val="000000"/>
                <w:szCs w:val="20"/>
                <w:lang w:eastAsia="en-AU"/>
              </w:rPr>
            </w:pPr>
            <w:r w:rsidRPr="00B34EF5">
              <w:rPr>
                <w:rFonts w:eastAsia="Times New Roman" w:cs="Calibri"/>
                <w:color w:val="000000"/>
                <w:szCs w:val="20"/>
                <w:lang w:eastAsia="en-AU"/>
              </w:rPr>
              <w:t>Potassium applied to pasture (kg/ha)</w:t>
            </w:r>
          </w:p>
        </w:tc>
        <w:tc>
          <w:tcPr>
            <w:tcW w:w="2121" w:type="dxa"/>
            <w:noWrap/>
            <w:hideMark/>
          </w:tcPr>
          <w:p w14:paraId="72E75DC9"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12</w:t>
            </w:r>
          </w:p>
        </w:tc>
        <w:tc>
          <w:tcPr>
            <w:tcW w:w="719" w:type="dxa"/>
            <w:noWrap/>
            <w:hideMark/>
          </w:tcPr>
          <w:p w14:paraId="3105CADA"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15</w:t>
            </w:r>
          </w:p>
        </w:tc>
      </w:tr>
      <w:tr w:rsidR="000E65DA" w:rsidRPr="00B34EF5" w14:paraId="102631D2"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33A1B15C" w14:textId="77777777" w:rsidR="000E65DA" w:rsidRPr="00B34EF5" w:rsidRDefault="000E65DA" w:rsidP="000E65DA">
            <w:pPr>
              <w:rPr>
                <w:rFonts w:eastAsia="Times New Roman" w:cs="Calibri"/>
                <w:color w:val="000000"/>
                <w:szCs w:val="20"/>
                <w:lang w:eastAsia="en-AU"/>
              </w:rPr>
            </w:pPr>
            <w:proofErr w:type="spellStart"/>
            <w:r w:rsidRPr="00B34EF5">
              <w:rPr>
                <w:rFonts w:eastAsia="Times New Roman" w:cs="Calibri"/>
                <w:color w:val="000000"/>
                <w:szCs w:val="20"/>
                <w:lang w:eastAsia="en-AU"/>
              </w:rPr>
              <w:t>Sulfur</w:t>
            </w:r>
            <w:proofErr w:type="spellEnd"/>
            <w:r w:rsidRPr="00B34EF5">
              <w:rPr>
                <w:rFonts w:eastAsia="Times New Roman" w:cs="Calibri"/>
                <w:color w:val="000000"/>
                <w:szCs w:val="20"/>
                <w:lang w:eastAsia="en-AU"/>
              </w:rPr>
              <w:t xml:space="preserve"> applied to pasture (kg/ha)</w:t>
            </w:r>
          </w:p>
        </w:tc>
        <w:tc>
          <w:tcPr>
            <w:tcW w:w="2121" w:type="dxa"/>
            <w:noWrap/>
            <w:hideMark/>
          </w:tcPr>
          <w:p w14:paraId="5D1DE71E"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11</w:t>
            </w:r>
          </w:p>
        </w:tc>
        <w:tc>
          <w:tcPr>
            <w:tcW w:w="719" w:type="dxa"/>
            <w:noWrap/>
            <w:hideMark/>
          </w:tcPr>
          <w:p w14:paraId="5F385BCA"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34EF5">
              <w:rPr>
                <w:rFonts w:eastAsia="Times New Roman" w:cs="Calibri"/>
                <w:color w:val="000000"/>
                <w:szCs w:val="20"/>
                <w:lang w:eastAsia="en-AU"/>
              </w:rPr>
              <w:t>11</w:t>
            </w:r>
          </w:p>
        </w:tc>
      </w:tr>
      <w:tr w:rsidR="000E65DA" w:rsidRPr="00B34EF5" w14:paraId="25E15BF2"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24520C2C" w14:textId="77777777" w:rsidR="000E65DA" w:rsidRPr="00B34EF5" w:rsidRDefault="000E65DA" w:rsidP="000E65DA">
            <w:pPr>
              <w:rPr>
                <w:rFonts w:eastAsia="Times New Roman" w:cs="Calibri"/>
                <w:szCs w:val="20"/>
                <w:lang w:eastAsia="en-AU"/>
              </w:rPr>
            </w:pPr>
            <w:r w:rsidRPr="00B34EF5">
              <w:rPr>
                <w:rFonts w:eastAsia="Times New Roman" w:cs="Calibri"/>
                <w:szCs w:val="20"/>
                <w:lang w:eastAsia="en-AU"/>
              </w:rPr>
              <w:t>Beef stocking rate (DSE/ha)</w:t>
            </w:r>
          </w:p>
        </w:tc>
        <w:tc>
          <w:tcPr>
            <w:tcW w:w="2121" w:type="dxa"/>
            <w:noWrap/>
            <w:hideMark/>
          </w:tcPr>
          <w:p w14:paraId="7AA9C760"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AU"/>
              </w:rPr>
            </w:pPr>
            <w:r w:rsidRPr="00B34EF5">
              <w:rPr>
                <w:rFonts w:eastAsia="Times New Roman" w:cs="Calibri"/>
                <w:szCs w:val="20"/>
                <w:lang w:eastAsia="en-AU"/>
              </w:rPr>
              <w:t>17.6</w:t>
            </w:r>
          </w:p>
        </w:tc>
        <w:tc>
          <w:tcPr>
            <w:tcW w:w="719" w:type="dxa"/>
            <w:noWrap/>
            <w:hideMark/>
          </w:tcPr>
          <w:p w14:paraId="5E52B472"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AU"/>
              </w:rPr>
            </w:pPr>
            <w:r w:rsidRPr="00B34EF5">
              <w:rPr>
                <w:rFonts w:eastAsia="Times New Roman" w:cs="Calibri"/>
                <w:szCs w:val="20"/>
                <w:lang w:eastAsia="en-AU"/>
              </w:rPr>
              <w:t>17.0</w:t>
            </w:r>
          </w:p>
        </w:tc>
      </w:tr>
      <w:tr w:rsidR="000E65DA" w:rsidRPr="00B34EF5" w14:paraId="574A0491"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51912748" w14:textId="6E025A09" w:rsidR="000E65DA" w:rsidRPr="00B34EF5" w:rsidRDefault="000E65DA" w:rsidP="000E65DA">
            <w:pPr>
              <w:rPr>
                <w:rFonts w:eastAsia="Times New Roman" w:cs="Calibri"/>
                <w:szCs w:val="20"/>
                <w:lang w:eastAsia="en-AU"/>
              </w:rPr>
            </w:pPr>
            <w:r w:rsidRPr="00B34EF5">
              <w:rPr>
                <w:rFonts w:eastAsia="Times New Roman" w:cs="Calibri"/>
                <w:szCs w:val="20"/>
                <w:lang w:eastAsia="en-AU"/>
              </w:rPr>
              <w:t xml:space="preserve">Prime </w:t>
            </w:r>
            <w:r w:rsidR="000722B7">
              <w:rPr>
                <w:rFonts w:eastAsia="Times New Roman" w:cs="Calibri"/>
                <w:szCs w:val="20"/>
                <w:lang w:eastAsia="en-AU"/>
              </w:rPr>
              <w:t>l</w:t>
            </w:r>
            <w:r w:rsidRPr="00B34EF5">
              <w:rPr>
                <w:rFonts w:eastAsia="Times New Roman" w:cs="Calibri"/>
                <w:szCs w:val="20"/>
                <w:lang w:eastAsia="en-AU"/>
              </w:rPr>
              <w:t>amb stocking rate (DSE/ha)</w:t>
            </w:r>
          </w:p>
        </w:tc>
        <w:tc>
          <w:tcPr>
            <w:tcW w:w="2121" w:type="dxa"/>
            <w:noWrap/>
            <w:hideMark/>
          </w:tcPr>
          <w:p w14:paraId="489CE33A"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AU"/>
              </w:rPr>
            </w:pPr>
            <w:r w:rsidRPr="00B34EF5">
              <w:rPr>
                <w:rFonts w:eastAsia="Times New Roman" w:cs="Calibri"/>
                <w:szCs w:val="20"/>
                <w:lang w:eastAsia="en-AU"/>
              </w:rPr>
              <w:t>16.3</w:t>
            </w:r>
          </w:p>
        </w:tc>
        <w:tc>
          <w:tcPr>
            <w:tcW w:w="719" w:type="dxa"/>
            <w:noWrap/>
            <w:hideMark/>
          </w:tcPr>
          <w:p w14:paraId="45C5FB64"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AU"/>
              </w:rPr>
            </w:pPr>
            <w:r w:rsidRPr="00B34EF5">
              <w:rPr>
                <w:rFonts w:eastAsia="Times New Roman" w:cs="Calibri"/>
                <w:szCs w:val="20"/>
                <w:lang w:eastAsia="en-AU"/>
              </w:rPr>
              <w:t>14.3</w:t>
            </w:r>
          </w:p>
        </w:tc>
      </w:tr>
      <w:tr w:rsidR="000E65DA" w:rsidRPr="00B34EF5" w14:paraId="39B018DA"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400" w:type="dxa"/>
            <w:noWrap/>
            <w:hideMark/>
          </w:tcPr>
          <w:p w14:paraId="4D9E1554" w14:textId="77777777" w:rsidR="000E65DA" w:rsidRPr="00B34EF5" w:rsidRDefault="000E65DA" w:rsidP="000E65DA">
            <w:pPr>
              <w:rPr>
                <w:rFonts w:eastAsia="Times New Roman" w:cs="Calibri"/>
                <w:szCs w:val="20"/>
                <w:lang w:eastAsia="en-AU"/>
              </w:rPr>
            </w:pPr>
            <w:r w:rsidRPr="00B34EF5">
              <w:rPr>
                <w:rFonts w:eastAsia="Times New Roman" w:cs="Calibri"/>
                <w:szCs w:val="20"/>
                <w:lang w:eastAsia="en-AU"/>
              </w:rPr>
              <w:t>Wool sheep stocking rate (DSE/ha)</w:t>
            </w:r>
          </w:p>
        </w:tc>
        <w:tc>
          <w:tcPr>
            <w:tcW w:w="2121" w:type="dxa"/>
            <w:noWrap/>
            <w:hideMark/>
          </w:tcPr>
          <w:p w14:paraId="44A50B83"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AU"/>
              </w:rPr>
            </w:pPr>
            <w:r w:rsidRPr="00B34EF5">
              <w:rPr>
                <w:rFonts w:eastAsia="Times New Roman" w:cs="Calibri"/>
                <w:szCs w:val="20"/>
                <w:lang w:eastAsia="en-AU"/>
              </w:rPr>
              <w:t>10.8</w:t>
            </w:r>
          </w:p>
        </w:tc>
        <w:tc>
          <w:tcPr>
            <w:tcW w:w="719" w:type="dxa"/>
            <w:noWrap/>
            <w:hideMark/>
          </w:tcPr>
          <w:p w14:paraId="0AB76BD2" w14:textId="77777777" w:rsidR="000E65DA" w:rsidRPr="00B34EF5" w:rsidRDefault="000E65DA" w:rsidP="000E65DA">
            <w:pPr>
              <w:jc w:val="center"/>
              <w:cnfStyle w:val="000000000000" w:firstRow="0" w:lastRow="0" w:firstColumn="0" w:lastColumn="0" w:oddVBand="0" w:evenVBand="0" w:oddHBand="0" w:evenHBand="0" w:firstRowFirstColumn="0" w:firstRowLastColumn="0" w:lastRowFirstColumn="0" w:lastRowLastColumn="0"/>
              <w:rPr>
                <w:rFonts w:eastAsia="Times New Roman" w:cs="Calibri"/>
                <w:szCs w:val="20"/>
                <w:lang w:eastAsia="en-AU"/>
              </w:rPr>
            </w:pPr>
            <w:r w:rsidRPr="00B34EF5">
              <w:rPr>
                <w:rFonts w:eastAsia="Times New Roman" w:cs="Calibri"/>
                <w:szCs w:val="20"/>
                <w:lang w:eastAsia="en-AU"/>
              </w:rPr>
              <w:t>10.7</w:t>
            </w:r>
          </w:p>
        </w:tc>
      </w:tr>
    </w:tbl>
    <w:p w14:paraId="1BEB7FA8" w14:textId="67EDE149" w:rsidR="003E34EB" w:rsidRPr="00F73ED4" w:rsidRDefault="003E34EB">
      <w:pPr>
        <w:rPr>
          <w:color w:val="FF0000"/>
          <w:szCs w:val="20"/>
        </w:rPr>
      </w:pPr>
    </w:p>
    <w:p w14:paraId="53CE7C6A" w14:textId="31E023E4" w:rsidR="00BF76F1" w:rsidRPr="0074280E" w:rsidRDefault="00BF76F1" w:rsidP="009A3637">
      <w:pPr>
        <w:rPr>
          <w:b/>
          <w:color w:val="FF0000"/>
          <w:szCs w:val="20"/>
        </w:rPr>
      </w:pPr>
    </w:p>
    <w:p w14:paraId="443A465B" w14:textId="7637B92F" w:rsidR="00E46D9B" w:rsidRPr="00F73ED4" w:rsidRDefault="00E46D9B">
      <w:pPr>
        <w:rPr>
          <w:b/>
          <w:color w:val="FF0000"/>
          <w:szCs w:val="20"/>
        </w:rPr>
      </w:pPr>
    </w:p>
    <w:p w14:paraId="24BD02E7" w14:textId="77777777" w:rsidR="00D12059" w:rsidRDefault="00D12059" w:rsidP="003B049E">
      <w:pPr>
        <w:rPr>
          <w:b/>
          <w:color w:val="FF0000"/>
          <w:szCs w:val="20"/>
        </w:rPr>
      </w:pPr>
    </w:p>
    <w:p w14:paraId="63EABF93" w14:textId="77777777" w:rsidR="00D12059" w:rsidRDefault="00D12059">
      <w:pPr>
        <w:rPr>
          <w:b/>
          <w:color w:val="FF0000"/>
          <w:szCs w:val="20"/>
        </w:rPr>
      </w:pPr>
      <w:r>
        <w:rPr>
          <w:b/>
          <w:color w:val="FF0000"/>
          <w:szCs w:val="20"/>
        </w:rPr>
        <w:br w:type="page"/>
      </w:r>
    </w:p>
    <w:p w14:paraId="26A5ECCB" w14:textId="22F98EBF" w:rsidR="00D12059" w:rsidRPr="0064154B" w:rsidRDefault="00D12059" w:rsidP="00D12059">
      <w:pPr>
        <w:pStyle w:val="Heading2"/>
        <w:rPr>
          <w:bCs/>
        </w:rPr>
      </w:pPr>
      <w:r w:rsidRPr="0064154B">
        <w:rPr>
          <w:bCs/>
        </w:rPr>
        <w:lastRenderedPageBreak/>
        <w:t>Nort</w:t>
      </w:r>
      <w:r w:rsidR="00692A86" w:rsidRPr="0064154B">
        <w:rPr>
          <w:bCs/>
        </w:rPr>
        <w:t>hern Victoria</w:t>
      </w:r>
    </w:p>
    <w:p w14:paraId="51598C23" w14:textId="33273F14" w:rsidR="00D12059" w:rsidRPr="000A6AD7" w:rsidRDefault="00D12059" w:rsidP="000A6AD7">
      <w:pPr>
        <w:pStyle w:val="Heading3"/>
        <w:rPr>
          <w:b/>
          <w:bCs/>
        </w:rPr>
      </w:pPr>
      <w:r w:rsidRPr="000A6AD7">
        <w:rPr>
          <w:b/>
          <w:bCs/>
        </w:rPr>
        <w:t xml:space="preserve">Price </w:t>
      </w:r>
      <w:proofErr w:type="spellStart"/>
      <w:r w:rsidR="001B5E52">
        <w:rPr>
          <w:b/>
          <w:bCs/>
        </w:rPr>
        <w:t>r</w:t>
      </w:r>
      <w:r w:rsidRPr="000A6AD7">
        <w:rPr>
          <w:b/>
          <w:bCs/>
        </w:rPr>
        <w:t>ecieved</w:t>
      </w:r>
      <w:proofErr w:type="spellEnd"/>
    </w:p>
    <w:p w14:paraId="6E956EA7" w14:textId="02DACAC4" w:rsidR="00D12059" w:rsidRDefault="00B150E6" w:rsidP="00D12059">
      <w:pPr>
        <w:rPr>
          <w:color w:val="FF0000"/>
          <w:szCs w:val="20"/>
        </w:rPr>
      </w:pPr>
      <w:r>
        <w:rPr>
          <w:noProof/>
          <w:color w:val="FF0000"/>
          <w:szCs w:val="20"/>
        </w:rPr>
        <w:drawing>
          <wp:inline distT="0" distB="0" distL="0" distR="0" wp14:anchorId="44E96F9C" wp14:editId="7C63C964">
            <wp:extent cx="2638425" cy="1788664"/>
            <wp:effectExtent l="0" t="0" r="0" b="2540"/>
            <wp:docPr id="24" name="Picture 24" descr="Northern Victoria enterprise mix (proportion of cash income) shown as a pie graph. Data in the app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Northern Victoria enterprise mix (proportion of cash income) shown as a pie graph. Data in the appendi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46959" cy="1794450"/>
                    </a:xfrm>
                    <a:prstGeom prst="rect">
                      <a:avLst/>
                    </a:prstGeom>
                    <a:noFill/>
                  </pic:spPr>
                </pic:pic>
              </a:graphicData>
            </a:graphic>
          </wp:inline>
        </w:drawing>
      </w:r>
    </w:p>
    <w:p w14:paraId="0E007132" w14:textId="3E7DDC43" w:rsidR="00A852A0" w:rsidRDefault="001F205F" w:rsidP="00A852A0">
      <w:pPr>
        <w:pStyle w:val="Caption"/>
      </w:pPr>
      <w:r>
        <w:t xml:space="preserve">Figure </w:t>
      </w:r>
      <w:fldSimple w:instr=" SEQ Figure \* ARABIC ">
        <w:r w:rsidR="00FC7BFA">
          <w:rPr>
            <w:noProof/>
          </w:rPr>
          <w:t>13</w:t>
        </w:r>
      </w:fldSimple>
      <w:r>
        <w:t>.</w:t>
      </w:r>
      <w:r w:rsidR="0013594D" w:rsidRPr="0013594D">
        <w:t xml:space="preserve"> </w:t>
      </w:r>
      <w:r w:rsidR="0013594D">
        <w:t>North</w:t>
      </w:r>
      <w:r w:rsidR="009F52CE">
        <w:t>ern Victoria</w:t>
      </w:r>
      <w:r w:rsidR="0013594D" w:rsidRPr="0013594D">
        <w:t xml:space="preserve"> enterprise mix</w:t>
      </w:r>
      <w:r w:rsidR="00CF3974">
        <w:t xml:space="preserve"> (</w:t>
      </w:r>
      <w:r w:rsidR="009C49E4">
        <w:t>proportion of cash income)</w:t>
      </w:r>
    </w:p>
    <w:p w14:paraId="4FF35668" w14:textId="20DB6D9A" w:rsidR="00560FE2" w:rsidRPr="00A852A0" w:rsidRDefault="00D11A2E" w:rsidP="00A852A0">
      <w:pPr>
        <w:pStyle w:val="Caption"/>
        <w:rPr>
          <w:color w:val="FF0000"/>
        </w:rPr>
      </w:pPr>
      <w:r>
        <w:t>T</w:t>
      </w:r>
      <w:r w:rsidRPr="00560FE2">
        <w:t>he combination of exceptional seasonal conditions and high</w:t>
      </w:r>
      <w:r>
        <w:t xml:space="preserve"> </w:t>
      </w:r>
      <w:r w:rsidRPr="00560FE2">
        <w:t>commodity prices</w:t>
      </w:r>
      <w:r>
        <w:t xml:space="preserve"> </w:t>
      </w:r>
      <w:r w:rsidR="00D2442F" w:rsidRPr="00D2442F">
        <w:t xml:space="preserve">led to the highest average gross farm income recorded by the project in </w:t>
      </w:r>
      <w:r w:rsidR="003F14CB">
        <w:t>N</w:t>
      </w:r>
      <w:r w:rsidR="00D2442F" w:rsidRPr="003B757C">
        <w:t>orthern Victoria (Appendix C12)</w:t>
      </w:r>
      <w:r w:rsidR="00C716DF" w:rsidRPr="003B757C">
        <w:t>.</w:t>
      </w:r>
      <w:r w:rsidR="00D2442F" w:rsidRPr="003B757C">
        <w:t xml:space="preserve"> </w:t>
      </w:r>
      <w:r w:rsidR="00060A2E" w:rsidRPr="003B757C">
        <w:t xml:space="preserve">Beef cattle </w:t>
      </w:r>
      <w:r w:rsidR="00B60035">
        <w:t xml:space="preserve">were </w:t>
      </w:r>
      <w:r w:rsidR="00060A2E" w:rsidRPr="003B757C">
        <w:t xml:space="preserve">the major enterprise on </w:t>
      </w:r>
      <w:r w:rsidR="00B60035">
        <w:t>n</w:t>
      </w:r>
      <w:r w:rsidR="00060A2E" w:rsidRPr="003B757C">
        <w:t>orthern farms</w:t>
      </w:r>
      <w:r w:rsidR="00060A2E">
        <w:t xml:space="preserve"> </w:t>
      </w:r>
      <w:r w:rsidR="00C716DF">
        <w:t>and</w:t>
      </w:r>
      <w:r w:rsidR="0090225A">
        <w:t xml:space="preserve"> </w:t>
      </w:r>
      <w:r w:rsidR="00174376">
        <w:t xml:space="preserve">many </w:t>
      </w:r>
      <w:r w:rsidR="0090225A">
        <w:t>were</w:t>
      </w:r>
      <w:r w:rsidR="004A4C5D">
        <w:t xml:space="preserve"> well placed to take a</w:t>
      </w:r>
      <w:r w:rsidR="0090225A">
        <w:t xml:space="preserve">dvantage of the </w:t>
      </w:r>
      <w:r w:rsidR="00B50B81">
        <w:t xml:space="preserve">high </w:t>
      </w:r>
      <w:r w:rsidR="00C716DF">
        <w:t xml:space="preserve">beef </w:t>
      </w:r>
      <w:r w:rsidR="00B50B81">
        <w:t>prices</w:t>
      </w:r>
      <w:r w:rsidR="00FB5596">
        <w:t>.</w:t>
      </w:r>
      <w:r w:rsidR="00AC4B33">
        <w:t xml:space="preserve"> </w:t>
      </w:r>
      <w:r w:rsidR="007C7514" w:rsidRPr="007C7514">
        <w:t xml:space="preserve">The average beef price received by </w:t>
      </w:r>
      <w:r w:rsidR="00B60035">
        <w:t>n</w:t>
      </w:r>
      <w:r w:rsidR="007C7514" w:rsidRPr="007C7514">
        <w:t xml:space="preserve">orthern farmers increased </w:t>
      </w:r>
      <w:r w:rsidR="00A53BEF">
        <w:t>29</w:t>
      </w:r>
      <w:r w:rsidR="007C7514" w:rsidRPr="007C7514">
        <w:t xml:space="preserve"> per cent in 202</w:t>
      </w:r>
      <w:r w:rsidR="007C7514">
        <w:t>1</w:t>
      </w:r>
      <w:r w:rsidR="003F14CB">
        <w:t>–</w:t>
      </w:r>
      <w:r w:rsidR="007C7514" w:rsidRPr="007C7514">
        <w:t>2</w:t>
      </w:r>
      <w:r w:rsidR="007C7514">
        <w:t>2</w:t>
      </w:r>
      <w:r w:rsidR="001276D6">
        <w:t xml:space="preserve"> compared to the previous year</w:t>
      </w:r>
      <w:r w:rsidR="007C7514" w:rsidRPr="007C7514">
        <w:t xml:space="preserve">. </w:t>
      </w:r>
    </w:p>
    <w:p w14:paraId="5A6A8EEF" w14:textId="4F56CC95" w:rsidR="00D12059" w:rsidRPr="00D44F98" w:rsidRDefault="00D12059" w:rsidP="00560FE2">
      <w:pPr>
        <w:rPr>
          <w:b/>
          <w:bCs/>
          <w:lang w:val="fr-FR"/>
        </w:rPr>
      </w:pPr>
      <w:proofErr w:type="gramStart"/>
      <w:r w:rsidRPr="00D44F98">
        <w:rPr>
          <w:b/>
          <w:bCs/>
          <w:lang w:val="fr-FR"/>
        </w:rPr>
        <w:t>Fertiliser:</w:t>
      </w:r>
      <w:proofErr w:type="gramEnd"/>
      <w:r w:rsidRPr="00D44F98">
        <w:rPr>
          <w:b/>
          <w:bCs/>
          <w:lang w:val="fr-FR"/>
        </w:rPr>
        <w:t xml:space="preserve"> </w:t>
      </w:r>
    </w:p>
    <w:p w14:paraId="411952F6" w14:textId="7925779E" w:rsidR="00FE5DFC" w:rsidRDefault="004B25F5" w:rsidP="00FE48E8">
      <w:pPr>
        <w:rPr>
          <w:color w:val="000000" w:themeColor="text1"/>
          <w:szCs w:val="20"/>
        </w:rPr>
      </w:pPr>
      <w:r w:rsidRPr="003D701B">
        <w:rPr>
          <w:color w:val="000000" w:themeColor="text1"/>
          <w:szCs w:val="20"/>
        </w:rPr>
        <w:t>C</w:t>
      </w:r>
      <w:r w:rsidR="00331518" w:rsidRPr="003D701B">
        <w:rPr>
          <w:color w:val="000000" w:themeColor="text1"/>
          <w:szCs w:val="20"/>
        </w:rPr>
        <w:t>ont</w:t>
      </w:r>
      <w:r w:rsidR="00A77770" w:rsidRPr="003D701B">
        <w:rPr>
          <w:color w:val="000000" w:themeColor="text1"/>
          <w:szCs w:val="20"/>
        </w:rPr>
        <w:t xml:space="preserve">rary to </w:t>
      </w:r>
      <w:r w:rsidRPr="003D701B">
        <w:rPr>
          <w:color w:val="000000" w:themeColor="text1"/>
          <w:szCs w:val="20"/>
        </w:rPr>
        <w:t xml:space="preserve">the trend across the state, </w:t>
      </w:r>
      <w:r w:rsidR="00A77770" w:rsidRPr="003D701B">
        <w:rPr>
          <w:color w:val="000000" w:themeColor="text1"/>
          <w:szCs w:val="20"/>
        </w:rPr>
        <w:t>the</w:t>
      </w:r>
      <w:r w:rsidR="00C77358" w:rsidRPr="003D701B">
        <w:rPr>
          <w:color w:val="000000" w:themeColor="text1"/>
          <w:szCs w:val="20"/>
        </w:rPr>
        <w:t>re was a decrease in</w:t>
      </w:r>
      <w:r w:rsidR="00A77770" w:rsidRPr="003D701B">
        <w:rPr>
          <w:color w:val="000000" w:themeColor="text1"/>
          <w:szCs w:val="20"/>
        </w:rPr>
        <w:t xml:space="preserve"> average </w:t>
      </w:r>
      <w:r w:rsidR="00216C77" w:rsidRPr="003D701B">
        <w:rPr>
          <w:color w:val="000000" w:themeColor="text1"/>
          <w:szCs w:val="20"/>
        </w:rPr>
        <w:t>expenditure on</w:t>
      </w:r>
      <w:r w:rsidR="00A77770" w:rsidRPr="003D701B">
        <w:rPr>
          <w:color w:val="000000" w:themeColor="text1"/>
          <w:szCs w:val="20"/>
        </w:rPr>
        <w:t xml:space="preserve"> </w:t>
      </w:r>
      <w:r w:rsidRPr="003D701B">
        <w:rPr>
          <w:color w:val="000000" w:themeColor="text1"/>
          <w:szCs w:val="20"/>
        </w:rPr>
        <w:t>fertiliser</w:t>
      </w:r>
      <w:r w:rsidR="00A77770" w:rsidRPr="003D701B">
        <w:rPr>
          <w:color w:val="000000" w:themeColor="text1"/>
          <w:szCs w:val="20"/>
        </w:rPr>
        <w:t xml:space="preserve"> applied to pasture in </w:t>
      </w:r>
      <w:r w:rsidR="00274925">
        <w:rPr>
          <w:color w:val="000000" w:themeColor="text1"/>
          <w:szCs w:val="20"/>
        </w:rPr>
        <w:t>N</w:t>
      </w:r>
      <w:r w:rsidR="00A77770" w:rsidRPr="003D701B">
        <w:rPr>
          <w:color w:val="000000" w:themeColor="text1"/>
          <w:szCs w:val="20"/>
        </w:rPr>
        <w:t>orth</w:t>
      </w:r>
      <w:r w:rsidR="00FD1574">
        <w:rPr>
          <w:color w:val="000000" w:themeColor="text1"/>
          <w:szCs w:val="20"/>
        </w:rPr>
        <w:t>ern Victoria</w:t>
      </w:r>
      <w:r w:rsidR="00792969">
        <w:rPr>
          <w:color w:val="000000" w:themeColor="text1"/>
          <w:szCs w:val="20"/>
        </w:rPr>
        <w:t xml:space="preserve"> (</w:t>
      </w:r>
      <w:r w:rsidR="001F44F9">
        <w:rPr>
          <w:color w:val="000000" w:themeColor="text1"/>
          <w:szCs w:val="20"/>
        </w:rPr>
        <w:t>Figure 14)</w:t>
      </w:r>
      <w:r w:rsidRPr="003D701B">
        <w:rPr>
          <w:color w:val="000000" w:themeColor="text1"/>
          <w:szCs w:val="20"/>
        </w:rPr>
        <w:t>.</w:t>
      </w:r>
      <w:r w:rsidR="009B27B6" w:rsidRPr="003D701B">
        <w:rPr>
          <w:color w:val="000000" w:themeColor="text1"/>
          <w:szCs w:val="20"/>
        </w:rPr>
        <w:t xml:space="preserve"> </w:t>
      </w:r>
      <w:r w:rsidR="007A18A7">
        <w:rPr>
          <w:color w:val="000000" w:themeColor="text1"/>
          <w:szCs w:val="20"/>
        </w:rPr>
        <w:t>Phosphorus</w:t>
      </w:r>
      <w:r w:rsidR="007A18A7" w:rsidRPr="003D701B">
        <w:rPr>
          <w:color w:val="000000" w:themeColor="text1"/>
          <w:szCs w:val="20"/>
        </w:rPr>
        <w:t xml:space="preserve"> </w:t>
      </w:r>
      <w:r w:rsidR="00BA1CED" w:rsidRPr="003D701B">
        <w:rPr>
          <w:color w:val="000000" w:themeColor="text1"/>
          <w:szCs w:val="20"/>
        </w:rPr>
        <w:t xml:space="preserve">and nitrogen application rates decreased to below </w:t>
      </w:r>
      <w:r w:rsidR="0059513D">
        <w:rPr>
          <w:color w:val="000000" w:themeColor="text1"/>
          <w:szCs w:val="20"/>
        </w:rPr>
        <w:t xml:space="preserve">the </w:t>
      </w:r>
      <w:r w:rsidR="00004126">
        <w:rPr>
          <w:color w:val="000000" w:themeColor="text1"/>
          <w:szCs w:val="20"/>
        </w:rPr>
        <w:t>three</w:t>
      </w:r>
      <w:r w:rsidR="0059513D">
        <w:rPr>
          <w:color w:val="000000" w:themeColor="text1"/>
          <w:szCs w:val="20"/>
        </w:rPr>
        <w:t xml:space="preserve">-year </w:t>
      </w:r>
      <w:r w:rsidR="00BA1CED" w:rsidRPr="003D701B">
        <w:rPr>
          <w:color w:val="000000" w:themeColor="text1"/>
          <w:szCs w:val="20"/>
        </w:rPr>
        <w:t xml:space="preserve">average </w:t>
      </w:r>
      <w:r w:rsidR="00BA1CED">
        <w:rPr>
          <w:color w:val="000000" w:themeColor="text1"/>
          <w:szCs w:val="20"/>
        </w:rPr>
        <w:t>as farm m</w:t>
      </w:r>
      <w:r w:rsidR="00D671A6" w:rsidRPr="003D701B">
        <w:rPr>
          <w:color w:val="000000" w:themeColor="text1"/>
          <w:szCs w:val="20"/>
        </w:rPr>
        <w:t xml:space="preserve">anagers </w:t>
      </w:r>
      <w:proofErr w:type="spellStart"/>
      <w:r w:rsidR="00D671A6" w:rsidRPr="003D701B">
        <w:rPr>
          <w:color w:val="000000" w:themeColor="text1"/>
          <w:szCs w:val="20"/>
        </w:rPr>
        <w:t>attemped</w:t>
      </w:r>
      <w:proofErr w:type="spellEnd"/>
      <w:r w:rsidR="00D671A6" w:rsidRPr="003D701B">
        <w:rPr>
          <w:color w:val="000000" w:themeColor="text1"/>
          <w:szCs w:val="20"/>
        </w:rPr>
        <w:t xml:space="preserve"> to offset the high </w:t>
      </w:r>
      <w:r w:rsidR="00CC4F25">
        <w:rPr>
          <w:color w:val="000000" w:themeColor="text1"/>
          <w:szCs w:val="20"/>
        </w:rPr>
        <w:t>fertiliser</w:t>
      </w:r>
      <w:r w:rsidR="00CC4F25" w:rsidRPr="003D701B">
        <w:rPr>
          <w:color w:val="000000" w:themeColor="text1"/>
          <w:szCs w:val="20"/>
        </w:rPr>
        <w:t xml:space="preserve"> </w:t>
      </w:r>
      <w:r w:rsidR="00D671A6" w:rsidRPr="003D701B">
        <w:rPr>
          <w:color w:val="000000" w:themeColor="text1"/>
          <w:szCs w:val="20"/>
        </w:rPr>
        <w:t xml:space="preserve">price by </w:t>
      </w:r>
      <w:r w:rsidR="00A07EFB" w:rsidRPr="003D701B">
        <w:rPr>
          <w:color w:val="000000" w:themeColor="text1"/>
          <w:szCs w:val="20"/>
        </w:rPr>
        <w:t xml:space="preserve">decreasing </w:t>
      </w:r>
      <w:r w:rsidR="007902B6" w:rsidRPr="003D701B">
        <w:rPr>
          <w:color w:val="000000" w:themeColor="text1"/>
          <w:szCs w:val="20"/>
        </w:rPr>
        <w:t xml:space="preserve">fertiliser </w:t>
      </w:r>
      <w:r w:rsidR="00A07EFB" w:rsidRPr="003D701B">
        <w:rPr>
          <w:color w:val="000000" w:themeColor="text1"/>
          <w:szCs w:val="20"/>
        </w:rPr>
        <w:t>application rates</w:t>
      </w:r>
      <w:r w:rsidR="007902B6" w:rsidRPr="003D701B">
        <w:rPr>
          <w:color w:val="000000" w:themeColor="text1"/>
          <w:szCs w:val="20"/>
        </w:rPr>
        <w:t xml:space="preserve">. </w:t>
      </w:r>
    </w:p>
    <w:p w14:paraId="0E820FC6" w14:textId="5023AA03" w:rsidR="00FE5DFC" w:rsidRDefault="00F91FBC" w:rsidP="00EE3D1B">
      <w:r>
        <w:rPr>
          <w:b/>
          <w:bCs/>
          <w:noProof/>
          <w:szCs w:val="20"/>
        </w:rPr>
        <w:drawing>
          <wp:inline distT="0" distB="0" distL="0" distR="0" wp14:anchorId="0E22E878" wp14:editId="5E04CA92">
            <wp:extent cx="3366371" cy="1913890"/>
            <wp:effectExtent l="0" t="0" r="5715" b="0"/>
            <wp:docPr id="28" name="Picture 28" descr="Average cost of fertiliser applied to pasture over time shown as a lin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verage cost of fertiliser applied to pasture over time shown as a line graph."/>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76251" cy="1919507"/>
                    </a:xfrm>
                    <a:prstGeom prst="rect">
                      <a:avLst/>
                    </a:prstGeom>
                    <a:noFill/>
                  </pic:spPr>
                </pic:pic>
              </a:graphicData>
            </a:graphic>
          </wp:inline>
        </w:drawing>
      </w:r>
    </w:p>
    <w:p w14:paraId="5CD2608B" w14:textId="61E44D9B" w:rsidR="0013594D" w:rsidRPr="000A6AD7" w:rsidRDefault="0013594D" w:rsidP="000A6AD7">
      <w:pPr>
        <w:pStyle w:val="Caption"/>
      </w:pPr>
      <w:r w:rsidRPr="000A6AD7">
        <w:t xml:space="preserve">Figure </w:t>
      </w:r>
      <w:fldSimple w:instr=" SEQ Figure \* ARABIC ">
        <w:r w:rsidR="00FC7BFA" w:rsidRPr="000A6AD7">
          <w:t>14</w:t>
        </w:r>
      </w:fldSimple>
      <w:r w:rsidRPr="000A6AD7">
        <w:t>. Average cost of fertiliser applied to pasture over time</w:t>
      </w:r>
    </w:p>
    <w:p w14:paraId="78E63599" w14:textId="09D7BD9D" w:rsidR="00DA3847" w:rsidRDefault="00B276A5" w:rsidP="00FE48E8">
      <w:pPr>
        <w:rPr>
          <w:color w:val="000000" w:themeColor="text1"/>
          <w:szCs w:val="20"/>
        </w:rPr>
      </w:pPr>
      <w:r w:rsidRPr="00151876">
        <w:rPr>
          <w:color w:val="000000" w:themeColor="text1"/>
          <w:szCs w:val="20"/>
        </w:rPr>
        <w:t xml:space="preserve">In </w:t>
      </w:r>
      <w:r w:rsidR="00E1668B" w:rsidRPr="00151876">
        <w:rPr>
          <w:color w:val="000000" w:themeColor="text1"/>
          <w:szCs w:val="20"/>
        </w:rPr>
        <w:t xml:space="preserve">response to the </w:t>
      </w:r>
      <w:r w:rsidR="00E1462F" w:rsidRPr="00151876">
        <w:rPr>
          <w:color w:val="000000" w:themeColor="text1"/>
          <w:szCs w:val="20"/>
        </w:rPr>
        <w:t>high</w:t>
      </w:r>
      <w:r w:rsidR="00004126">
        <w:rPr>
          <w:color w:val="000000" w:themeColor="text1"/>
          <w:szCs w:val="20"/>
        </w:rPr>
        <w:t xml:space="preserve"> fertiliser</w:t>
      </w:r>
      <w:r w:rsidR="00E1462F" w:rsidRPr="00151876">
        <w:rPr>
          <w:color w:val="000000" w:themeColor="text1"/>
          <w:szCs w:val="20"/>
        </w:rPr>
        <w:t xml:space="preserve"> price and low</w:t>
      </w:r>
      <w:r w:rsidR="005D620C">
        <w:rPr>
          <w:color w:val="000000" w:themeColor="text1"/>
          <w:szCs w:val="20"/>
        </w:rPr>
        <w:t>er</w:t>
      </w:r>
      <w:r w:rsidR="00E1462F" w:rsidRPr="00151876">
        <w:rPr>
          <w:color w:val="000000" w:themeColor="text1"/>
          <w:szCs w:val="20"/>
        </w:rPr>
        <w:t xml:space="preserve"> availability</w:t>
      </w:r>
      <w:r w:rsidR="005D620C">
        <w:rPr>
          <w:color w:val="000000" w:themeColor="text1"/>
          <w:szCs w:val="20"/>
        </w:rPr>
        <w:t xml:space="preserve"> in 202</w:t>
      </w:r>
      <w:r w:rsidR="00DC3837">
        <w:rPr>
          <w:color w:val="000000" w:themeColor="text1"/>
          <w:szCs w:val="20"/>
        </w:rPr>
        <w:t>1</w:t>
      </w:r>
      <w:r w:rsidR="008A326D">
        <w:t>–</w:t>
      </w:r>
      <w:r w:rsidR="00DC3837">
        <w:rPr>
          <w:color w:val="000000" w:themeColor="text1"/>
          <w:szCs w:val="20"/>
        </w:rPr>
        <w:t>22</w:t>
      </w:r>
      <w:r w:rsidRPr="00151876">
        <w:rPr>
          <w:color w:val="000000" w:themeColor="text1"/>
          <w:szCs w:val="20"/>
        </w:rPr>
        <w:t>, 19</w:t>
      </w:r>
      <w:r w:rsidR="00792969" w:rsidRPr="00151876">
        <w:rPr>
          <w:color w:val="000000" w:themeColor="text1"/>
          <w:szCs w:val="20"/>
        </w:rPr>
        <w:t xml:space="preserve"> per</w:t>
      </w:r>
      <w:r w:rsidR="001F44F9" w:rsidRPr="00151876">
        <w:rPr>
          <w:color w:val="000000" w:themeColor="text1"/>
          <w:szCs w:val="20"/>
        </w:rPr>
        <w:t xml:space="preserve"> </w:t>
      </w:r>
      <w:r w:rsidR="00792969" w:rsidRPr="003B757C">
        <w:rPr>
          <w:color w:val="000000" w:themeColor="text1"/>
          <w:szCs w:val="20"/>
        </w:rPr>
        <w:t xml:space="preserve">cent </w:t>
      </w:r>
      <w:r w:rsidR="00EE01FF" w:rsidRPr="003B757C">
        <w:rPr>
          <w:color w:val="000000" w:themeColor="text1"/>
          <w:szCs w:val="20"/>
        </w:rPr>
        <w:t>of</w:t>
      </w:r>
      <w:r w:rsidRPr="003B757C">
        <w:rPr>
          <w:color w:val="000000" w:themeColor="text1"/>
          <w:szCs w:val="20"/>
        </w:rPr>
        <w:t xml:space="preserve"> </w:t>
      </w:r>
      <w:r w:rsidR="001D4F82">
        <w:rPr>
          <w:color w:val="000000" w:themeColor="text1"/>
          <w:szCs w:val="20"/>
        </w:rPr>
        <w:t>n</w:t>
      </w:r>
      <w:r w:rsidRPr="003B757C">
        <w:rPr>
          <w:color w:val="000000" w:themeColor="text1"/>
          <w:szCs w:val="20"/>
        </w:rPr>
        <w:t>orthern</w:t>
      </w:r>
      <w:r w:rsidRPr="00151876">
        <w:rPr>
          <w:color w:val="000000" w:themeColor="text1"/>
          <w:szCs w:val="20"/>
        </w:rPr>
        <w:t xml:space="preserve"> participants did not apply any fertiliser</w:t>
      </w:r>
      <w:r w:rsidR="009F60F2">
        <w:rPr>
          <w:color w:val="000000" w:themeColor="text1"/>
          <w:szCs w:val="20"/>
        </w:rPr>
        <w:t xml:space="preserve"> (Figure 15)</w:t>
      </w:r>
      <w:r w:rsidRPr="00151876">
        <w:rPr>
          <w:color w:val="000000" w:themeColor="text1"/>
          <w:szCs w:val="20"/>
        </w:rPr>
        <w:t>.</w:t>
      </w:r>
      <w:r w:rsidR="00DA3847" w:rsidRPr="00DA3847">
        <w:rPr>
          <w:color w:val="000000" w:themeColor="text1"/>
          <w:szCs w:val="20"/>
        </w:rPr>
        <w:t xml:space="preserve"> </w:t>
      </w:r>
      <w:r w:rsidR="00184E2D">
        <w:rPr>
          <w:color w:val="000000" w:themeColor="text1"/>
          <w:szCs w:val="20"/>
        </w:rPr>
        <w:t xml:space="preserve">A similar proportion of </w:t>
      </w:r>
      <w:r w:rsidR="00E3237B">
        <w:rPr>
          <w:color w:val="000000" w:themeColor="text1"/>
          <w:szCs w:val="20"/>
        </w:rPr>
        <w:t xml:space="preserve">farms </w:t>
      </w:r>
      <w:r w:rsidR="000D611B">
        <w:rPr>
          <w:color w:val="000000" w:themeColor="text1"/>
          <w:szCs w:val="20"/>
        </w:rPr>
        <w:t xml:space="preserve">applied zero fertiliser in </w:t>
      </w:r>
      <w:r w:rsidR="00DA3847" w:rsidRPr="00151876">
        <w:rPr>
          <w:color w:val="000000" w:themeColor="text1"/>
          <w:szCs w:val="20"/>
        </w:rPr>
        <w:t>2018</w:t>
      </w:r>
      <w:r w:rsidR="008937A9">
        <w:t>–</w:t>
      </w:r>
      <w:r w:rsidR="00DA3847" w:rsidRPr="00151876">
        <w:rPr>
          <w:color w:val="000000" w:themeColor="text1"/>
          <w:szCs w:val="20"/>
        </w:rPr>
        <w:t xml:space="preserve">19, </w:t>
      </w:r>
      <w:r w:rsidR="00DA3847">
        <w:rPr>
          <w:color w:val="000000" w:themeColor="text1"/>
          <w:szCs w:val="20"/>
        </w:rPr>
        <w:t>however</w:t>
      </w:r>
      <w:r w:rsidR="00B60035">
        <w:rPr>
          <w:color w:val="000000" w:themeColor="text1"/>
          <w:szCs w:val="20"/>
        </w:rPr>
        <w:t>,</w:t>
      </w:r>
      <w:r w:rsidR="00DA3847">
        <w:rPr>
          <w:color w:val="000000" w:themeColor="text1"/>
          <w:szCs w:val="20"/>
        </w:rPr>
        <w:t xml:space="preserve"> </w:t>
      </w:r>
      <w:r w:rsidR="00032922">
        <w:rPr>
          <w:color w:val="000000" w:themeColor="text1"/>
          <w:szCs w:val="20"/>
        </w:rPr>
        <w:t>in that year</w:t>
      </w:r>
      <w:r w:rsidR="00B60035">
        <w:rPr>
          <w:color w:val="000000" w:themeColor="text1"/>
          <w:szCs w:val="20"/>
        </w:rPr>
        <w:t>,</w:t>
      </w:r>
      <w:r w:rsidR="00032922">
        <w:rPr>
          <w:color w:val="000000" w:themeColor="text1"/>
          <w:szCs w:val="20"/>
        </w:rPr>
        <w:t xml:space="preserve"> it </w:t>
      </w:r>
      <w:r w:rsidR="001C74D6">
        <w:rPr>
          <w:color w:val="000000" w:themeColor="text1"/>
          <w:szCs w:val="20"/>
        </w:rPr>
        <w:t>was attribut</w:t>
      </w:r>
      <w:r w:rsidR="00E3237B">
        <w:rPr>
          <w:color w:val="000000" w:themeColor="text1"/>
          <w:szCs w:val="20"/>
        </w:rPr>
        <w:t>able</w:t>
      </w:r>
      <w:r w:rsidR="001C74D6">
        <w:rPr>
          <w:color w:val="000000" w:themeColor="text1"/>
          <w:szCs w:val="20"/>
        </w:rPr>
        <w:t xml:space="preserve"> to </w:t>
      </w:r>
      <w:r w:rsidR="00DA3847">
        <w:rPr>
          <w:color w:val="000000" w:themeColor="text1"/>
          <w:szCs w:val="20"/>
        </w:rPr>
        <w:t xml:space="preserve">dry seasonal </w:t>
      </w:r>
      <w:r w:rsidR="00B60035">
        <w:rPr>
          <w:color w:val="000000" w:themeColor="text1"/>
          <w:szCs w:val="20"/>
        </w:rPr>
        <w:t>conditions</w:t>
      </w:r>
      <w:r w:rsidR="00463C38">
        <w:rPr>
          <w:color w:val="000000" w:themeColor="text1"/>
          <w:szCs w:val="20"/>
        </w:rPr>
        <w:t>.</w:t>
      </w:r>
    </w:p>
    <w:p w14:paraId="31AA558F" w14:textId="3491EB87" w:rsidR="00FE48E8" w:rsidRPr="00151876" w:rsidRDefault="004B2035" w:rsidP="00FE48E8">
      <w:pPr>
        <w:rPr>
          <w:b/>
          <w:bCs/>
          <w:color w:val="000000" w:themeColor="text1"/>
          <w:szCs w:val="20"/>
        </w:rPr>
      </w:pPr>
      <w:r>
        <w:rPr>
          <w:color w:val="000000" w:themeColor="text1"/>
          <w:szCs w:val="20"/>
        </w:rPr>
        <w:t>A combination of</w:t>
      </w:r>
      <w:r w:rsidR="00B276A5" w:rsidRPr="00151876">
        <w:rPr>
          <w:color w:val="000000" w:themeColor="text1"/>
          <w:szCs w:val="20"/>
        </w:rPr>
        <w:t xml:space="preserve"> </w:t>
      </w:r>
      <w:r>
        <w:rPr>
          <w:color w:val="000000" w:themeColor="text1"/>
          <w:szCs w:val="20"/>
        </w:rPr>
        <w:t>l</w:t>
      </w:r>
      <w:r w:rsidR="005B445D">
        <w:rPr>
          <w:color w:val="000000" w:themeColor="text1"/>
          <w:szCs w:val="20"/>
        </w:rPr>
        <w:t>ow</w:t>
      </w:r>
      <w:r w:rsidR="000A3827">
        <w:rPr>
          <w:color w:val="000000" w:themeColor="text1"/>
          <w:szCs w:val="20"/>
        </w:rPr>
        <w:t>er</w:t>
      </w:r>
      <w:r w:rsidR="001C74D6">
        <w:rPr>
          <w:color w:val="000000" w:themeColor="text1"/>
          <w:szCs w:val="20"/>
        </w:rPr>
        <w:t xml:space="preserve"> </w:t>
      </w:r>
      <w:r w:rsidR="004834F8">
        <w:rPr>
          <w:color w:val="000000" w:themeColor="text1"/>
          <w:szCs w:val="20"/>
        </w:rPr>
        <w:t>nutrient</w:t>
      </w:r>
      <w:r w:rsidR="005B445D">
        <w:rPr>
          <w:color w:val="000000" w:themeColor="text1"/>
          <w:szCs w:val="20"/>
        </w:rPr>
        <w:t xml:space="preserve"> application rates and a high</w:t>
      </w:r>
      <w:r w:rsidR="000A3827">
        <w:rPr>
          <w:color w:val="000000" w:themeColor="text1"/>
          <w:szCs w:val="20"/>
        </w:rPr>
        <w:t>er</w:t>
      </w:r>
      <w:r w:rsidR="005B445D">
        <w:rPr>
          <w:color w:val="000000" w:themeColor="text1"/>
          <w:szCs w:val="20"/>
        </w:rPr>
        <w:t xml:space="preserve"> proportion of businesses </w:t>
      </w:r>
      <w:r w:rsidR="004834F8">
        <w:rPr>
          <w:color w:val="000000" w:themeColor="text1"/>
          <w:szCs w:val="20"/>
        </w:rPr>
        <w:t>not applying any fertiliser</w:t>
      </w:r>
      <w:r>
        <w:rPr>
          <w:color w:val="000000" w:themeColor="text1"/>
          <w:szCs w:val="20"/>
        </w:rPr>
        <w:t xml:space="preserve"> </w:t>
      </w:r>
      <w:r w:rsidR="00463C38">
        <w:rPr>
          <w:color w:val="000000" w:themeColor="text1"/>
          <w:szCs w:val="20"/>
        </w:rPr>
        <w:t>in 2021</w:t>
      </w:r>
      <w:r w:rsidR="0094118E">
        <w:t>–</w:t>
      </w:r>
      <w:r w:rsidR="00463C38">
        <w:rPr>
          <w:color w:val="000000" w:themeColor="text1"/>
          <w:szCs w:val="20"/>
        </w:rPr>
        <w:t xml:space="preserve">22 </w:t>
      </w:r>
      <w:r w:rsidR="009A3F5F">
        <w:rPr>
          <w:color w:val="000000" w:themeColor="text1"/>
          <w:szCs w:val="20"/>
        </w:rPr>
        <w:t>led to a</w:t>
      </w:r>
      <w:r>
        <w:rPr>
          <w:color w:val="000000" w:themeColor="text1"/>
          <w:szCs w:val="20"/>
        </w:rPr>
        <w:t xml:space="preserve"> decrease in t</w:t>
      </w:r>
      <w:r w:rsidR="00846138">
        <w:rPr>
          <w:color w:val="000000" w:themeColor="text1"/>
          <w:szCs w:val="20"/>
        </w:rPr>
        <w:t xml:space="preserve">he average fertiliser </w:t>
      </w:r>
      <w:r w:rsidR="0034538E">
        <w:rPr>
          <w:color w:val="000000" w:themeColor="text1"/>
          <w:szCs w:val="20"/>
        </w:rPr>
        <w:t>expense.</w:t>
      </w:r>
      <w:r w:rsidR="005B445D">
        <w:rPr>
          <w:color w:val="000000" w:themeColor="text1"/>
          <w:szCs w:val="20"/>
        </w:rPr>
        <w:t xml:space="preserve"> </w:t>
      </w:r>
    </w:p>
    <w:p w14:paraId="6EA10FD6" w14:textId="441FF75C" w:rsidR="00FE48E8" w:rsidRDefault="00C8416C" w:rsidP="00FE48E8">
      <w:pPr>
        <w:rPr>
          <w:b/>
          <w:bCs/>
          <w:szCs w:val="20"/>
        </w:rPr>
      </w:pPr>
      <w:r>
        <w:rPr>
          <w:b/>
          <w:bCs/>
          <w:noProof/>
          <w:szCs w:val="20"/>
        </w:rPr>
        <w:lastRenderedPageBreak/>
        <w:drawing>
          <wp:inline distT="0" distB="0" distL="0" distR="0" wp14:anchorId="3C8ACC36" wp14:editId="31B7FE42">
            <wp:extent cx="3061476" cy="1876425"/>
            <wp:effectExtent l="0" t="0" r="5715" b="0"/>
            <wp:docPr id="210" name="Picture 210" descr="Proportion of farms that applied zero fertiliser (2018–19 to 2021–22) shown as a column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descr="Proportion of farms that applied zero fertiliser (2018–19 to 2021–22) shown as a column graph."/>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67620" cy="1880191"/>
                    </a:xfrm>
                    <a:prstGeom prst="rect">
                      <a:avLst/>
                    </a:prstGeom>
                    <a:noFill/>
                  </pic:spPr>
                </pic:pic>
              </a:graphicData>
            </a:graphic>
          </wp:inline>
        </w:drawing>
      </w:r>
    </w:p>
    <w:p w14:paraId="5FB51441" w14:textId="2B604B37" w:rsidR="00FE48E8" w:rsidRPr="00035894" w:rsidRDefault="0013594D" w:rsidP="00035894">
      <w:pPr>
        <w:pStyle w:val="Caption"/>
      </w:pPr>
      <w:r w:rsidRPr="000A6AD7">
        <w:t xml:space="preserve">Figure </w:t>
      </w:r>
      <w:fldSimple w:instr=" SEQ Figure \* ARABIC ">
        <w:r w:rsidR="00FC7BFA" w:rsidRPr="000A6AD7">
          <w:t>15</w:t>
        </w:r>
      </w:fldSimple>
      <w:r w:rsidRPr="000A6AD7">
        <w:t>. Proportion of farms that applied zero fertiliser (2018</w:t>
      </w:r>
      <w:r w:rsidR="00B50ACC">
        <w:t>–</w:t>
      </w:r>
      <w:r w:rsidRPr="000A6AD7">
        <w:t>19 to 2021</w:t>
      </w:r>
      <w:r w:rsidR="00B50ACC">
        <w:t>–</w:t>
      </w:r>
      <w:r w:rsidRPr="000A6AD7">
        <w:t>22)</w:t>
      </w:r>
    </w:p>
    <w:p w14:paraId="1FF6096D" w14:textId="0B3B6EFC" w:rsidR="00D12059" w:rsidRPr="000A6AD7" w:rsidRDefault="00D12059" w:rsidP="000A6AD7">
      <w:pPr>
        <w:pStyle w:val="Heading3"/>
        <w:rPr>
          <w:b/>
          <w:bCs/>
        </w:rPr>
      </w:pPr>
      <w:r w:rsidRPr="000A6AD7">
        <w:rPr>
          <w:b/>
          <w:bCs/>
        </w:rPr>
        <w:t xml:space="preserve">Gross </w:t>
      </w:r>
      <w:r w:rsidR="001B5E52">
        <w:rPr>
          <w:b/>
          <w:bCs/>
        </w:rPr>
        <w:t>m</w:t>
      </w:r>
      <w:r w:rsidRPr="000A6AD7">
        <w:rPr>
          <w:b/>
          <w:bCs/>
        </w:rPr>
        <w:t>argins</w:t>
      </w:r>
    </w:p>
    <w:p w14:paraId="21100739" w14:textId="5447C045" w:rsidR="00D12059" w:rsidRDefault="005B5802" w:rsidP="00D12059">
      <w:pPr>
        <w:rPr>
          <w:color w:val="FF0000"/>
          <w:szCs w:val="20"/>
        </w:rPr>
      </w:pPr>
      <w:r>
        <w:rPr>
          <w:color w:val="000000" w:themeColor="text1"/>
          <w:szCs w:val="20"/>
        </w:rPr>
        <w:t xml:space="preserve">High </w:t>
      </w:r>
      <w:r w:rsidR="00C46880">
        <w:rPr>
          <w:color w:val="000000" w:themeColor="text1"/>
          <w:szCs w:val="20"/>
        </w:rPr>
        <w:t>price</w:t>
      </w:r>
      <w:r>
        <w:rPr>
          <w:color w:val="000000" w:themeColor="text1"/>
          <w:szCs w:val="20"/>
        </w:rPr>
        <w:t>s received</w:t>
      </w:r>
      <w:r w:rsidR="00C46880">
        <w:rPr>
          <w:color w:val="000000" w:themeColor="text1"/>
          <w:szCs w:val="20"/>
        </w:rPr>
        <w:t xml:space="preserve"> </w:t>
      </w:r>
      <w:r w:rsidR="00FF49A4">
        <w:rPr>
          <w:color w:val="000000" w:themeColor="text1"/>
          <w:szCs w:val="20"/>
        </w:rPr>
        <w:t>for beef</w:t>
      </w:r>
      <w:r w:rsidR="00FB159E">
        <w:rPr>
          <w:color w:val="000000" w:themeColor="text1"/>
          <w:szCs w:val="20"/>
        </w:rPr>
        <w:t>, lamb and wool in 2021</w:t>
      </w:r>
      <w:r w:rsidR="00FF32D4">
        <w:t>–</w:t>
      </w:r>
      <w:r w:rsidR="00FB159E">
        <w:rPr>
          <w:color w:val="000000" w:themeColor="text1"/>
          <w:szCs w:val="20"/>
        </w:rPr>
        <w:t>22</w:t>
      </w:r>
      <w:r>
        <w:rPr>
          <w:color w:val="000000" w:themeColor="text1"/>
          <w:szCs w:val="20"/>
        </w:rPr>
        <w:t xml:space="preserve"> </w:t>
      </w:r>
      <w:r w:rsidR="00D71558">
        <w:rPr>
          <w:color w:val="000000" w:themeColor="text1"/>
          <w:szCs w:val="20"/>
        </w:rPr>
        <w:t xml:space="preserve">offset increases </w:t>
      </w:r>
      <w:r w:rsidR="00A65CAC">
        <w:rPr>
          <w:color w:val="000000" w:themeColor="text1"/>
          <w:szCs w:val="20"/>
        </w:rPr>
        <w:t xml:space="preserve">in </w:t>
      </w:r>
      <w:r w:rsidR="00D71558">
        <w:rPr>
          <w:color w:val="000000" w:themeColor="text1"/>
          <w:szCs w:val="20"/>
        </w:rPr>
        <w:t>fertiliser and labour input prices</w:t>
      </w:r>
      <w:r w:rsidR="008D1B1F">
        <w:rPr>
          <w:color w:val="000000" w:themeColor="text1"/>
          <w:szCs w:val="20"/>
        </w:rPr>
        <w:t xml:space="preserve">. </w:t>
      </w:r>
      <w:r w:rsidR="004A0520">
        <w:rPr>
          <w:color w:val="000000" w:themeColor="text1"/>
          <w:szCs w:val="20"/>
        </w:rPr>
        <w:t>As a result, g</w:t>
      </w:r>
      <w:r w:rsidR="007351E0">
        <w:rPr>
          <w:color w:val="000000" w:themeColor="text1"/>
          <w:szCs w:val="20"/>
        </w:rPr>
        <w:t xml:space="preserve">ross margins </w:t>
      </w:r>
      <w:r w:rsidR="008D1B1F">
        <w:rPr>
          <w:color w:val="000000" w:themeColor="text1"/>
          <w:szCs w:val="20"/>
        </w:rPr>
        <w:t>were all</w:t>
      </w:r>
      <w:r w:rsidR="00D636A6">
        <w:rPr>
          <w:color w:val="000000" w:themeColor="text1"/>
          <w:szCs w:val="20"/>
        </w:rPr>
        <w:t xml:space="preserve"> </w:t>
      </w:r>
      <w:r w:rsidR="00212669">
        <w:rPr>
          <w:color w:val="000000" w:themeColor="text1"/>
          <w:szCs w:val="20"/>
        </w:rPr>
        <w:t xml:space="preserve">above </w:t>
      </w:r>
      <w:r w:rsidR="00716090">
        <w:rPr>
          <w:color w:val="000000" w:themeColor="text1"/>
          <w:szCs w:val="20"/>
        </w:rPr>
        <w:t xml:space="preserve">the </w:t>
      </w:r>
      <w:r w:rsidR="00EE21D6">
        <w:rPr>
          <w:color w:val="000000" w:themeColor="text1"/>
          <w:szCs w:val="20"/>
        </w:rPr>
        <w:t>three-</w:t>
      </w:r>
      <w:r w:rsidR="00087731">
        <w:rPr>
          <w:color w:val="000000" w:themeColor="text1"/>
          <w:szCs w:val="20"/>
        </w:rPr>
        <w:t xml:space="preserve">year </w:t>
      </w:r>
      <w:r w:rsidR="00212669">
        <w:rPr>
          <w:color w:val="000000" w:themeColor="text1"/>
          <w:szCs w:val="20"/>
        </w:rPr>
        <w:t xml:space="preserve">average </w:t>
      </w:r>
      <w:r w:rsidR="0070711E">
        <w:rPr>
          <w:color w:val="000000" w:themeColor="text1"/>
          <w:szCs w:val="20"/>
        </w:rPr>
        <w:t>in 2021</w:t>
      </w:r>
      <w:r w:rsidR="00E04C54">
        <w:t>–</w:t>
      </w:r>
      <w:r w:rsidR="0070711E">
        <w:rPr>
          <w:color w:val="000000" w:themeColor="text1"/>
          <w:szCs w:val="20"/>
        </w:rPr>
        <w:t>22</w:t>
      </w:r>
      <w:r w:rsidR="006D3D8F">
        <w:rPr>
          <w:color w:val="000000" w:themeColor="text1"/>
          <w:szCs w:val="20"/>
        </w:rPr>
        <w:t>.</w:t>
      </w:r>
      <w:r w:rsidR="00162754">
        <w:rPr>
          <w:color w:val="000000" w:themeColor="text1"/>
          <w:szCs w:val="20"/>
        </w:rPr>
        <w:t xml:space="preserve"> </w:t>
      </w:r>
      <w:r w:rsidR="00486407">
        <w:rPr>
          <w:color w:val="000000" w:themeColor="text1"/>
          <w:szCs w:val="20"/>
        </w:rPr>
        <w:t xml:space="preserve"> </w:t>
      </w:r>
    </w:p>
    <w:p w14:paraId="2D07BF91" w14:textId="37882604" w:rsidR="00D12059" w:rsidRPr="000A6AD7" w:rsidRDefault="00D12059" w:rsidP="000A6AD7">
      <w:pPr>
        <w:pStyle w:val="Heading3"/>
        <w:rPr>
          <w:b/>
          <w:bCs/>
        </w:rPr>
      </w:pPr>
      <w:r w:rsidRPr="000A6AD7">
        <w:rPr>
          <w:b/>
          <w:bCs/>
        </w:rPr>
        <w:t xml:space="preserve">Calving and </w:t>
      </w:r>
      <w:r w:rsidR="001B5E52">
        <w:rPr>
          <w:b/>
          <w:bCs/>
        </w:rPr>
        <w:t>l</w:t>
      </w:r>
      <w:r w:rsidRPr="000A6AD7">
        <w:rPr>
          <w:b/>
          <w:bCs/>
        </w:rPr>
        <w:t>ambing pattern</w:t>
      </w:r>
    </w:p>
    <w:p w14:paraId="580ECFFE" w14:textId="5F1DFA1B" w:rsidR="00D12059" w:rsidRDefault="0013594D" w:rsidP="00D12059">
      <w:pPr>
        <w:rPr>
          <w:color w:val="FF0000"/>
          <w:szCs w:val="20"/>
        </w:rPr>
      </w:pPr>
      <w:r>
        <w:rPr>
          <w:noProof/>
          <w:color w:val="FF0000"/>
          <w:szCs w:val="20"/>
        </w:rPr>
        <w:drawing>
          <wp:inline distT="0" distB="0" distL="0" distR="0" wp14:anchorId="1067AFF9" wp14:editId="3A26833C">
            <wp:extent cx="2640965" cy="1615908"/>
            <wp:effectExtent l="0" t="0" r="6985" b="3810"/>
            <wp:docPr id="193" name="Picture 193" descr="2021–22 calving and lambing pattern shown as a lin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descr="2021–22 calving and lambing pattern shown as a line graph"/>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40965" cy="1615908"/>
                    </a:xfrm>
                    <a:prstGeom prst="rect">
                      <a:avLst/>
                    </a:prstGeom>
                    <a:noFill/>
                  </pic:spPr>
                </pic:pic>
              </a:graphicData>
            </a:graphic>
          </wp:inline>
        </w:drawing>
      </w:r>
    </w:p>
    <w:p w14:paraId="4B140DF0" w14:textId="5FA800A4" w:rsidR="0013594D" w:rsidRPr="0013594D" w:rsidRDefault="0013594D" w:rsidP="0013594D">
      <w:pPr>
        <w:pStyle w:val="Caption"/>
        <w:rPr>
          <w:color w:val="FF0000"/>
        </w:rPr>
      </w:pPr>
      <w:r>
        <w:t xml:space="preserve">Figure </w:t>
      </w:r>
      <w:fldSimple w:instr=" SEQ Figure \* ARABIC ">
        <w:r w:rsidR="00FC7BFA">
          <w:rPr>
            <w:noProof/>
          </w:rPr>
          <w:t>16</w:t>
        </w:r>
      </w:fldSimple>
      <w:r>
        <w:t xml:space="preserve">. </w:t>
      </w:r>
      <w:r w:rsidRPr="0013594D">
        <w:t>2021</w:t>
      </w:r>
      <w:r w:rsidR="00717CB1">
        <w:t>–</w:t>
      </w:r>
      <w:r w:rsidRPr="0013594D">
        <w:t>22 calving and lambing pattern</w:t>
      </w:r>
    </w:p>
    <w:p w14:paraId="73DB41CE" w14:textId="2866D812" w:rsidR="00DD1D7D" w:rsidRDefault="00DD1D7D" w:rsidP="00DD1D7D">
      <w:pPr>
        <w:rPr>
          <w:color w:val="FF0000"/>
        </w:rPr>
      </w:pPr>
      <w:r>
        <w:t>Most</w:t>
      </w:r>
      <w:r w:rsidRPr="00560FE2">
        <w:t xml:space="preserve"> </w:t>
      </w:r>
      <w:r w:rsidR="0065207B">
        <w:t>n</w:t>
      </w:r>
      <w:r w:rsidRPr="00560FE2">
        <w:t>orthern participants received higher than</w:t>
      </w:r>
      <w:r>
        <w:t xml:space="preserve"> </w:t>
      </w:r>
      <w:r w:rsidRPr="00560FE2">
        <w:t xml:space="preserve">average </w:t>
      </w:r>
      <w:r>
        <w:t xml:space="preserve">annual </w:t>
      </w:r>
      <w:r w:rsidRPr="00560FE2">
        <w:t>rainfall in 20</w:t>
      </w:r>
      <w:r>
        <w:t>21</w:t>
      </w:r>
      <w:r w:rsidR="00762BEF">
        <w:t>–</w:t>
      </w:r>
      <w:r>
        <w:t>21 and over</w:t>
      </w:r>
      <w:r w:rsidRPr="00560FE2">
        <w:t xml:space="preserve"> </w:t>
      </w:r>
      <w:r>
        <w:t>half</w:t>
      </w:r>
      <w:r w:rsidRPr="00560FE2">
        <w:t xml:space="preserve"> of </w:t>
      </w:r>
      <w:r w:rsidR="00466187">
        <w:t xml:space="preserve">the </w:t>
      </w:r>
      <w:r w:rsidRPr="00560FE2">
        <w:t>farms received more</w:t>
      </w:r>
      <w:r>
        <w:t xml:space="preserve"> </w:t>
      </w:r>
      <w:r w:rsidRPr="00560FE2">
        <w:t>than 130</w:t>
      </w:r>
      <w:r w:rsidR="00A624AF">
        <w:t xml:space="preserve"> per cent</w:t>
      </w:r>
      <w:r w:rsidRPr="00560FE2">
        <w:t xml:space="preserve"> of long</w:t>
      </w:r>
      <w:r w:rsidR="00A624AF">
        <w:t>-</w:t>
      </w:r>
      <w:r w:rsidRPr="00560FE2">
        <w:t>term</w:t>
      </w:r>
      <w:r>
        <w:t xml:space="preserve"> </w:t>
      </w:r>
      <w:r w:rsidRPr="00560FE2">
        <w:t>average</w:t>
      </w:r>
      <w:r>
        <w:t xml:space="preserve"> spring</w:t>
      </w:r>
      <w:r w:rsidRPr="00560FE2">
        <w:t xml:space="preserve"> rainfall</w:t>
      </w:r>
      <w:r w:rsidR="00C7617C">
        <w:t xml:space="preserve"> (Appendix C2)</w:t>
      </w:r>
      <w:r w:rsidRPr="00560FE2">
        <w:t>.</w:t>
      </w:r>
    </w:p>
    <w:p w14:paraId="59BEB2BE" w14:textId="0B4DFF99" w:rsidR="00D927AE" w:rsidRDefault="00BE019B" w:rsidP="00D927AE">
      <w:pPr>
        <w:rPr>
          <w:color w:val="FF0000"/>
        </w:rPr>
      </w:pPr>
      <w:r w:rsidRPr="007C137D">
        <w:t xml:space="preserve">In </w:t>
      </w:r>
      <w:r w:rsidR="00B3083F">
        <w:t>N</w:t>
      </w:r>
      <w:r w:rsidRPr="007C137D">
        <w:t>orthern Victoria</w:t>
      </w:r>
      <w:r w:rsidR="00877368">
        <w:t>, the</w:t>
      </w:r>
      <w:r>
        <w:t xml:space="preserve"> peak lambing period </w:t>
      </w:r>
      <w:r w:rsidR="00C6040C">
        <w:t>was from June to September</w:t>
      </w:r>
      <w:r w:rsidR="00786F27">
        <w:t xml:space="preserve"> (Figure 16)</w:t>
      </w:r>
      <w:r w:rsidR="00866BBE" w:rsidRPr="00036BD5">
        <w:t xml:space="preserve">. </w:t>
      </w:r>
      <w:r w:rsidR="00D927AE" w:rsidRPr="00036BD5">
        <w:t xml:space="preserve">The distribution </w:t>
      </w:r>
      <w:r w:rsidR="00B109F3">
        <w:t xml:space="preserve">of </w:t>
      </w:r>
      <w:r w:rsidR="00D927AE" w:rsidRPr="00036BD5">
        <w:t xml:space="preserve">calving times </w:t>
      </w:r>
      <w:r w:rsidR="008B1B73" w:rsidRPr="00036BD5">
        <w:t xml:space="preserve">remained tight with </w:t>
      </w:r>
      <w:r w:rsidR="007A1820" w:rsidRPr="00036BD5">
        <w:t>80</w:t>
      </w:r>
      <w:r w:rsidR="00B109F3">
        <w:t xml:space="preserve"> per cent</w:t>
      </w:r>
      <w:r w:rsidR="007A1820" w:rsidRPr="00036BD5">
        <w:t xml:space="preserve"> of </w:t>
      </w:r>
      <w:r w:rsidR="006D77A7" w:rsidRPr="00036BD5">
        <w:t>calving occurring in August and September</w:t>
      </w:r>
      <w:r w:rsidR="00786F27">
        <w:t xml:space="preserve"> (Figure 16)</w:t>
      </w:r>
      <w:r w:rsidR="006D77A7" w:rsidRPr="002E1F82">
        <w:t>.</w:t>
      </w:r>
      <w:r w:rsidR="009027B8">
        <w:rPr>
          <w:color w:val="FF0000"/>
        </w:rPr>
        <w:t xml:space="preserve"> </w:t>
      </w:r>
    </w:p>
    <w:p w14:paraId="51A3417E" w14:textId="77777777" w:rsidR="001D7F0A" w:rsidRPr="00D927AE" w:rsidRDefault="001D7F0A" w:rsidP="00D927AE">
      <w:pPr>
        <w:rPr>
          <w:color w:val="FF0000"/>
        </w:rPr>
      </w:pPr>
    </w:p>
    <w:p w14:paraId="222384BF" w14:textId="275BDB5A" w:rsidR="00D12059" w:rsidRPr="000A6AD7" w:rsidRDefault="00D12059" w:rsidP="000A6AD7">
      <w:pPr>
        <w:pStyle w:val="Heading3"/>
        <w:rPr>
          <w:b/>
          <w:bCs/>
        </w:rPr>
      </w:pPr>
      <w:r w:rsidRPr="000A6AD7">
        <w:rPr>
          <w:b/>
          <w:bCs/>
        </w:rPr>
        <w:t>Assets</w:t>
      </w:r>
    </w:p>
    <w:p w14:paraId="64624D49" w14:textId="34EA624A" w:rsidR="00882A5E" w:rsidRPr="00786F27" w:rsidRDefault="00F64481" w:rsidP="00C628D7">
      <w:r w:rsidRPr="00786F27">
        <w:t xml:space="preserve">Large increases in farmland values across </w:t>
      </w:r>
      <w:r w:rsidR="00B3083F">
        <w:t>N</w:t>
      </w:r>
      <w:r w:rsidRPr="00786F27">
        <w:t xml:space="preserve">orthern Victoria </w:t>
      </w:r>
      <w:r w:rsidR="001E1439">
        <w:t>boosted</w:t>
      </w:r>
      <w:r w:rsidRPr="00786F27">
        <w:t xml:space="preserve"> the value of total </w:t>
      </w:r>
      <w:r w:rsidR="00C9401B">
        <w:t xml:space="preserve">farm </w:t>
      </w:r>
      <w:r w:rsidRPr="00786F27">
        <w:t>asse</w:t>
      </w:r>
      <w:r w:rsidR="00585C8B">
        <w:t>ts</w:t>
      </w:r>
      <w:r w:rsidR="00C9401B">
        <w:t xml:space="preserve"> </w:t>
      </w:r>
      <w:r w:rsidR="00D92E1A">
        <w:t xml:space="preserve">and </w:t>
      </w:r>
      <w:r w:rsidR="00B53BDC">
        <w:t>offset the high proportion of businesses that took on more debt in 2021</w:t>
      </w:r>
      <w:r w:rsidR="00002088">
        <w:t>–</w:t>
      </w:r>
      <w:r w:rsidR="00B53BDC">
        <w:t xml:space="preserve">22 </w:t>
      </w:r>
      <w:r w:rsidR="00C9401B">
        <w:t>(</w:t>
      </w:r>
      <w:r w:rsidR="00165C78">
        <w:t>Figure 6)</w:t>
      </w:r>
      <w:r w:rsidR="0071663A">
        <w:t>.</w:t>
      </w:r>
      <w:r w:rsidR="00165C78">
        <w:t xml:space="preserve"> This r</w:t>
      </w:r>
      <w:r w:rsidR="00165C78" w:rsidRPr="00786F27">
        <w:t>esulted in an average annual addition to farmers</w:t>
      </w:r>
      <w:r w:rsidR="00466187">
        <w:t>’</w:t>
      </w:r>
      <w:r w:rsidR="00165C78" w:rsidRPr="00786F27">
        <w:t xml:space="preserve"> w</w:t>
      </w:r>
      <w:r w:rsidR="0071663A">
        <w:t>ealth</w:t>
      </w:r>
      <w:r w:rsidR="00165C78" w:rsidRPr="00786F27">
        <w:t xml:space="preserve"> (equity</w:t>
      </w:r>
      <w:r w:rsidR="00165C78" w:rsidRPr="005B59B7">
        <w:t>) of $1,</w:t>
      </w:r>
      <w:r w:rsidR="0066337C" w:rsidRPr="005B59B7">
        <w:t>792</w:t>
      </w:r>
      <w:r w:rsidR="00165C78" w:rsidRPr="005B59B7">
        <w:t>/ha</w:t>
      </w:r>
      <w:r w:rsidRPr="00786F27">
        <w:t>.</w:t>
      </w:r>
    </w:p>
    <w:p w14:paraId="568DE656" w14:textId="77777777" w:rsidR="00882A5E" w:rsidRDefault="00882A5E" w:rsidP="00C628D7">
      <w:pPr>
        <w:rPr>
          <w:color w:val="FF0000"/>
        </w:rPr>
      </w:pPr>
    </w:p>
    <w:p w14:paraId="2D090FBE" w14:textId="458552BC" w:rsidR="00D12059" w:rsidRPr="000A6AD7" w:rsidRDefault="00D12059" w:rsidP="000A6AD7">
      <w:pPr>
        <w:pStyle w:val="Heading3"/>
        <w:rPr>
          <w:b/>
          <w:bCs/>
          <w:color w:val="FF0000"/>
          <w:szCs w:val="20"/>
        </w:rPr>
      </w:pPr>
      <w:r w:rsidRPr="000A6AD7">
        <w:rPr>
          <w:b/>
          <w:bCs/>
          <w:noProof/>
        </w:rPr>
        <w:lastRenderedPageBreak/>
        <w:t xml:space="preserve">Return on </w:t>
      </w:r>
      <w:r w:rsidR="001B5E52">
        <w:rPr>
          <w:b/>
          <w:bCs/>
          <w:noProof/>
        </w:rPr>
        <w:t>a</w:t>
      </w:r>
      <w:r w:rsidRPr="000A6AD7">
        <w:rPr>
          <w:b/>
          <w:bCs/>
          <w:noProof/>
        </w:rPr>
        <w:t>ssets</w:t>
      </w:r>
    </w:p>
    <w:p w14:paraId="4FADC497" w14:textId="731BA26D" w:rsidR="00D12059" w:rsidRDefault="00C60590" w:rsidP="00D12059">
      <w:pPr>
        <w:rPr>
          <w:color w:val="FF0000"/>
          <w:szCs w:val="20"/>
        </w:rPr>
      </w:pPr>
      <w:r>
        <w:rPr>
          <w:noProof/>
          <w:color w:val="FF0000"/>
          <w:szCs w:val="20"/>
        </w:rPr>
        <w:drawing>
          <wp:inline distT="0" distB="0" distL="0" distR="0" wp14:anchorId="1E3372C6" wp14:editId="35B99BD8">
            <wp:extent cx="3323590" cy="1973999"/>
            <wp:effectExtent l="0" t="0" r="0" b="7620"/>
            <wp:docPr id="198" name="Picture 198" descr="Average return on assets over time shown as a column graph. data in the app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Average return on assets over time shown as a column graph. data in the appendix"/>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44935" cy="1986677"/>
                    </a:xfrm>
                    <a:prstGeom prst="rect">
                      <a:avLst/>
                    </a:prstGeom>
                    <a:noFill/>
                  </pic:spPr>
                </pic:pic>
              </a:graphicData>
            </a:graphic>
          </wp:inline>
        </w:drawing>
      </w:r>
    </w:p>
    <w:p w14:paraId="63E62B36" w14:textId="424E5183" w:rsidR="000E7ADB" w:rsidRDefault="000E7ADB" w:rsidP="000E7ADB">
      <w:pPr>
        <w:pStyle w:val="Caption"/>
        <w:rPr>
          <w:color w:val="FF0000"/>
        </w:rPr>
      </w:pPr>
      <w:r>
        <w:t xml:space="preserve">Figure </w:t>
      </w:r>
      <w:fldSimple w:instr=" SEQ Figure \* ARABIC ">
        <w:r w:rsidR="00FC7BFA">
          <w:rPr>
            <w:noProof/>
          </w:rPr>
          <w:t>17</w:t>
        </w:r>
      </w:fldSimple>
      <w:r>
        <w:t>. Average return on assets over time</w:t>
      </w:r>
    </w:p>
    <w:p w14:paraId="5758B815" w14:textId="689D2910" w:rsidR="00156434" w:rsidRPr="005B59B7" w:rsidRDefault="00516DFC" w:rsidP="00F64481">
      <w:pPr>
        <w:rPr>
          <w:szCs w:val="20"/>
        </w:rPr>
      </w:pPr>
      <w:r>
        <w:t xml:space="preserve">Northern Victoria participants recorded strong </w:t>
      </w:r>
      <w:r w:rsidR="00B4133A">
        <w:t>performance in 2021</w:t>
      </w:r>
      <w:r w:rsidR="00451C21">
        <w:t>–</w:t>
      </w:r>
      <w:r w:rsidR="00B4133A">
        <w:t>22</w:t>
      </w:r>
      <w:r w:rsidR="003E2433">
        <w:t>. Return</w:t>
      </w:r>
      <w:r w:rsidR="007B045F" w:rsidRPr="005B59B7">
        <w:t xml:space="preserve"> on assets</w:t>
      </w:r>
      <w:r w:rsidR="001011DE" w:rsidRPr="005B59B7">
        <w:t xml:space="preserve"> </w:t>
      </w:r>
      <w:r w:rsidR="003E2433">
        <w:t xml:space="preserve">was </w:t>
      </w:r>
      <w:r w:rsidR="00DA7C2B" w:rsidRPr="005B59B7">
        <w:t xml:space="preserve">above </w:t>
      </w:r>
      <w:r w:rsidR="00BE4008" w:rsidRPr="005B59B7">
        <w:t xml:space="preserve">the 10-year </w:t>
      </w:r>
      <w:r w:rsidR="005F69F3">
        <w:t>regional</w:t>
      </w:r>
      <w:r w:rsidR="00BE4008" w:rsidRPr="005B59B7">
        <w:t xml:space="preserve"> average</w:t>
      </w:r>
      <w:r w:rsidR="003E2433">
        <w:t xml:space="preserve"> despite a </w:t>
      </w:r>
      <w:r w:rsidR="00F3208A">
        <w:t>slight decrease from the previous year</w:t>
      </w:r>
      <w:r w:rsidR="003B2FC9" w:rsidRPr="005B59B7">
        <w:rPr>
          <w:szCs w:val="20"/>
        </w:rPr>
        <w:t xml:space="preserve">. </w:t>
      </w:r>
      <w:r w:rsidR="00F3208A">
        <w:rPr>
          <w:szCs w:val="20"/>
        </w:rPr>
        <w:t>A</w:t>
      </w:r>
      <w:r w:rsidR="00F270B7" w:rsidRPr="005B59B7">
        <w:rPr>
          <w:szCs w:val="20"/>
        </w:rPr>
        <w:t xml:space="preserve">verage EBIT on </w:t>
      </w:r>
      <w:r w:rsidR="00466187">
        <w:rPr>
          <w:szCs w:val="20"/>
        </w:rPr>
        <w:t>n</w:t>
      </w:r>
      <w:r w:rsidR="00F270B7" w:rsidRPr="005B59B7">
        <w:rPr>
          <w:szCs w:val="20"/>
        </w:rPr>
        <w:t>orthe</w:t>
      </w:r>
      <w:r w:rsidR="004F78A1" w:rsidRPr="005B59B7">
        <w:rPr>
          <w:szCs w:val="20"/>
        </w:rPr>
        <w:t>rn</w:t>
      </w:r>
      <w:r w:rsidR="00F270B7" w:rsidRPr="005B59B7">
        <w:rPr>
          <w:szCs w:val="20"/>
        </w:rPr>
        <w:t xml:space="preserve"> farms </w:t>
      </w:r>
      <w:r w:rsidR="00472A40" w:rsidRPr="005B59B7">
        <w:rPr>
          <w:szCs w:val="20"/>
        </w:rPr>
        <w:t>increased 53 per cent year</w:t>
      </w:r>
      <w:r w:rsidR="00A8261E" w:rsidRPr="005B59B7">
        <w:rPr>
          <w:szCs w:val="20"/>
        </w:rPr>
        <w:t>-</w:t>
      </w:r>
      <w:r w:rsidR="00472A40" w:rsidRPr="005B59B7">
        <w:rPr>
          <w:szCs w:val="20"/>
        </w:rPr>
        <w:t>on</w:t>
      </w:r>
      <w:r w:rsidR="00A8261E" w:rsidRPr="005B59B7">
        <w:rPr>
          <w:szCs w:val="20"/>
        </w:rPr>
        <w:t>-</w:t>
      </w:r>
      <w:r w:rsidR="00472A40" w:rsidRPr="005B59B7">
        <w:rPr>
          <w:szCs w:val="20"/>
        </w:rPr>
        <w:t xml:space="preserve">year to </w:t>
      </w:r>
      <w:r w:rsidR="00F270B7" w:rsidRPr="005B59B7">
        <w:rPr>
          <w:szCs w:val="20"/>
        </w:rPr>
        <w:t xml:space="preserve">the highest recorded </w:t>
      </w:r>
      <w:r w:rsidR="00465D17" w:rsidRPr="005B59B7">
        <w:rPr>
          <w:szCs w:val="20"/>
        </w:rPr>
        <w:t>value</w:t>
      </w:r>
      <w:r w:rsidR="00F33A07" w:rsidRPr="005B59B7">
        <w:rPr>
          <w:szCs w:val="20"/>
        </w:rPr>
        <w:t xml:space="preserve"> </w:t>
      </w:r>
      <w:r w:rsidR="00F270B7" w:rsidRPr="005B59B7">
        <w:rPr>
          <w:szCs w:val="20"/>
        </w:rPr>
        <w:t>in 18 years of the project</w:t>
      </w:r>
      <w:r w:rsidR="00465D17" w:rsidRPr="005B59B7">
        <w:rPr>
          <w:szCs w:val="20"/>
        </w:rPr>
        <w:t xml:space="preserve">. </w:t>
      </w:r>
    </w:p>
    <w:p w14:paraId="302B7B85" w14:textId="2A6F6AC8" w:rsidR="00156434" w:rsidRPr="005B59B7" w:rsidRDefault="00BE447B" w:rsidP="00F64481">
      <w:pPr>
        <w:rPr>
          <w:szCs w:val="20"/>
        </w:rPr>
      </w:pPr>
      <w:r w:rsidRPr="005B59B7">
        <w:rPr>
          <w:szCs w:val="20"/>
        </w:rPr>
        <w:t xml:space="preserve">The continued and rapid increase </w:t>
      </w:r>
      <w:r w:rsidR="00CD2A82" w:rsidRPr="005B59B7">
        <w:rPr>
          <w:szCs w:val="20"/>
        </w:rPr>
        <w:t xml:space="preserve">in </w:t>
      </w:r>
      <w:r w:rsidR="007B3F1F" w:rsidRPr="005B59B7">
        <w:rPr>
          <w:szCs w:val="20"/>
        </w:rPr>
        <w:t xml:space="preserve">the value of total assets managed </w:t>
      </w:r>
      <w:r w:rsidR="0071663A">
        <w:rPr>
          <w:szCs w:val="20"/>
        </w:rPr>
        <w:t>was</w:t>
      </w:r>
      <w:r w:rsidR="00AC091B" w:rsidRPr="005B59B7">
        <w:rPr>
          <w:szCs w:val="20"/>
        </w:rPr>
        <w:t xml:space="preserve"> the reason </w:t>
      </w:r>
      <w:r w:rsidR="00CF7281" w:rsidRPr="005B59B7">
        <w:rPr>
          <w:szCs w:val="20"/>
        </w:rPr>
        <w:t xml:space="preserve">for the </w:t>
      </w:r>
      <w:r w:rsidR="00974870" w:rsidRPr="005B59B7">
        <w:rPr>
          <w:szCs w:val="20"/>
        </w:rPr>
        <w:t>difference in the trends of the</w:t>
      </w:r>
      <w:r w:rsidR="00566F29" w:rsidRPr="005B59B7">
        <w:rPr>
          <w:szCs w:val="20"/>
        </w:rPr>
        <w:t>se</w:t>
      </w:r>
      <w:r w:rsidR="00974870" w:rsidRPr="005B59B7">
        <w:rPr>
          <w:szCs w:val="20"/>
        </w:rPr>
        <w:t xml:space="preserve"> </w:t>
      </w:r>
      <w:r w:rsidR="00566F29" w:rsidRPr="005B59B7">
        <w:rPr>
          <w:szCs w:val="20"/>
        </w:rPr>
        <w:t>performance measures</w:t>
      </w:r>
      <w:r w:rsidR="00A0524C">
        <w:rPr>
          <w:szCs w:val="20"/>
        </w:rPr>
        <w:t>. A</w:t>
      </w:r>
      <w:r w:rsidR="00566F29" w:rsidRPr="005B59B7">
        <w:rPr>
          <w:szCs w:val="20"/>
        </w:rPr>
        <w:t>s</w:t>
      </w:r>
      <w:r w:rsidR="00CF7281" w:rsidRPr="005B59B7">
        <w:rPr>
          <w:szCs w:val="20"/>
        </w:rPr>
        <w:t xml:space="preserve"> </w:t>
      </w:r>
      <w:r w:rsidR="00466187">
        <w:rPr>
          <w:szCs w:val="20"/>
        </w:rPr>
        <w:t xml:space="preserve">the </w:t>
      </w:r>
      <w:r w:rsidR="00AC091B" w:rsidRPr="005B59B7">
        <w:rPr>
          <w:szCs w:val="20"/>
        </w:rPr>
        <w:t xml:space="preserve">return on assets </w:t>
      </w:r>
      <w:r w:rsidR="00C51B23" w:rsidRPr="005B59B7">
        <w:rPr>
          <w:szCs w:val="20"/>
        </w:rPr>
        <w:t>d</w:t>
      </w:r>
      <w:r w:rsidR="00F3208A">
        <w:rPr>
          <w:szCs w:val="20"/>
        </w:rPr>
        <w:t>id</w:t>
      </w:r>
      <w:r w:rsidR="00C51B23" w:rsidRPr="005B59B7">
        <w:rPr>
          <w:szCs w:val="20"/>
        </w:rPr>
        <w:t xml:space="preserve"> not include the additional </w:t>
      </w:r>
      <w:r w:rsidR="00036FEC">
        <w:rPr>
          <w:szCs w:val="20"/>
        </w:rPr>
        <w:t xml:space="preserve">return from </w:t>
      </w:r>
      <w:r w:rsidR="00C51B23" w:rsidRPr="005B59B7">
        <w:rPr>
          <w:szCs w:val="20"/>
        </w:rPr>
        <w:t>capital appreciation</w:t>
      </w:r>
      <w:r w:rsidR="00251966">
        <w:rPr>
          <w:szCs w:val="20"/>
        </w:rPr>
        <w:t xml:space="preserve"> this measure is constrained by higher asset values</w:t>
      </w:r>
      <w:r w:rsidR="00C51B23" w:rsidRPr="005B59B7">
        <w:rPr>
          <w:szCs w:val="20"/>
        </w:rPr>
        <w:t xml:space="preserve">. </w:t>
      </w:r>
    </w:p>
    <w:p w14:paraId="0395A29B" w14:textId="283245D0" w:rsidR="00035894" w:rsidRDefault="00035894">
      <w:pPr>
        <w:rPr>
          <w:color w:val="FF0000"/>
          <w:szCs w:val="20"/>
        </w:rPr>
      </w:pPr>
      <w:r>
        <w:rPr>
          <w:color w:val="FF0000"/>
          <w:szCs w:val="20"/>
        </w:rPr>
        <w:br w:type="page"/>
      </w:r>
    </w:p>
    <w:p w14:paraId="2BAD0552" w14:textId="77777777" w:rsidR="00156434" w:rsidRDefault="00156434" w:rsidP="00F64481">
      <w:pPr>
        <w:rPr>
          <w:color w:val="FF0000"/>
          <w:szCs w:val="20"/>
        </w:rPr>
      </w:pPr>
    </w:p>
    <w:p w14:paraId="66208FE8" w14:textId="44FCB562" w:rsidR="005C1B18" w:rsidRPr="00035894" w:rsidRDefault="00D12059" w:rsidP="00035894">
      <w:pPr>
        <w:pStyle w:val="Caption"/>
        <w:rPr>
          <w:color w:val="FF0000"/>
        </w:rPr>
      </w:pPr>
      <w:r w:rsidRPr="00842DD0">
        <w:rPr>
          <w:noProof/>
          <w:color w:val="FF0000"/>
        </w:rPr>
        <mc:AlternateContent>
          <mc:Choice Requires="wps">
            <w:drawing>
              <wp:inline distT="0" distB="0" distL="0" distR="0" wp14:anchorId="016F1376" wp14:editId="4DE5829E">
                <wp:extent cx="5762625" cy="171958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719580"/>
                        </a:xfrm>
                        <a:prstGeom prst="rect">
                          <a:avLst/>
                        </a:prstGeom>
                        <a:solidFill>
                          <a:schemeClr val="accent2">
                            <a:lumMod val="40000"/>
                            <a:lumOff val="60000"/>
                          </a:schemeClr>
                        </a:solidFill>
                        <a:ln w="9525">
                          <a:solidFill>
                            <a:srgbClr val="000000"/>
                          </a:solidFill>
                          <a:miter lim="800000"/>
                          <a:headEnd/>
                          <a:tailEnd/>
                        </a:ln>
                      </wps:spPr>
                      <wps:txbx>
                        <w:txbxContent>
                          <w:p w14:paraId="3FC45973" w14:textId="3112DDAC" w:rsidR="00D12059" w:rsidRPr="00CB4E11" w:rsidRDefault="001B5E52" w:rsidP="00D12059">
                            <w:pPr>
                              <w:pStyle w:val="Caption"/>
                            </w:pPr>
                            <w:r>
                              <w:t>Northern Victoria r</w:t>
                            </w:r>
                            <w:r w:rsidR="00D12059" w:rsidRPr="00CB4E11">
                              <w:t xml:space="preserve">egional </w:t>
                            </w:r>
                            <w:r>
                              <w:t>s</w:t>
                            </w:r>
                            <w:r w:rsidR="00D12059" w:rsidRPr="00CB4E11">
                              <w:t>ummary</w:t>
                            </w:r>
                          </w:p>
                          <w:p w14:paraId="1C3B9A29" w14:textId="040BEBDF" w:rsidR="00D12059" w:rsidRPr="00CB4E11" w:rsidRDefault="008F7E10" w:rsidP="008F7E10">
                            <w:pPr>
                              <w:pStyle w:val="ListParagraph"/>
                              <w:numPr>
                                <w:ilvl w:val="0"/>
                                <w:numId w:val="9"/>
                              </w:numPr>
                              <w:rPr>
                                <w:szCs w:val="20"/>
                              </w:rPr>
                            </w:pPr>
                            <w:r w:rsidRPr="00CB4E11">
                              <w:rPr>
                                <w:szCs w:val="20"/>
                              </w:rPr>
                              <w:t xml:space="preserve">Highest </w:t>
                            </w:r>
                            <w:r w:rsidR="007D3CA0" w:rsidRPr="00CB4E11">
                              <w:rPr>
                                <w:szCs w:val="20"/>
                              </w:rPr>
                              <w:t xml:space="preserve">average </w:t>
                            </w:r>
                            <w:r w:rsidR="00311C2C" w:rsidRPr="00CB4E11">
                              <w:rPr>
                                <w:szCs w:val="20"/>
                              </w:rPr>
                              <w:t xml:space="preserve">EBIT </w:t>
                            </w:r>
                            <w:r w:rsidR="00E5145A" w:rsidRPr="00CB4E11">
                              <w:rPr>
                                <w:szCs w:val="20"/>
                              </w:rPr>
                              <w:t xml:space="preserve">recorded </w:t>
                            </w:r>
                            <w:r w:rsidR="00311C2C" w:rsidRPr="00CB4E11">
                              <w:rPr>
                                <w:szCs w:val="20"/>
                              </w:rPr>
                              <w:t>in 18</w:t>
                            </w:r>
                            <w:r w:rsidR="00EC06FA">
                              <w:rPr>
                                <w:szCs w:val="20"/>
                              </w:rPr>
                              <w:t xml:space="preserve"> </w:t>
                            </w:r>
                            <w:r w:rsidR="00311C2C" w:rsidRPr="00CB4E11">
                              <w:rPr>
                                <w:szCs w:val="20"/>
                              </w:rPr>
                              <w:t>years</w:t>
                            </w:r>
                          </w:p>
                          <w:p w14:paraId="448A73FA" w14:textId="21855DB7" w:rsidR="002A060C" w:rsidRPr="00CB4E11" w:rsidRDefault="002A060C" w:rsidP="008F7E10">
                            <w:pPr>
                              <w:pStyle w:val="ListParagraph"/>
                              <w:numPr>
                                <w:ilvl w:val="0"/>
                                <w:numId w:val="9"/>
                              </w:numPr>
                              <w:rPr>
                                <w:szCs w:val="20"/>
                              </w:rPr>
                            </w:pPr>
                            <w:r w:rsidRPr="00CB4E11">
                              <w:rPr>
                                <w:szCs w:val="20"/>
                              </w:rPr>
                              <w:t>H</w:t>
                            </w:r>
                            <w:r w:rsidR="00F4767E" w:rsidRPr="00CB4E11">
                              <w:rPr>
                                <w:szCs w:val="20"/>
                              </w:rPr>
                              <w:t>i</w:t>
                            </w:r>
                            <w:r w:rsidRPr="00CB4E11">
                              <w:rPr>
                                <w:szCs w:val="20"/>
                              </w:rPr>
                              <w:t xml:space="preserve">ghest return on assets </w:t>
                            </w:r>
                            <w:r w:rsidR="00F4767E" w:rsidRPr="00CB4E11">
                              <w:rPr>
                                <w:szCs w:val="20"/>
                              </w:rPr>
                              <w:t>since 2017</w:t>
                            </w:r>
                            <w:r w:rsidR="0066206C">
                              <w:t>–</w:t>
                            </w:r>
                            <w:r w:rsidR="00F4767E" w:rsidRPr="00CB4E11">
                              <w:rPr>
                                <w:szCs w:val="20"/>
                              </w:rPr>
                              <w:t>18</w:t>
                            </w:r>
                            <w:r w:rsidR="00C85FFC">
                              <w:rPr>
                                <w:szCs w:val="20"/>
                              </w:rPr>
                              <w:t xml:space="preserve"> as continued and rapid rise in farmland constrained returns</w:t>
                            </w:r>
                            <w:r w:rsidR="00251966">
                              <w:rPr>
                                <w:szCs w:val="20"/>
                              </w:rPr>
                              <w:t xml:space="preserve"> in 2021</w:t>
                            </w:r>
                            <w:r w:rsidR="002953A4">
                              <w:t>–</w:t>
                            </w:r>
                            <w:r w:rsidR="00251966">
                              <w:rPr>
                                <w:szCs w:val="20"/>
                              </w:rPr>
                              <w:t>22</w:t>
                            </w:r>
                          </w:p>
                          <w:p w14:paraId="4310F072" w14:textId="3BCED6D1" w:rsidR="00E5145A" w:rsidRPr="00CB4E11" w:rsidRDefault="00E5145A" w:rsidP="00E5145A">
                            <w:pPr>
                              <w:pStyle w:val="ListParagraph"/>
                              <w:numPr>
                                <w:ilvl w:val="0"/>
                                <w:numId w:val="9"/>
                              </w:numPr>
                              <w:rPr>
                                <w:szCs w:val="20"/>
                              </w:rPr>
                            </w:pPr>
                            <w:r w:rsidRPr="00CB4E11">
                              <w:rPr>
                                <w:szCs w:val="20"/>
                              </w:rPr>
                              <w:t xml:space="preserve">Highest </w:t>
                            </w:r>
                            <w:r w:rsidR="0079572E" w:rsidRPr="00CB4E11">
                              <w:rPr>
                                <w:szCs w:val="20"/>
                              </w:rPr>
                              <w:t xml:space="preserve">average </w:t>
                            </w:r>
                            <w:r w:rsidRPr="00CB4E11">
                              <w:rPr>
                                <w:szCs w:val="20"/>
                              </w:rPr>
                              <w:t>gross farm income recorded in 18 years</w:t>
                            </w:r>
                          </w:p>
                          <w:p w14:paraId="526FC5BB" w14:textId="00DEE0AF" w:rsidR="00E5145A" w:rsidRPr="00CB4E11" w:rsidRDefault="00606FB1" w:rsidP="008F7E10">
                            <w:pPr>
                              <w:pStyle w:val="ListParagraph"/>
                              <w:numPr>
                                <w:ilvl w:val="0"/>
                                <w:numId w:val="9"/>
                              </w:numPr>
                              <w:rPr>
                                <w:szCs w:val="20"/>
                              </w:rPr>
                            </w:pPr>
                            <w:r w:rsidRPr="00CB4E11">
                              <w:rPr>
                                <w:szCs w:val="20"/>
                              </w:rPr>
                              <w:t>Reduced fertiliser usage, application rates and expenditure</w:t>
                            </w:r>
                          </w:p>
                          <w:p w14:paraId="677B15E1" w14:textId="48DC6AD3" w:rsidR="000C0C8E" w:rsidRPr="00CB4E11" w:rsidRDefault="000C0C8E" w:rsidP="000C0C8E">
                            <w:pPr>
                              <w:pStyle w:val="ListParagraph"/>
                              <w:numPr>
                                <w:ilvl w:val="0"/>
                                <w:numId w:val="9"/>
                              </w:numPr>
                              <w:rPr>
                                <w:szCs w:val="20"/>
                              </w:rPr>
                            </w:pPr>
                            <w:r w:rsidRPr="00CB4E11">
                              <w:rPr>
                                <w:szCs w:val="20"/>
                              </w:rPr>
                              <w:t xml:space="preserve">Average annual increase to equity (net worth) of $1,792/ha </w:t>
                            </w:r>
                          </w:p>
                          <w:p w14:paraId="648BBAA2" w14:textId="77777777" w:rsidR="00336FA0" w:rsidRPr="000C0C8E" w:rsidRDefault="00336FA0" w:rsidP="000C0C8E">
                            <w:pPr>
                              <w:rPr>
                                <w:color w:val="FF0000"/>
                                <w:szCs w:val="20"/>
                              </w:rPr>
                            </w:pPr>
                          </w:p>
                          <w:p w14:paraId="3595EB0A" w14:textId="77777777" w:rsidR="00D12059" w:rsidRDefault="00D12059" w:rsidP="00D12059"/>
                        </w:txbxContent>
                      </wps:txbx>
                      <wps:bodyPr rot="0" vert="horz" wrap="square" lIns="91440" tIns="45720" rIns="91440" bIns="45720" anchor="t" anchorCtr="0">
                        <a:noAutofit/>
                      </wps:bodyPr>
                    </wps:wsp>
                  </a:graphicData>
                </a:graphic>
              </wp:inline>
            </w:drawing>
          </mc:Choice>
          <mc:Fallback>
            <w:pict>
              <v:shape w14:anchorId="016F1376" id="_x0000_s1028" type="#_x0000_t202" style="width:453.75pt;height:1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" fillcolor="#f7caac [1301]">
                <v:textbox>
                  <w:txbxContent>
                    <w:p w14:paraId="3FC45973" w14:textId="3112DDAC" w:rsidR="00D12059" w:rsidRPr="00CB4E11" w:rsidRDefault="001B5E52" w:rsidP="00D12059">
                      <w:pPr>
                        <w:pStyle w:val="Caption"/>
                      </w:pPr>
                      <w:r>
                        <w:t>Northern Victoria r</w:t>
                      </w:r>
                      <w:r w:rsidR="00D12059" w:rsidRPr="00CB4E11">
                        <w:t xml:space="preserve">egional </w:t>
                      </w:r>
                      <w:r>
                        <w:t>s</w:t>
                      </w:r>
                      <w:r w:rsidR="00D12059" w:rsidRPr="00CB4E11">
                        <w:t>ummary</w:t>
                      </w:r>
                    </w:p>
                    <w:p w14:paraId="1C3B9A29" w14:textId="040BEBDF" w:rsidR="00D12059" w:rsidRPr="00CB4E11" w:rsidRDefault="008F7E10" w:rsidP="008F7E10">
                      <w:pPr>
                        <w:pStyle w:val="ListParagraph"/>
                        <w:numPr>
                          <w:ilvl w:val="0"/>
                          <w:numId w:val="9"/>
                        </w:numPr>
                        <w:rPr>
                          <w:szCs w:val="20"/>
                        </w:rPr>
                      </w:pPr>
                      <w:r w:rsidRPr="00CB4E11">
                        <w:rPr>
                          <w:szCs w:val="20"/>
                        </w:rPr>
                        <w:t xml:space="preserve">Highest </w:t>
                      </w:r>
                      <w:r w:rsidR="007D3CA0" w:rsidRPr="00CB4E11">
                        <w:rPr>
                          <w:szCs w:val="20"/>
                        </w:rPr>
                        <w:t xml:space="preserve">average </w:t>
                      </w:r>
                      <w:r w:rsidR="00311C2C" w:rsidRPr="00CB4E11">
                        <w:rPr>
                          <w:szCs w:val="20"/>
                        </w:rPr>
                        <w:t xml:space="preserve">EBIT </w:t>
                      </w:r>
                      <w:r w:rsidR="00E5145A" w:rsidRPr="00CB4E11">
                        <w:rPr>
                          <w:szCs w:val="20"/>
                        </w:rPr>
                        <w:t xml:space="preserve">recorded </w:t>
                      </w:r>
                      <w:r w:rsidR="00311C2C" w:rsidRPr="00CB4E11">
                        <w:rPr>
                          <w:szCs w:val="20"/>
                        </w:rPr>
                        <w:t>in 18</w:t>
                      </w:r>
                      <w:r w:rsidR="00EC06FA">
                        <w:rPr>
                          <w:szCs w:val="20"/>
                        </w:rPr>
                        <w:t xml:space="preserve"> </w:t>
                      </w:r>
                      <w:r w:rsidR="00311C2C" w:rsidRPr="00CB4E11">
                        <w:rPr>
                          <w:szCs w:val="20"/>
                        </w:rPr>
                        <w:t>years</w:t>
                      </w:r>
                    </w:p>
                    <w:p w14:paraId="448A73FA" w14:textId="21855DB7" w:rsidR="002A060C" w:rsidRPr="00CB4E11" w:rsidRDefault="002A060C" w:rsidP="008F7E10">
                      <w:pPr>
                        <w:pStyle w:val="ListParagraph"/>
                        <w:numPr>
                          <w:ilvl w:val="0"/>
                          <w:numId w:val="9"/>
                        </w:numPr>
                        <w:rPr>
                          <w:szCs w:val="20"/>
                        </w:rPr>
                      </w:pPr>
                      <w:r w:rsidRPr="00CB4E11">
                        <w:rPr>
                          <w:szCs w:val="20"/>
                        </w:rPr>
                        <w:t>H</w:t>
                      </w:r>
                      <w:r w:rsidR="00F4767E" w:rsidRPr="00CB4E11">
                        <w:rPr>
                          <w:szCs w:val="20"/>
                        </w:rPr>
                        <w:t>i</w:t>
                      </w:r>
                      <w:r w:rsidRPr="00CB4E11">
                        <w:rPr>
                          <w:szCs w:val="20"/>
                        </w:rPr>
                        <w:t xml:space="preserve">ghest return on assets </w:t>
                      </w:r>
                      <w:r w:rsidR="00F4767E" w:rsidRPr="00CB4E11">
                        <w:rPr>
                          <w:szCs w:val="20"/>
                        </w:rPr>
                        <w:t>since 2017</w:t>
                      </w:r>
                      <w:r w:rsidR="0066206C">
                        <w:t>–</w:t>
                      </w:r>
                      <w:r w:rsidR="00F4767E" w:rsidRPr="00CB4E11">
                        <w:rPr>
                          <w:szCs w:val="20"/>
                        </w:rPr>
                        <w:t>18</w:t>
                      </w:r>
                      <w:r w:rsidR="00C85FFC">
                        <w:rPr>
                          <w:szCs w:val="20"/>
                        </w:rPr>
                        <w:t xml:space="preserve"> as continued and rapid rise in farmland constrained returns</w:t>
                      </w:r>
                      <w:r w:rsidR="00251966">
                        <w:rPr>
                          <w:szCs w:val="20"/>
                        </w:rPr>
                        <w:t xml:space="preserve"> in 2021</w:t>
                      </w:r>
                      <w:r w:rsidR="002953A4">
                        <w:t>–</w:t>
                      </w:r>
                      <w:r w:rsidR="00251966">
                        <w:rPr>
                          <w:szCs w:val="20"/>
                        </w:rPr>
                        <w:t>22</w:t>
                      </w:r>
                    </w:p>
                    <w:p w14:paraId="4310F072" w14:textId="3BCED6D1" w:rsidR="00E5145A" w:rsidRPr="00CB4E11" w:rsidRDefault="00E5145A" w:rsidP="00E5145A">
                      <w:pPr>
                        <w:pStyle w:val="ListParagraph"/>
                        <w:numPr>
                          <w:ilvl w:val="0"/>
                          <w:numId w:val="9"/>
                        </w:numPr>
                        <w:rPr>
                          <w:szCs w:val="20"/>
                        </w:rPr>
                      </w:pPr>
                      <w:r w:rsidRPr="00CB4E11">
                        <w:rPr>
                          <w:szCs w:val="20"/>
                        </w:rPr>
                        <w:t xml:space="preserve">Highest </w:t>
                      </w:r>
                      <w:r w:rsidR="0079572E" w:rsidRPr="00CB4E11">
                        <w:rPr>
                          <w:szCs w:val="20"/>
                        </w:rPr>
                        <w:t xml:space="preserve">average </w:t>
                      </w:r>
                      <w:r w:rsidRPr="00CB4E11">
                        <w:rPr>
                          <w:szCs w:val="20"/>
                        </w:rPr>
                        <w:t>gross farm income recorded in 18 years</w:t>
                      </w:r>
                    </w:p>
                    <w:p w14:paraId="526FC5BB" w14:textId="00DEE0AF" w:rsidR="00E5145A" w:rsidRPr="00CB4E11" w:rsidRDefault="00606FB1" w:rsidP="008F7E10">
                      <w:pPr>
                        <w:pStyle w:val="ListParagraph"/>
                        <w:numPr>
                          <w:ilvl w:val="0"/>
                          <w:numId w:val="9"/>
                        </w:numPr>
                        <w:rPr>
                          <w:szCs w:val="20"/>
                        </w:rPr>
                      </w:pPr>
                      <w:r w:rsidRPr="00CB4E11">
                        <w:rPr>
                          <w:szCs w:val="20"/>
                        </w:rPr>
                        <w:t>Reduced fertiliser usage, application rates and expenditure</w:t>
                      </w:r>
                    </w:p>
                    <w:p w14:paraId="677B15E1" w14:textId="48DC6AD3" w:rsidR="000C0C8E" w:rsidRPr="00CB4E11" w:rsidRDefault="000C0C8E" w:rsidP="000C0C8E">
                      <w:pPr>
                        <w:pStyle w:val="ListParagraph"/>
                        <w:numPr>
                          <w:ilvl w:val="0"/>
                          <w:numId w:val="9"/>
                        </w:numPr>
                        <w:rPr>
                          <w:szCs w:val="20"/>
                        </w:rPr>
                      </w:pPr>
                      <w:r w:rsidRPr="00CB4E11">
                        <w:rPr>
                          <w:szCs w:val="20"/>
                        </w:rPr>
                        <w:t xml:space="preserve">Average annual increase to equity (net worth) of $1,792/ha </w:t>
                      </w:r>
                    </w:p>
                    <w:p w14:paraId="648BBAA2" w14:textId="77777777" w:rsidR="00336FA0" w:rsidRPr="000C0C8E" w:rsidRDefault="00336FA0" w:rsidP="000C0C8E">
                      <w:pPr>
                        <w:rPr>
                          <w:color w:val="FF0000"/>
                          <w:szCs w:val="20"/>
                        </w:rPr>
                      </w:pPr>
                    </w:p>
                    <w:p w14:paraId="3595EB0A" w14:textId="77777777" w:rsidR="00D12059" w:rsidRDefault="00D12059" w:rsidP="00D12059"/>
                  </w:txbxContent>
                </v:textbox>
                <w10:anchorlock/>
              </v:shape>
            </w:pict>
          </mc:Fallback>
        </mc:AlternateContent>
      </w:r>
    </w:p>
    <w:tbl>
      <w:tblPr>
        <w:tblStyle w:val="GridTable1Light"/>
        <w:tblpPr w:leftFromText="180" w:rightFromText="180" w:vertAnchor="text" w:horzAnchor="page" w:tblpX="2776" w:tblpY="108"/>
        <w:tblW w:w="7180" w:type="dxa"/>
        <w:tblLook w:val="04A0" w:firstRow="1" w:lastRow="0" w:firstColumn="1" w:lastColumn="0" w:noHBand="0" w:noVBand="1"/>
      </w:tblPr>
      <w:tblGrid>
        <w:gridCol w:w="4640"/>
        <w:gridCol w:w="1360"/>
        <w:gridCol w:w="1180"/>
      </w:tblGrid>
      <w:tr w:rsidR="005C1B18" w:rsidRPr="00B5227C" w14:paraId="4774A066" w14:textId="77777777" w:rsidTr="007E69B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261F9D9D" w14:textId="77777777" w:rsidR="005C1B18" w:rsidRPr="00B5227C" w:rsidRDefault="005C1B18" w:rsidP="005C1B18">
            <w:pPr>
              <w:rPr>
                <w:rFonts w:eastAsia="Times New Roman" w:cs="Calibri"/>
                <w:b w:val="0"/>
                <w:bCs w:val="0"/>
                <w:color w:val="000000"/>
                <w:sz w:val="18"/>
                <w:szCs w:val="18"/>
                <w:lang w:eastAsia="en-AU"/>
              </w:rPr>
            </w:pPr>
            <w:r w:rsidRPr="00B5227C">
              <w:rPr>
                <w:rFonts w:eastAsia="Times New Roman" w:cs="Calibri"/>
                <w:color w:val="000000"/>
                <w:sz w:val="18"/>
                <w:szCs w:val="18"/>
                <w:lang w:eastAsia="en-AU"/>
              </w:rPr>
              <w:t>Regional summary</w:t>
            </w:r>
          </w:p>
        </w:tc>
        <w:tc>
          <w:tcPr>
            <w:tcW w:w="1360" w:type="dxa"/>
            <w:noWrap/>
            <w:hideMark/>
          </w:tcPr>
          <w:p w14:paraId="25EE5FD6" w14:textId="77777777" w:rsidR="005C1B18" w:rsidRPr="00B5227C" w:rsidRDefault="005C1B18" w:rsidP="005C1B1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ascii="Cambria" w:eastAsia="Times New Roman" w:hAnsi="Cambria" w:cs="Cambria"/>
                <w:color w:val="000000"/>
                <w:sz w:val="18"/>
                <w:szCs w:val="18"/>
                <w:lang w:eastAsia="en-AU"/>
              </w:rPr>
              <w:t> </w:t>
            </w:r>
          </w:p>
        </w:tc>
        <w:tc>
          <w:tcPr>
            <w:tcW w:w="1180" w:type="dxa"/>
            <w:noWrap/>
            <w:hideMark/>
          </w:tcPr>
          <w:p w14:paraId="44DF5960" w14:textId="77777777" w:rsidR="005C1B18" w:rsidRPr="00B5227C" w:rsidRDefault="005C1B18" w:rsidP="005C1B1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ascii="Cambria" w:eastAsia="Times New Roman" w:hAnsi="Cambria" w:cs="Cambria"/>
                <w:color w:val="000000"/>
                <w:sz w:val="18"/>
                <w:szCs w:val="18"/>
                <w:lang w:eastAsia="en-AU"/>
              </w:rPr>
              <w:t> </w:t>
            </w:r>
          </w:p>
        </w:tc>
      </w:tr>
      <w:tr w:rsidR="005C1B18" w:rsidRPr="00B5227C" w14:paraId="2AA4CA6D"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603A51CE" w14:textId="77777777" w:rsidR="005C1B18" w:rsidRPr="00B5227C" w:rsidRDefault="005C1B18" w:rsidP="005C1B18">
            <w:pPr>
              <w:jc w:val="center"/>
              <w:rPr>
                <w:rFonts w:eastAsia="Times New Roman" w:cs="Calibri"/>
                <w:b w:val="0"/>
                <w:bCs w:val="0"/>
                <w:color w:val="000000"/>
                <w:sz w:val="18"/>
                <w:szCs w:val="18"/>
                <w:lang w:eastAsia="en-AU"/>
              </w:rPr>
            </w:pPr>
            <w:r w:rsidRPr="00B5227C">
              <w:rPr>
                <w:rFonts w:ascii="Cambria" w:eastAsia="Times New Roman" w:hAnsi="Cambria" w:cs="Cambria"/>
                <w:color w:val="000000"/>
                <w:sz w:val="18"/>
                <w:szCs w:val="18"/>
                <w:lang w:eastAsia="en-AU"/>
              </w:rPr>
              <w:t> </w:t>
            </w:r>
          </w:p>
        </w:tc>
        <w:tc>
          <w:tcPr>
            <w:tcW w:w="1360" w:type="dxa"/>
            <w:noWrap/>
            <w:hideMark/>
          </w:tcPr>
          <w:p w14:paraId="38612321"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eastAsia="en-AU"/>
              </w:rPr>
            </w:pPr>
            <w:r w:rsidRPr="00B5227C">
              <w:rPr>
                <w:rFonts w:eastAsia="Times New Roman" w:cs="Calibri"/>
                <w:b/>
                <w:bCs/>
                <w:color w:val="000000"/>
                <w:sz w:val="18"/>
                <w:szCs w:val="18"/>
                <w:lang w:eastAsia="en-AU"/>
              </w:rPr>
              <w:t>3-yr average</w:t>
            </w:r>
          </w:p>
        </w:tc>
        <w:tc>
          <w:tcPr>
            <w:tcW w:w="1180" w:type="dxa"/>
            <w:noWrap/>
            <w:hideMark/>
          </w:tcPr>
          <w:p w14:paraId="018D73EC" w14:textId="703D31E9"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eastAsia="en-AU"/>
              </w:rPr>
            </w:pPr>
            <w:r w:rsidRPr="00B5227C">
              <w:rPr>
                <w:rFonts w:eastAsia="Times New Roman" w:cs="Calibri"/>
                <w:b/>
                <w:bCs/>
                <w:color w:val="000000"/>
                <w:sz w:val="18"/>
                <w:szCs w:val="18"/>
                <w:lang w:eastAsia="en-AU"/>
              </w:rPr>
              <w:t>North</w:t>
            </w:r>
            <w:r w:rsidR="0078714D">
              <w:rPr>
                <w:rFonts w:eastAsia="Times New Roman" w:cs="Calibri"/>
                <w:b/>
                <w:bCs/>
                <w:color w:val="000000"/>
                <w:sz w:val="18"/>
                <w:szCs w:val="18"/>
                <w:lang w:eastAsia="en-AU"/>
              </w:rPr>
              <w:t>ern Victoria</w:t>
            </w:r>
            <w:r w:rsidRPr="00B5227C">
              <w:rPr>
                <w:rFonts w:eastAsia="Times New Roman" w:cs="Calibri"/>
                <w:b/>
                <w:bCs/>
                <w:color w:val="000000"/>
                <w:sz w:val="18"/>
                <w:szCs w:val="18"/>
                <w:lang w:eastAsia="en-AU"/>
              </w:rPr>
              <w:t xml:space="preserve"> 2021</w:t>
            </w:r>
            <w:r w:rsidR="0078714D">
              <w:t>–</w:t>
            </w:r>
            <w:r w:rsidRPr="00B5227C">
              <w:rPr>
                <w:rFonts w:eastAsia="Times New Roman" w:cs="Calibri"/>
                <w:b/>
                <w:bCs/>
                <w:color w:val="000000"/>
                <w:sz w:val="18"/>
                <w:szCs w:val="18"/>
                <w:lang w:eastAsia="en-AU"/>
              </w:rPr>
              <w:t>22</w:t>
            </w:r>
          </w:p>
        </w:tc>
      </w:tr>
      <w:tr w:rsidR="005C1B18" w:rsidRPr="00B5227C" w14:paraId="51443F1B"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0EF67917"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Beef income ($/ha)</w:t>
            </w:r>
          </w:p>
        </w:tc>
        <w:tc>
          <w:tcPr>
            <w:tcW w:w="1360" w:type="dxa"/>
            <w:noWrap/>
            <w:hideMark/>
          </w:tcPr>
          <w:p w14:paraId="20901CE5"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$922</w:t>
            </w:r>
          </w:p>
        </w:tc>
        <w:tc>
          <w:tcPr>
            <w:tcW w:w="1180" w:type="dxa"/>
            <w:noWrap/>
            <w:hideMark/>
          </w:tcPr>
          <w:p w14:paraId="53B13B7E"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$1,241</w:t>
            </w:r>
          </w:p>
        </w:tc>
      </w:tr>
      <w:tr w:rsidR="005C1B18" w:rsidRPr="00B5227C" w14:paraId="16BC8366"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4235C760" w14:textId="115DF7B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 xml:space="preserve">Prime </w:t>
            </w:r>
            <w:r w:rsidR="0016674D" w:rsidRPr="00B5227C">
              <w:rPr>
                <w:rFonts w:eastAsia="Times New Roman" w:cs="Calibri"/>
                <w:color w:val="000000"/>
                <w:sz w:val="18"/>
                <w:szCs w:val="18"/>
                <w:lang w:eastAsia="en-AU"/>
              </w:rPr>
              <w:t>l</w:t>
            </w:r>
            <w:r w:rsidRPr="00B5227C">
              <w:rPr>
                <w:rFonts w:eastAsia="Times New Roman" w:cs="Calibri"/>
                <w:color w:val="000000"/>
                <w:sz w:val="18"/>
                <w:szCs w:val="18"/>
                <w:lang w:eastAsia="en-AU"/>
              </w:rPr>
              <w:t>amb income ($/ha)</w:t>
            </w:r>
          </w:p>
        </w:tc>
        <w:tc>
          <w:tcPr>
            <w:tcW w:w="1360" w:type="dxa"/>
            <w:noWrap/>
            <w:hideMark/>
          </w:tcPr>
          <w:p w14:paraId="242E7C2D"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$978</w:t>
            </w:r>
          </w:p>
        </w:tc>
        <w:tc>
          <w:tcPr>
            <w:tcW w:w="1180" w:type="dxa"/>
            <w:noWrap/>
            <w:hideMark/>
          </w:tcPr>
          <w:p w14:paraId="265E9D12"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$942</w:t>
            </w:r>
          </w:p>
        </w:tc>
      </w:tr>
      <w:tr w:rsidR="005C1B18" w:rsidRPr="00B5227C" w14:paraId="4E3A6154"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59099AF2" w14:textId="3DA56113"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 xml:space="preserve">Wool </w:t>
            </w:r>
            <w:r w:rsidR="00B5227C">
              <w:rPr>
                <w:rFonts w:eastAsia="Times New Roman" w:cs="Calibri"/>
                <w:color w:val="000000"/>
                <w:sz w:val="18"/>
                <w:szCs w:val="18"/>
                <w:lang w:eastAsia="en-AU"/>
              </w:rPr>
              <w:t>s</w:t>
            </w:r>
            <w:r w:rsidRPr="00B5227C">
              <w:rPr>
                <w:rFonts w:eastAsia="Times New Roman" w:cs="Calibri"/>
                <w:color w:val="000000"/>
                <w:sz w:val="18"/>
                <w:szCs w:val="18"/>
                <w:lang w:eastAsia="en-AU"/>
              </w:rPr>
              <w:t>heep income ($/ha)</w:t>
            </w:r>
          </w:p>
        </w:tc>
        <w:tc>
          <w:tcPr>
            <w:tcW w:w="1360" w:type="dxa"/>
            <w:noWrap/>
            <w:hideMark/>
          </w:tcPr>
          <w:p w14:paraId="608A2D46"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$759</w:t>
            </w:r>
          </w:p>
        </w:tc>
        <w:tc>
          <w:tcPr>
            <w:tcW w:w="1180" w:type="dxa"/>
            <w:noWrap/>
            <w:hideMark/>
          </w:tcPr>
          <w:p w14:paraId="2FF7BDD5"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$897</w:t>
            </w:r>
          </w:p>
        </w:tc>
      </w:tr>
      <w:tr w:rsidR="005C1B18" w:rsidRPr="00B5227C" w14:paraId="2F501EF3"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30B4C243"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Beef variable costs ($/ha)</w:t>
            </w:r>
          </w:p>
        </w:tc>
        <w:tc>
          <w:tcPr>
            <w:tcW w:w="1360" w:type="dxa"/>
            <w:noWrap/>
            <w:hideMark/>
          </w:tcPr>
          <w:p w14:paraId="218D49A7"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$476</w:t>
            </w:r>
          </w:p>
        </w:tc>
        <w:tc>
          <w:tcPr>
            <w:tcW w:w="1180" w:type="dxa"/>
            <w:noWrap/>
            <w:hideMark/>
          </w:tcPr>
          <w:p w14:paraId="444F3FD1"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$416</w:t>
            </w:r>
          </w:p>
        </w:tc>
      </w:tr>
      <w:tr w:rsidR="005C1B18" w:rsidRPr="00B5227C" w14:paraId="28D6F06B"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2FC02AF1" w14:textId="76B0B572"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 xml:space="preserve">Prime </w:t>
            </w:r>
            <w:r w:rsidR="00CF214A">
              <w:rPr>
                <w:rFonts w:eastAsia="Times New Roman" w:cs="Calibri"/>
                <w:color w:val="000000"/>
                <w:sz w:val="18"/>
                <w:szCs w:val="18"/>
                <w:lang w:eastAsia="en-AU"/>
              </w:rPr>
              <w:t>l</w:t>
            </w:r>
            <w:r w:rsidRPr="00B5227C">
              <w:rPr>
                <w:rFonts w:eastAsia="Times New Roman" w:cs="Calibri"/>
                <w:color w:val="000000"/>
                <w:sz w:val="18"/>
                <w:szCs w:val="18"/>
                <w:lang w:eastAsia="en-AU"/>
              </w:rPr>
              <w:t>amb variable costs ($/ha)</w:t>
            </w:r>
          </w:p>
        </w:tc>
        <w:tc>
          <w:tcPr>
            <w:tcW w:w="1360" w:type="dxa"/>
            <w:noWrap/>
            <w:hideMark/>
          </w:tcPr>
          <w:p w14:paraId="7A3C3125"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$331</w:t>
            </w:r>
          </w:p>
        </w:tc>
        <w:tc>
          <w:tcPr>
            <w:tcW w:w="1180" w:type="dxa"/>
            <w:noWrap/>
            <w:hideMark/>
          </w:tcPr>
          <w:p w14:paraId="72365139"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$368</w:t>
            </w:r>
          </w:p>
        </w:tc>
      </w:tr>
      <w:tr w:rsidR="005C1B18" w:rsidRPr="00B5227C" w14:paraId="2BABA23A"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58D20453" w14:textId="20D9538E"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 xml:space="preserve">Wool </w:t>
            </w:r>
            <w:r w:rsidR="00B5227C">
              <w:rPr>
                <w:rFonts w:eastAsia="Times New Roman" w:cs="Calibri"/>
                <w:color w:val="000000"/>
                <w:sz w:val="18"/>
                <w:szCs w:val="18"/>
                <w:lang w:eastAsia="en-AU"/>
              </w:rPr>
              <w:t>s</w:t>
            </w:r>
            <w:r w:rsidRPr="00B5227C">
              <w:rPr>
                <w:rFonts w:eastAsia="Times New Roman" w:cs="Calibri"/>
                <w:color w:val="000000"/>
                <w:sz w:val="18"/>
                <w:szCs w:val="18"/>
                <w:lang w:eastAsia="en-AU"/>
              </w:rPr>
              <w:t>heep variable costs ($/ha)</w:t>
            </w:r>
          </w:p>
        </w:tc>
        <w:tc>
          <w:tcPr>
            <w:tcW w:w="1360" w:type="dxa"/>
            <w:noWrap/>
            <w:hideMark/>
          </w:tcPr>
          <w:p w14:paraId="0BFCBAA0"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$275</w:t>
            </w:r>
          </w:p>
        </w:tc>
        <w:tc>
          <w:tcPr>
            <w:tcW w:w="1180" w:type="dxa"/>
            <w:noWrap/>
            <w:hideMark/>
          </w:tcPr>
          <w:p w14:paraId="799030C3"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$321</w:t>
            </w:r>
          </w:p>
        </w:tc>
      </w:tr>
      <w:tr w:rsidR="005C1B18" w:rsidRPr="00B5227C" w14:paraId="2C35EEEB"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727B486F"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Total assets managed ($/ha)</w:t>
            </w:r>
          </w:p>
        </w:tc>
        <w:tc>
          <w:tcPr>
            <w:tcW w:w="1360" w:type="dxa"/>
            <w:noWrap/>
            <w:hideMark/>
          </w:tcPr>
          <w:p w14:paraId="7E96C175"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B5227C">
              <w:rPr>
                <w:rFonts w:eastAsia="Times New Roman" w:cs="Calibri"/>
                <w:sz w:val="18"/>
                <w:szCs w:val="18"/>
                <w:lang w:eastAsia="en-AU"/>
              </w:rPr>
              <w:t>$13,166</w:t>
            </w:r>
          </w:p>
        </w:tc>
        <w:tc>
          <w:tcPr>
            <w:tcW w:w="1180" w:type="dxa"/>
            <w:noWrap/>
            <w:hideMark/>
          </w:tcPr>
          <w:p w14:paraId="78889E83"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B5227C">
              <w:rPr>
                <w:rFonts w:eastAsia="Times New Roman" w:cs="Calibri"/>
                <w:sz w:val="18"/>
                <w:szCs w:val="18"/>
                <w:lang w:eastAsia="en-AU"/>
              </w:rPr>
              <w:t>$17,094</w:t>
            </w:r>
          </w:p>
        </w:tc>
      </w:tr>
      <w:tr w:rsidR="005C1B18" w:rsidRPr="00B5227C" w14:paraId="47285A20"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2C1B736E"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Total debt ($/ha)</w:t>
            </w:r>
          </w:p>
        </w:tc>
        <w:tc>
          <w:tcPr>
            <w:tcW w:w="1360" w:type="dxa"/>
            <w:noWrap/>
            <w:hideMark/>
          </w:tcPr>
          <w:p w14:paraId="3428166F"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B5227C">
              <w:rPr>
                <w:rFonts w:eastAsia="Times New Roman" w:cs="Calibri"/>
                <w:sz w:val="18"/>
                <w:szCs w:val="18"/>
                <w:lang w:eastAsia="en-AU"/>
              </w:rPr>
              <w:t>$818</w:t>
            </w:r>
          </w:p>
        </w:tc>
        <w:tc>
          <w:tcPr>
            <w:tcW w:w="1180" w:type="dxa"/>
            <w:noWrap/>
            <w:hideMark/>
          </w:tcPr>
          <w:p w14:paraId="00F16124"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B5227C">
              <w:rPr>
                <w:rFonts w:eastAsia="Times New Roman" w:cs="Calibri"/>
                <w:sz w:val="18"/>
                <w:szCs w:val="18"/>
                <w:lang w:eastAsia="en-AU"/>
              </w:rPr>
              <w:t>$886</w:t>
            </w:r>
          </w:p>
        </w:tc>
      </w:tr>
      <w:tr w:rsidR="005C1B18" w:rsidRPr="00B5227C" w14:paraId="37D9C447"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7216525E"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Annual increase in equity ($/ha)</w:t>
            </w:r>
          </w:p>
        </w:tc>
        <w:tc>
          <w:tcPr>
            <w:tcW w:w="1360" w:type="dxa"/>
            <w:noWrap/>
            <w:hideMark/>
          </w:tcPr>
          <w:p w14:paraId="5D62D629"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B5227C">
              <w:rPr>
                <w:rFonts w:eastAsia="Times New Roman" w:cs="Calibri"/>
                <w:sz w:val="18"/>
                <w:szCs w:val="18"/>
                <w:lang w:eastAsia="en-AU"/>
              </w:rPr>
              <w:t>$1,220</w:t>
            </w:r>
          </w:p>
        </w:tc>
        <w:tc>
          <w:tcPr>
            <w:tcW w:w="1180" w:type="dxa"/>
            <w:noWrap/>
            <w:hideMark/>
          </w:tcPr>
          <w:p w14:paraId="33BEC008"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B5227C">
              <w:rPr>
                <w:rFonts w:eastAsia="Times New Roman" w:cs="Calibri"/>
                <w:sz w:val="18"/>
                <w:szCs w:val="18"/>
                <w:lang w:eastAsia="en-AU"/>
              </w:rPr>
              <w:t>$1,792</w:t>
            </w:r>
          </w:p>
        </w:tc>
      </w:tr>
      <w:tr w:rsidR="005C1B18" w:rsidRPr="00B5227C" w14:paraId="4CE63EEF"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384BBBAC"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 xml:space="preserve">Beef sold (kg </w:t>
            </w:r>
            <w:proofErr w:type="spellStart"/>
            <w:r w:rsidRPr="00B5227C">
              <w:rPr>
                <w:rFonts w:eastAsia="Times New Roman" w:cs="Calibri"/>
                <w:color w:val="000000"/>
                <w:sz w:val="18"/>
                <w:szCs w:val="18"/>
                <w:lang w:eastAsia="en-AU"/>
              </w:rPr>
              <w:t>lwt</w:t>
            </w:r>
            <w:proofErr w:type="spellEnd"/>
            <w:r w:rsidRPr="00B5227C">
              <w:rPr>
                <w:rFonts w:eastAsia="Times New Roman" w:cs="Calibri"/>
                <w:color w:val="000000"/>
                <w:sz w:val="18"/>
                <w:szCs w:val="18"/>
                <w:lang w:eastAsia="en-AU"/>
              </w:rPr>
              <w:t>/ha)</w:t>
            </w:r>
          </w:p>
        </w:tc>
        <w:tc>
          <w:tcPr>
            <w:tcW w:w="1360" w:type="dxa"/>
            <w:noWrap/>
            <w:hideMark/>
          </w:tcPr>
          <w:p w14:paraId="4C6B9431"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B5227C">
              <w:rPr>
                <w:rFonts w:eastAsia="Times New Roman" w:cs="Calibri"/>
                <w:sz w:val="18"/>
                <w:szCs w:val="18"/>
                <w:lang w:eastAsia="en-AU"/>
              </w:rPr>
              <w:t>270</w:t>
            </w:r>
          </w:p>
        </w:tc>
        <w:tc>
          <w:tcPr>
            <w:tcW w:w="1180" w:type="dxa"/>
            <w:noWrap/>
            <w:hideMark/>
          </w:tcPr>
          <w:p w14:paraId="56210C6B"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282</w:t>
            </w:r>
          </w:p>
        </w:tc>
      </w:tr>
      <w:tr w:rsidR="005C1B18" w:rsidRPr="00B5227C" w14:paraId="612B4164"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38093D67"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Lamb sold (kg cwt/ha)</w:t>
            </w:r>
          </w:p>
        </w:tc>
        <w:tc>
          <w:tcPr>
            <w:tcW w:w="1360" w:type="dxa"/>
            <w:noWrap/>
            <w:hideMark/>
          </w:tcPr>
          <w:p w14:paraId="55856571"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153</w:t>
            </w:r>
          </w:p>
        </w:tc>
        <w:tc>
          <w:tcPr>
            <w:tcW w:w="1180" w:type="dxa"/>
            <w:noWrap/>
            <w:hideMark/>
          </w:tcPr>
          <w:p w14:paraId="799195C3"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121</w:t>
            </w:r>
          </w:p>
        </w:tc>
      </w:tr>
      <w:tr w:rsidR="005C1B18" w:rsidRPr="00B5227C" w14:paraId="36B716AF" w14:textId="77777777" w:rsidTr="007E69B9">
        <w:trPr>
          <w:trHeight w:val="285"/>
        </w:trPr>
        <w:tc>
          <w:tcPr>
            <w:cnfStyle w:val="001000000000" w:firstRow="0" w:lastRow="0" w:firstColumn="1" w:lastColumn="0" w:oddVBand="0" w:evenVBand="0" w:oddHBand="0" w:evenHBand="0" w:firstRowFirstColumn="0" w:firstRowLastColumn="0" w:lastRowFirstColumn="0" w:lastRowLastColumn="0"/>
            <w:tcW w:w="4640" w:type="dxa"/>
            <w:noWrap/>
            <w:hideMark/>
          </w:tcPr>
          <w:p w14:paraId="5378745D"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Wool sheep wool cut (kg Gr./ha)</w:t>
            </w:r>
          </w:p>
        </w:tc>
        <w:tc>
          <w:tcPr>
            <w:tcW w:w="1360" w:type="dxa"/>
            <w:noWrap/>
            <w:hideMark/>
          </w:tcPr>
          <w:p w14:paraId="4F150839"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33</w:t>
            </w:r>
          </w:p>
        </w:tc>
        <w:tc>
          <w:tcPr>
            <w:tcW w:w="1180" w:type="dxa"/>
            <w:noWrap/>
            <w:hideMark/>
          </w:tcPr>
          <w:p w14:paraId="74E956E2"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35</w:t>
            </w:r>
          </w:p>
        </w:tc>
      </w:tr>
      <w:tr w:rsidR="005C1B18" w:rsidRPr="00B5227C" w14:paraId="07D6B3B5"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28EE17B5"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Labour use (FTE/farm)</w:t>
            </w:r>
          </w:p>
        </w:tc>
        <w:tc>
          <w:tcPr>
            <w:tcW w:w="1360" w:type="dxa"/>
            <w:noWrap/>
            <w:hideMark/>
          </w:tcPr>
          <w:p w14:paraId="51105651"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2.0</w:t>
            </w:r>
          </w:p>
        </w:tc>
        <w:tc>
          <w:tcPr>
            <w:tcW w:w="1180" w:type="dxa"/>
            <w:noWrap/>
            <w:hideMark/>
          </w:tcPr>
          <w:p w14:paraId="7ACC39EA"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1.9</w:t>
            </w:r>
          </w:p>
        </w:tc>
      </w:tr>
      <w:tr w:rsidR="005C1B18" w:rsidRPr="00B5227C" w14:paraId="7CFC0EA3"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52B8D73B"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Labour use efficiency (ha/FTE)</w:t>
            </w:r>
          </w:p>
        </w:tc>
        <w:tc>
          <w:tcPr>
            <w:tcW w:w="1360" w:type="dxa"/>
            <w:noWrap/>
            <w:hideMark/>
          </w:tcPr>
          <w:p w14:paraId="1825E048"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428</w:t>
            </w:r>
          </w:p>
        </w:tc>
        <w:tc>
          <w:tcPr>
            <w:tcW w:w="1180" w:type="dxa"/>
            <w:noWrap/>
            <w:hideMark/>
          </w:tcPr>
          <w:p w14:paraId="0019E893"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417</w:t>
            </w:r>
          </w:p>
        </w:tc>
      </w:tr>
      <w:tr w:rsidR="005C1B18" w:rsidRPr="00B5227C" w14:paraId="58D7D62F"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6CCA8F1B"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Labour use efficiency (DSE/FTE)</w:t>
            </w:r>
          </w:p>
        </w:tc>
        <w:tc>
          <w:tcPr>
            <w:tcW w:w="1360" w:type="dxa"/>
            <w:noWrap/>
            <w:hideMark/>
          </w:tcPr>
          <w:p w14:paraId="31E0EB15"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4,612</w:t>
            </w:r>
          </w:p>
        </w:tc>
        <w:tc>
          <w:tcPr>
            <w:tcW w:w="1180" w:type="dxa"/>
            <w:noWrap/>
            <w:hideMark/>
          </w:tcPr>
          <w:p w14:paraId="1CA74A3D"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4,917</w:t>
            </w:r>
          </w:p>
        </w:tc>
      </w:tr>
      <w:tr w:rsidR="005C1B18" w:rsidRPr="00B5227C" w14:paraId="1F69B91A"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6B40A29C"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Labour use efficiency (cash income/FTE)</w:t>
            </w:r>
          </w:p>
        </w:tc>
        <w:tc>
          <w:tcPr>
            <w:tcW w:w="1360" w:type="dxa"/>
            <w:noWrap/>
            <w:hideMark/>
          </w:tcPr>
          <w:p w14:paraId="29AB3D33"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$424,536</w:t>
            </w:r>
          </w:p>
        </w:tc>
        <w:tc>
          <w:tcPr>
            <w:tcW w:w="1180" w:type="dxa"/>
            <w:noWrap/>
            <w:hideMark/>
          </w:tcPr>
          <w:p w14:paraId="29579130"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$513,030</w:t>
            </w:r>
          </w:p>
        </w:tc>
      </w:tr>
      <w:tr w:rsidR="005C1B18" w:rsidRPr="00B5227C" w14:paraId="6C1192B8"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35EEEC0B"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Nitrogen applied to pasture (kg/ha)</w:t>
            </w:r>
          </w:p>
        </w:tc>
        <w:tc>
          <w:tcPr>
            <w:tcW w:w="1360" w:type="dxa"/>
            <w:noWrap/>
            <w:hideMark/>
          </w:tcPr>
          <w:p w14:paraId="29E2346B"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7</w:t>
            </w:r>
          </w:p>
        </w:tc>
        <w:tc>
          <w:tcPr>
            <w:tcW w:w="1180" w:type="dxa"/>
            <w:noWrap/>
            <w:hideMark/>
          </w:tcPr>
          <w:p w14:paraId="6601BF37"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5</w:t>
            </w:r>
          </w:p>
        </w:tc>
      </w:tr>
      <w:tr w:rsidR="005C1B18" w:rsidRPr="00B5227C" w14:paraId="06F9BA9E"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793692B4"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Phosphorus applied to pasture (kg/ha)</w:t>
            </w:r>
          </w:p>
        </w:tc>
        <w:tc>
          <w:tcPr>
            <w:tcW w:w="1360" w:type="dxa"/>
            <w:noWrap/>
            <w:hideMark/>
          </w:tcPr>
          <w:p w14:paraId="3DA6F8F4"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11</w:t>
            </w:r>
          </w:p>
        </w:tc>
        <w:tc>
          <w:tcPr>
            <w:tcW w:w="1180" w:type="dxa"/>
            <w:noWrap/>
            <w:hideMark/>
          </w:tcPr>
          <w:p w14:paraId="49A98254"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7</w:t>
            </w:r>
          </w:p>
        </w:tc>
      </w:tr>
      <w:tr w:rsidR="005C1B18" w:rsidRPr="00B5227C" w14:paraId="64E98F23"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3578FAAB" w14:textId="77777777" w:rsidR="005C1B18" w:rsidRPr="00B5227C" w:rsidRDefault="005C1B18" w:rsidP="005C1B18">
            <w:pPr>
              <w:rPr>
                <w:rFonts w:eastAsia="Times New Roman" w:cs="Calibri"/>
                <w:color w:val="000000"/>
                <w:sz w:val="18"/>
                <w:szCs w:val="18"/>
                <w:lang w:eastAsia="en-AU"/>
              </w:rPr>
            </w:pPr>
            <w:r w:rsidRPr="00B5227C">
              <w:rPr>
                <w:rFonts w:eastAsia="Times New Roman" w:cs="Calibri"/>
                <w:color w:val="000000"/>
                <w:sz w:val="18"/>
                <w:szCs w:val="18"/>
                <w:lang w:eastAsia="en-AU"/>
              </w:rPr>
              <w:t>Potassium applied to pasture (kg/ha)</w:t>
            </w:r>
          </w:p>
        </w:tc>
        <w:tc>
          <w:tcPr>
            <w:tcW w:w="1360" w:type="dxa"/>
            <w:noWrap/>
            <w:hideMark/>
          </w:tcPr>
          <w:p w14:paraId="7D353F98"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2</w:t>
            </w:r>
          </w:p>
        </w:tc>
        <w:tc>
          <w:tcPr>
            <w:tcW w:w="1180" w:type="dxa"/>
            <w:noWrap/>
            <w:hideMark/>
          </w:tcPr>
          <w:p w14:paraId="7ED5A360"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3</w:t>
            </w:r>
          </w:p>
        </w:tc>
      </w:tr>
      <w:tr w:rsidR="005C1B18" w:rsidRPr="00B5227C" w14:paraId="681AA16E"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6F2515E4" w14:textId="77777777" w:rsidR="005C1B18" w:rsidRPr="00B5227C" w:rsidRDefault="005C1B18" w:rsidP="005C1B18">
            <w:pPr>
              <w:rPr>
                <w:rFonts w:eastAsia="Times New Roman" w:cs="Calibri"/>
                <w:color w:val="000000"/>
                <w:sz w:val="18"/>
                <w:szCs w:val="18"/>
                <w:lang w:eastAsia="en-AU"/>
              </w:rPr>
            </w:pPr>
            <w:proofErr w:type="spellStart"/>
            <w:r w:rsidRPr="00B5227C">
              <w:rPr>
                <w:rFonts w:eastAsia="Times New Roman" w:cs="Calibri"/>
                <w:color w:val="000000"/>
                <w:sz w:val="18"/>
                <w:szCs w:val="18"/>
                <w:lang w:eastAsia="en-AU"/>
              </w:rPr>
              <w:t>Sulfur</w:t>
            </w:r>
            <w:proofErr w:type="spellEnd"/>
            <w:r w:rsidRPr="00B5227C">
              <w:rPr>
                <w:rFonts w:eastAsia="Times New Roman" w:cs="Calibri"/>
                <w:color w:val="000000"/>
                <w:sz w:val="18"/>
                <w:szCs w:val="18"/>
                <w:lang w:eastAsia="en-AU"/>
              </w:rPr>
              <w:t xml:space="preserve"> applied to pasture (kg/ha)</w:t>
            </w:r>
          </w:p>
        </w:tc>
        <w:tc>
          <w:tcPr>
            <w:tcW w:w="1360" w:type="dxa"/>
            <w:noWrap/>
            <w:hideMark/>
          </w:tcPr>
          <w:p w14:paraId="7CC5C668"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8</w:t>
            </w:r>
          </w:p>
        </w:tc>
        <w:tc>
          <w:tcPr>
            <w:tcW w:w="1180" w:type="dxa"/>
            <w:noWrap/>
            <w:hideMark/>
          </w:tcPr>
          <w:p w14:paraId="4A598A47"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B5227C">
              <w:rPr>
                <w:rFonts w:eastAsia="Times New Roman" w:cs="Calibri"/>
                <w:color w:val="000000"/>
                <w:sz w:val="18"/>
                <w:szCs w:val="18"/>
                <w:lang w:eastAsia="en-AU"/>
              </w:rPr>
              <w:t>9</w:t>
            </w:r>
          </w:p>
        </w:tc>
      </w:tr>
      <w:tr w:rsidR="005C1B18" w:rsidRPr="00B5227C" w14:paraId="689F00CF"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60AFD86B" w14:textId="77777777" w:rsidR="005C1B18" w:rsidRPr="00B5227C" w:rsidRDefault="005C1B18" w:rsidP="005C1B18">
            <w:pPr>
              <w:rPr>
                <w:rFonts w:eastAsia="Times New Roman" w:cs="Calibri"/>
                <w:sz w:val="18"/>
                <w:szCs w:val="18"/>
                <w:lang w:eastAsia="en-AU"/>
              </w:rPr>
            </w:pPr>
            <w:r w:rsidRPr="00B5227C">
              <w:rPr>
                <w:rFonts w:eastAsia="Times New Roman" w:cs="Calibri"/>
                <w:sz w:val="18"/>
                <w:szCs w:val="18"/>
                <w:lang w:eastAsia="en-AU"/>
              </w:rPr>
              <w:t>Beef stocking rate (DSE/ha)</w:t>
            </w:r>
          </w:p>
        </w:tc>
        <w:tc>
          <w:tcPr>
            <w:tcW w:w="1360" w:type="dxa"/>
            <w:noWrap/>
            <w:hideMark/>
          </w:tcPr>
          <w:p w14:paraId="550E6A72"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B5227C">
              <w:rPr>
                <w:rFonts w:eastAsia="Times New Roman" w:cs="Calibri"/>
                <w:sz w:val="18"/>
                <w:szCs w:val="18"/>
                <w:lang w:eastAsia="en-AU"/>
              </w:rPr>
              <w:t>12.6</w:t>
            </w:r>
          </w:p>
        </w:tc>
        <w:tc>
          <w:tcPr>
            <w:tcW w:w="1180" w:type="dxa"/>
            <w:noWrap/>
            <w:hideMark/>
          </w:tcPr>
          <w:p w14:paraId="25166EA2"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B5227C">
              <w:rPr>
                <w:rFonts w:eastAsia="Times New Roman" w:cs="Calibri"/>
                <w:sz w:val="18"/>
                <w:szCs w:val="18"/>
                <w:lang w:eastAsia="en-AU"/>
              </w:rPr>
              <w:t>13.9</w:t>
            </w:r>
          </w:p>
        </w:tc>
      </w:tr>
      <w:tr w:rsidR="005C1B18" w:rsidRPr="00B5227C" w14:paraId="43816475"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36EEFBBD" w14:textId="5CF4F016" w:rsidR="005C1B18" w:rsidRPr="00B5227C" w:rsidRDefault="005C1B18" w:rsidP="005C1B18">
            <w:pPr>
              <w:rPr>
                <w:rFonts w:eastAsia="Times New Roman" w:cs="Calibri"/>
                <w:sz w:val="18"/>
                <w:szCs w:val="18"/>
                <w:lang w:eastAsia="en-AU"/>
              </w:rPr>
            </w:pPr>
            <w:r w:rsidRPr="00B5227C">
              <w:rPr>
                <w:rFonts w:eastAsia="Times New Roman" w:cs="Calibri"/>
                <w:sz w:val="18"/>
                <w:szCs w:val="18"/>
                <w:lang w:eastAsia="en-AU"/>
              </w:rPr>
              <w:t xml:space="preserve">Prime </w:t>
            </w:r>
            <w:r w:rsidR="0016674D" w:rsidRPr="00B5227C">
              <w:rPr>
                <w:rFonts w:eastAsia="Times New Roman" w:cs="Calibri"/>
                <w:sz w:val="18"/>
                <w:szCs w:val="18"/>
                <w:lang w:eastAsia="en-AU"/>
              </w:rPr>
              <w:t>l</w:t>
            </w:r>
            <w:r w:rsidRPr="00B5227C">
              <w:rPr>
                <w:rFonts w:eastAsia="Times New Roman" w:cs="Calibri"/>
                <w:sz w:val="18"/>
                <w:szCs w:val="18"/>
                <w:lang w:eastAsia="en-AU"/>
              </w:rPr>
              <w:t>amb stocking rate (DSE/ha)</w:t>
            </w:r>
          </w:p>
        </w:tc>
        <w:tc>
          <w:tcPr>
            <w:tcW w:w="1360" w:type="dxa"/>
            <w:noWrap/>
            <w:hideMark/>
          </w:tcPr>
          <w:p w14:paraId="093C42C7"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B5227C">
              <w:rPr>
                <w:rFonts w:eastAsia="Times New Roman" w:cs="Calibri"/>
                <w:sz w:val="18"/>
                <w:szCs w:val="18"/>
                <w:lang w:eastAsia="en-AU"/>
              </w:rPr>
              <w:t>11.2</w:t>
            </w:r>
          </w:p>
        </w:tc>
        <w:tc>
          <w:tcPr>
            <w:tcW w:w="1180" w:type="dxa"/>
            <w:noWrap/>
            <w:hideMark/>
          </w:tcPr>
          <w:p w14:paraId="67DA79D9"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B5227C">
              <w:rPr>
                <w:rFonts w:eastAsia="Times New Roman" w:cs="Calibri"/>
                <w:sz w:val="18"/>
                <w:szCs w:val="18"/>
                <w:lang w:eastAsia="en-AU"/>
              </w:rPr>
              <w:t>11.2</w:t>
            </w:r>
          </w:p>
        </w:tc>
      </w:tr>
      <w:tr w:rsidR="005C1B18" w:rsidRPr="00B5227C" w14:paraId="7DD044C5"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4640" w:type="dxa"/>
            <w:noWrap/>
            <w:hideMark/>
          </w:tcPr>
          <w:p w14:paraId="55F7A230" w14:textId="77777777" w:rsidR="005C1B18" w:rsidRPr="00B5227C" w:rsidRDefault="005C1B18" w:rsidP="005C1B18">
            <w:pPr>
              <w:rPr>
                <w:rFonts w:eastAsia="Times New Roman" w:cs="Calibri"/>
                <w:sz w:val="18"/>
                <w:szCs w:val="18"/>
                <w:lang w:eastAsia="en-AU"/>
              </w:rPr>
            </w:pPr>
            <w:r w:rsidRPr="00B5227C">
              <w:rPr>
                <w:rFonts w:eastAsia="Times New Roman" w:cs="Calibri"/>
                <w:sz w:val="18"/>
                <w:szCs w:val="18"/>
                <w:lang w:eastAsia="en-AU"/>
              </w:rPr>
              <w:t>Wool sheep stocking rate (DSE/ha)</w:t>
            </w:r>
          </w:p>
        </w:tc>
        <w:tc>
          <w:tcPr>
            <w:tcW w:w="1360" w:type="dxa"/>
            <w:noWrap/>
            <w:hideMark/>
          </w:tcPr>
          <w:p w14:paraId="1815E26F"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B5227C">
              <w:rPr>
                <w:rFonts w:eastAsia="Times New Roman" w:cs="Calibri"/>
                <w:sz w:val="18"/>
                <w:szCs w:val="18"/>
                <w:lang w:eastAsia="en-AU"/>
              </w:rPr>
              <w:t>10.6</w:t>
            </w:r>
          </w:p>
        </w:tc>
        <w:tc>
          <w:tcPr>
            <w:tcW w:w="1180" w:type="dxa"/>
            <w:noWrap/>
            <w:hideMark/>
          </w:tcPr>
          <w:p w14:paraId="1A9C6B62" w14:textId="77777777" w:rsidR="005C1B18" w:rsidRPr="00B5227C" w:rsidRDefault="005C1B18" w:rsidP="005C1B18">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B5227C">
              <w:rPr>
                <w:rFonts w:eastAsia="Times New Roman" w:cs="Calibri"/>
                <w:sz w:val="18"/>
                <w:szCs w:val="18"/>
                <w:lang w:eastAsia="en-AU"/>
              </w:rPr>
              <w:t>11.5</w:t>
            </w:r>
          </w:p>
        </w:tc>
      </w:tr>
    </w:tbl>
    <w:p w14:paraId="6595A350" w14:textId="61F83345" w:rsidR="001860FB" w:rsidRDefault="001860FB" w:rsidP="00D12059"/>
    <w:p w14:paraId="65A61D56" w14:textId="089BF44F" w:rsidR="00D12059" w:rsidRPr="0074280E" w:rsidRDefault="00D12059" w:rsidP="00D12059">
      <w:pPr>
        <w:rPr>
          <w:b/>
          <w:color w:val="FF0000"/>
          <w:szCs w:val="20"/>
        </w:rPr>
      </w:pPr>
    </w:p>
    <w:p w14:paraId="30C0584A" w14:textId="77777777" w:rsidR="00D12059" w:rsidRPr="00F73ED4" w:rsidRDefault="00D12059" w:rsidP="00D12059">
      <w:pPr>
        <w:rPr>
          <w:b/>
          <w:color w:val="FF0000"/>
          <w:szCs w:val="20"/>
        </w:rPr>
      </w:pPr>
    </w:p>
    <w:p w14:paraId="5E07E5E0" w14:textId="77777777" w:rsidR="00D12059" w:rsidRPr="00F73ED4" w:rsidRDefault="00D12059" w:rsidP="00D12059">
      <w:pPr>
        <w:rPr>
          <w:b/>
          <w:color w:val="FF0000"/>
          <w:szCs w:val="20"/>
        </w:rPr>
      </w:pPr>
      <w:r w:rsidRPr="00F73ED4">
        <w:rPr>
          <w:b/>
          <w:color w:val="FF0000"/>
          <w:szCs w:val="20"/>
        </w:rPr>
        <w:br w:type="page"/>
      </w:r>
    </w:p>
    <w:p w14:paraId="119C83C5" w14:textId="6A1E6FE3" w:rsidR="00D12059" w:rsidRPr="0064154B" w:rsidRDefault="007179B4" w:rsidP="007E2ECC">
      <w:pPr>
        <w:pStyle w:val="Heading2"/>
        <w:rPr>
          <w:bCs/>
        </w:rPr>
      </w:pPr>
      <w:proofErr w:type="gramStart"/>
      <w:r w:rsidRPr="0064154B">
        <w:rPr>
          <w:bCs/>
        </w:rPr>
        <w:lastRenderedPageBreak/>
        <w:t>South West</w:t>
      </w:r>
      <w:proofErr w:type="gramEnd"/>
      <w:r w:rsidR="001D7E69">
        <w:rPr>
          <w:bCs/>
        </w:rPr>
        <w:t xml:space="preserve"> Victoria</w:t>
      </w:r>
    </w:p>
    <w:p w14:paraId="3C77DF1A" w14:textId="3BAB5635" w:rsidR="00D12059" w:rsidRPr="007E2ECC" w:rsidRDefault="00D12059" w:rsidP="007E2ECC">
      <w:pPr>
        <w:pStyle w:val="Heading3"/>
        <w:rPr>
          <w:b/>
          <w:bCs/>
        </w:rPr>
      </w:pPr>
      <w:r w:rsidRPr="007E2ECC">
        <w:rPr>
          <w:b/>
          <w:bCs/>
        </w:rPr>
        <w:t xml:space="preserve">Price </w:t>
      </w:r>
      <w:proofErr w:type="spellStart"/>
      <w:r w:rsidR="001B5E52">
        <w:rPr>
          <w:b/>
          <w:bCs/>
        </w:rPr>
        <w:t>r</w:t>
      </w:r>
      <w:r w:rsidRPr="007E2ECC">
        <w:rPr>
          <w:b/>
          <w:bCs/>
        </w:rPr>
        <w:t>ecieved</w:t>
      </w:r>
      <w:proofErr w:type="spellEnd"/>
    </w:p>
    <w:p w14:paraId="7602ADD8" w14:textId="5F7B0352" w:rsidR="00D12059" w:rsidRDefault="00E0308D" w:rsidP="00D12059">
      <w:pPr>
        <w:rPr>
          <w:color w:val="FF0000"/>
          <w:szCs w:val="20"/>
        </w:rPr>
      </w:pPr>
      <w:r>
        <w:rPr>
          <w:noProof/>
          <w:color w:val="FF0000"/>
          <w:szCs w:val="20"/>
        </w:rPr>
        <w:drawing>
          <wp:inline distT="0" distB="0" distL="0" distR="0" wp14:anchorId="0D3B5588" wp14:editId="6A8D4BA4">
            <wp:extent cx="2409326" cy="1628775"/>
            <wp:effectExtent l="0" t="0" r="0" b="0"/>
            <wp:docPr id="199" name="Picture 199" descr="South West Victoria enterprise mix (proportion of cash income) shown as a pie graph. Data in the app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South West Victoria enterprise mix (proportion of cash income) shown as a pie graph. Data in the appendix"/>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11477" cy="1630229"/>
                    </a:xfrm>
                    <a:prstGeom prst="rect">
                      <a:avLst/>
                    </a:prstGeom>
                    <a:noFill/>
                  </pic:spPr>
                </pic:pic>
              </a:graphicData>
            </a:graphic>
          </wp:inline>
        </w:drawing>
      </w:r>
    </w:p>
    <w:p w14:paraId="5636AF2F" w14:textId="7FC8A163" w:rsidR="00E0308D" w:rsidRDefault="00CF3974" w:rsidP="00CF3974">
      <w:pPr>
        <w:pStyle w:val="Caption"/>
        <w:rPr>
          <w:color w:val="FF0000"/>
        </w:rPr>
      </w:pPr>
      <w:r>
        <w:t xml:space="preserve">Figure </w:t>
      </w:r>
      <w:fldSimple w:instr=" SEQ Figure \* ARABIC ">
        <w:r w:rsidR="00FC7BFA">
          <w:rPr>
            <w:noProof/>
          </w:rPr>
          <w:t>18</w:t>
        </w:r>
      </w:fldSimple>
      <w:r>
        <w:t xml:space="preserve">. </w:t>
      </w:r>
      <w:r w:rsidR="009C49E4">
        <w:t>South West</w:t>
      </w:r>
      <w:r w:rsidR="009C49E4" w:rsidRPr="009C49E4">
        <w:t xml:space="preserve"> </w:t>
      </w:r>
      <w:r w:rsidR="00EF3175">
        <w:t xml:space="preserve">Victoria </w:t>
      </w:r>
      <w:r w:rsidR="009C49E4" w:rsidRPr="009C49E4">
        <w:t>enterprise mix (proportion of cash income)</w:t>
      </w:r>
    </w:p>
    <w:p w14:paraId="186F4CB4" w14:textId="6FDC9E2F" w:rsidR="00D12059" w:rsidRPr="00CA747C" w:rsidRDefault="004E4C7B" w:rsidP="00D12059">
      <w:pPr>
        <w:rPr>
          <w:szCs w:val="20"/>
        </w:rPr>
      </w:pPr>
      <w:r>
        <w:rPr>
          <w:szCs w:val="20"/>
        </w:rPr>
        <w:t>S</w:t>
      </w:r>
      <w:r w:rsidR="00BA3590" w:rsidRPr="00CA747C">
        <w:rPr>
          <w:szCs w:val="20"/>
        </w:rPr>
        <w:t xml:space="preserve">heep enterprises </w:t>
      </w:r>
      <w:r w:rsidR="008C172C" w:rsidRPr="00CA747C">
        <w:rPr>
          <w:szCs w:val="20"/>
        </w:rPr>
        <w:t>were</w:t>
      </w:r>
      <w:r w:rsidR="00BA3590" w:rsidRPr="00CA747C">
        <w:rPr>
          <w:szCs w:val="20"/>
        </w:rPr>
        <w:t xml:space="preserve"> the dominant enterprises in the </w:t>
      </w:r>
      <w:r w:rsidR="00EF3175">
        <w:rPr>
          <w:szCs w:val="20"/>
        </w:rPr>
        <w:t>s</w:t>
      </w:r>
      <w:r w:rsidR="00BA3590" w:rsidRPr="00CA747C">
        <w:rPr>
          <w:szCs w:val="20"/>
        </w:rPr>
        <w:t xml:space="preserve">outh </w:t>
      </w:r>
      <w:r w:rsidR="00EF3175">
        <w:rPr>
          <w:szCs w:val="20"/>
        </w:rPr>
        <w:t>w</w:t>
      </w:r>
      <w:r w:rsidR="00BA3590" w:rsidRPr="00CA747C">
        <w:rPr>
          <w:szCs w:val="20"/>
        </w:rPr>
        <w:t>est</w:t>
      </w:r>
      <w:r w:rsidR="00F453EF">
        <w:rPr>
          <w:szCs w:val="20"/>
        </w:rPr>
        <w:t xml:space="preserve"> (Figure 18)</w:t>
      </w:r>
      <w:r w:rsidR="005517BE" w:rsidRPr="00CA747C">
        <w:rPr>
          <w:szCs w:val="20"/>
        </w:rPr>
        <w:t>.</w:t>
      </w:r>
      <w:r w:rsidR="00170C42" w:rsidRPr="00CA747C">
        <w:rPr>
          <w:szCs w:val="20"/>
        </w:rPr>
        <w:t xml:space="preserve"> </w:t>
      </w:r>
      <w:r w:rsidR="0046478E" w:rsidRPr="00CA747C">
        <w:rPr>
          <w:szCs w:val="20"/>
        </w:rPr>
        <w:t xml:space="preserve">Prime lamb and </w:t>
      </w:r>
      <w:r w:rsidR="0050157E">
        <w:rPr>
          <w:szCs w:val="20"/>
        </w:rPr>
        <w:t>w</w:t>
      </w:r>
      <w:r w:rsidR="0046478E" w:rsidRPr="00CA747C">
        <w:rPr>
          <w:szCs w:val="20"/>
        </w:rPr>
        <w:t xml:space="preserve">ool sheep products made up </w:t>
      </w:r>
      <w:r w:rsidR="001C2643" w:rsidRPr="00CA747C">
        <w:rPr>
          <w:szCs w:val="20"/>
        </w:rPr>
        <w:t xml:space="preserve">66 per cent of </w:t>
      </w:r>
      <w:r w:rsidR="006A63F1" w:rsidRPr="00CA747C">
        <w:rPr>
          <w:szCs w:val="20"/>
        </w:rPr>
        <w:t>cash</w:t>
      </w:r>
      <w:r w:rsidR="00170C42" w:rsidRPr="00CA747C">
        <w:rPr>
          <w:szCs w:val="20"/>
        </w:rPr>
        <w:t xml:space="preserve"> income </w:t>
      </w:r>
      <w:r w:rsidR="00353297" w:rsidRPr="00CA747C">
        <w:rPr>
          <w:szCs w:val="20"/>
        </w:rPr>
        <w:t>(47 per cent sheep sales and 19 per cent wool sales)</w:t>
      </w:r>
      <w:r w:rsidR="00BA3590" w:rsidRPr="00CA747C">
        <w:rPr>
          <w:szCs w:val="20"/>
        </w:rPr>
        <w:t xml:space="preserve">. </w:t>
      </w:r>
      <w:r w:rsidR="00C97BB1">
        <w:rPr>
          <w:szCs w:val="20"/>
        </w:rPr>
        <w:t>In 2021</w:t>
      </w:r>
      <w:r w:rsidR="00EF3175">
        <w:t>–</w:t>
      </w:r>
      <w:r w:rsidR="00C97BB1">
        <w:rPr>
          <w:szCs w:val="20"/>
        </w:rPr>
        <w:t xml:space="preserve">22, </w:t>
      </w:r>
      <w:r w:rsidR="00A7186A">
        <w:rPr>
          <w:szCs w:val="20"/>
        </w:rPr>
        <w:t xml:space="preserve">lamb price </w:t>
      </w:r>
      <w:r w:rsidR="0001211E">
        <w:rPr>
          <w:szCs w:val="20"/>
        </w:rPr>
        <w:t xml:space="preserve">was the highest in </w:t>
      </w:r>
      <w:r w:rsidR="00451A78">
        <w:rPr>
          <w:szCs w:val="20"/>
        </w:rPr>
        <w:t>18</w:t>
      </w:r>
      <w:r w:rsidR="0001211E">
        <w:rPr>
          <w:szCs w:val="20"/>
        </w:rPr>
        <w:t xml:space="preserve"> years </w:t>
      </w:r>
      <w:r w:rsidR="00A7186A">
        <w:rPr>
          <w:szCs w:val="20"/>
        </w:rPr>
        <w:t xml:space="preserve">and </w:t>
      </w:r>
      <w:r w:rsidR="00F96AC2">
        <w:rPr>
          <w:szCs w:val="20"/>
        </w:rPr>
        <w:t xml:space="preserve">fine </w:t>
      </w:r>
      <w:r w:rsidR="00EE542E">
        <w:rPr>
          <w:szCs w:val="20"/>
        </w:rPr>
        <w:t xml:space="preserve">wool price </w:t>
      </w:r>
      <w:proofErr w:type="spellStart"/>
      <w:r w:rsidR="00EE542E">
        <w:rPr>
          <w:szCs w:val="20"/>
        </w:rPr>
        <w:t>recieved</w:t>
      </w:r>
      <w:proofErr w:type="spellEnd"/>
      <w:r w:rsidR="00F64FED" w:rsidRPr="00F64FED">
        <w:rPr>
          <w:szCs w:val="20"/>
        </w:rPr>
        <w:t xml:space="preserve"> </w:t>
      </w:r>
      <w:r w:rsidR="00FC708D">
        <w:rPr>
          <w:szCs w:val="20"/>
        </w:rPr>
        <w:t xml:space="preserve">was the second highest. This </w:t>
      </w:r>
      <w:r w:rsidR="00717B98">
        <w:rPr>
          <w:szCs w:val="20"/>
        </w:rPr>
        <w:t xml:space="preserve">boosted average gross farm income to the highest levels recorded in </w:t>
      </w:r>
      <w:r w:rsidR="00910B59">
        <w:rPr>
          <w:szCs w:val="20"/>
        </w:rPr>
        <w:t>18</w:t>
      </w:r>
      <w:r w:rsidR="00786455">
        <w:rPr>
          <w:szCs w:val="20"/>
        </w:rPr>
        <w:t xml:space="preserve"> years</w:t>
      </w:r>
      <w:r w:rsidR="00310974">
        <w:rPr>
          <w:szCs w:val="20"/>
        </w:rPr>
        <w:t xml:space="preserve"> </w:t>
      </w:r>
      <w:r w:rsidR="00F64FED" w:rsidRPr="00F64FED">
        <w:rPr>
          <w:szCs w:val="20"/>
        </w:rPr>
        <w:t xml:space="preserve">(Appendix </w:t>
      </w:r>
      <w:r w:rsidR="00786455">
        <w:rPr>
          <w:szCs w:val="20"/>
        </w:rPr>
        <w:t>B</w:t>
      </w:r>
      <w:r w:rsidR="00F64FED" w:rsidRPr="00F64FED">
        <w:rPr>
          <w:szCs w:val="20"/>
        </w:rPr>
        <w:t>12)</w:t>
      </w:r>
      <w:r w:rsidR="00310974">
        <w:rPr>
          <w:szCs w:val="20"/>
        </w:rPr>
        <w:t>.</w:t>
      </w:r>
      <w:r w:rsidR="00F64FED" w:rsidRPr="00F64FED">
        <w:rPr>
          <w:szCs w:val="20"/>
        </w:rPr>
        <w:t xml:space="preserve">  </w:t>
      </w:r>
    </w:p>
    <w:p w14:paraId="00DE42F4" w14:textId="26A0A71B" w:rsidR="00D12059" w:rsidRPr="00D44F98" w:rsidRDefault="00D12059" w:rsidP="007E2ECC">
      <w:pPr>
        <w:pStyle w:val="Heading3"/>
        <w:rPr>
          <w:b/>
          <w:bCs/>
          <w:lang w:val="fr-FR"/>
        </w:rPr>
      </w:pPr>
      <w:proofErr w:type="gramStart"/>
      <w:r w:rsidRPr="00D44F98">
        <w:rPr>
          <w:b/>
          <w:bCs/>
          <w:lang w:val="fr-FR"/>
        </w:rPr>
        <w:t>Fertiliser:</w:t>
      </w:r>
      <w:proofErr w:type="gramEnd"/>
      <w:r w:rsidRPr="00D44F98">
        <w:rPr>
          <w:b/>
          <w:bCs/>
          <w:lang w:val="fr-FR"/>
        </w:rPr>
        <w:t xml:space="preserve"> </w:t>
      </w:r>
    </w:p>
    <w:p w14:paraId="15F47401" w14:textId="23D869D8" w:rsidR="00D12059" w:rsidRPr="005339A1" w:rsidRDefault="00C03C71" w:rsidP="00D12059">
      <w:pPr>
        <w:rPr>
          <w:szCs w:val="20"/>
        </w:rPr>
      </w:pPr>
      <w:r w:rsidRPr="002E2BD6">
        <w:rPr>
          <w:szCs w:val="20"/>
        </w:rPr>
        <w:t>High fertiliser prices</w:t>
      </w:r>
      <w:r w:rsidR="00394577" w:rsidRPr="002E2BD6">
        <w:rPr>
          <w:szCs w:val="20"/>
        </w:rPr>
        <w:t xml:space="preserve"> </w:t>
      </w:r>
      <w:r w:rsidR="00B45A09">
        <w:rPr>
          <w:szCs w:val="20"/>
        </w:rPr>
        <w:t>increased</w:t>
      </w:r>
      <w:r w:rsidR="00BC2BC6" w:rsidRPr="002E2BD6">
        <w:rPr>
          <w:szCs w:val="20"/>
        </w:rPr>
        <w:t xml:space="preserve"> f</w:t>
      </w:r>
      <w:r w:rsidR="000C2028" w:rsidRPr="002E2BD6">
        <w:rPr>
          <w:szCs w:val="20"/>
        </w:rPr>
        <w:t>ertiliser expe</w:t>
      </w:r>
      <w:r w:rsidR="0060708B" w:rsidRPr="002E2BD6">
        <w:rPr>
          <w:szCs w:val="20"/>
        </w:rPr>
        <w:t>nditure</w:t>
      </w:r>
      <w:r w:rsidR="00BC2BC6" w:rsidRPr="002E2BD6">
        <w:rPr>
          <w:szCs w:val="20"/>
        </w:rPr>
        <w:t xml:space="preserve"> by 20 per cent</w:t>
      </w:r>
      <w:r w:rsidR="00394577" w:rsidRPr="002E2BD6">
        <w:rPr>
          <w:szCs w:val="20"/>
        </w:rPr>
        <w:t xml:space="preserve"> year-on-year</w:t>
      </w:r>
      <w:r w:rsidR="00BC2BC6" w:rsidRPr="002E2BD6">
        <w:rPr>
          <w:szCs w:val="20"/>
        </w:rPr>
        <w:t xml:space="preserve"> </w:t>
      </w:r>
      <w:r w:rsidR="00EA1BD8">
        <w:rPr>
          <w:szCs w:val="20"/>
        </w:rPr>
        <w:t>and</w:t>
      </w:r>
      <w:r w:rsidR="00BC2BC6" w:rsidRPr="002E2BD6">
        <w:rPr>
          <w:szCs w:val="20"/>
        </w:rPr>
        <w:t xml:space="preserve"> </w:t>
      </w:r>
      <w:r w:rsidR="00B5504A">
        <w:rPr>
          <w:szCs w:val="20"/>
        </w:rPr>
        <w:t xml:space="preserve">was </w:t>
      </w:r>
      <w:r w:rsidR="00BC2BC6" w:rsidRPr="002E2BD6">
        <w:rPr>
          <w:szCs w:val="20"/>
        </w:rPr>
        <w:t xml:space="preserve">the highest </w:t>
      </w:r>
      <w:r w:rsidR="00637CA6">
        <w:rPr>
          <w:szCs w:val="20"/>
        </w:rPr>
        <w:t xml:space="preserve">outlay </w:t>
      </w:r>
      <w:r w:rsidR="00BC2BC6" w:rsidRPr="002E2BD6">
        <w:rPr>
          <w:szCs w:val="20"/>
        </w:rPr>
        <w:t>in the last decade (Figure 19</w:t>
      </w:r>
      <w:r w:rsidR="005339A1" w:rsidRPr="002E2BD6">
        <w:rPr>
          <w:szCs w:val="20"/>
        </w:rPr>
        <w:t xml:space="preserve">). </w:t>
      </w:r>
      <w:r w:rsidR="00E45D88" w:rsidRPr="002E2BD6">
        <w:rPr>
          <w:szCs w:val="20"/>
        </w:rPr>
        <w:t>The increase in expenditure was in</w:t>
      </w:r>
      <w:r w:rsidR="0042373D">
        <w:rPr>
          <w:szCs w:val="20"/>
        </w:rPr>
        <w:t xml:space="preserve"> </w:t>
      </w:r>
      <w:r w:rsidR="00E45D88" w:rsidRPr="002E2BD6">
        <w:rPr>
          <w:szCs w:val="20"/>
        </w:rPr>
        <w:t>spite of</w:t>
      </w:r>
      <w:r w:rsidR="00F72FD4" w:rsidRPr="002E2BD6">
        <w:rPr>
          <w:szCs w:val="20"/>
        </w:rPr>
        <w:t xml:space="preserve"> d</w:t>
      </w:r>
      <w:r w:rsidR="005339A1" w:rsidRPr="002E2BD6">
        <w:rPr>
          <w:szCs w:val="20"/>
        </w:rPr>
        <w:t>ecreases in regional phosphorus</w:t>
      </w:r>
      <w:r w:rsidR="00F72FD4" w:rsidRPr="002E2BD6">
        <w:rPr>
          <w:szCs w:val="20"/>
        </w:rPr>
        <w:t xml:space="preserve">, </w:t>
      </w:r>
      <w:r w:rsidR="005339A1" w:rsidRPr="002E2BD6">
        <w:rPr>
          <w:szCs w:val="20"/>
        </w:rPr>
        <w:t>nitrogen</w:t>
      </w:r>
      <w:r w:rsidR="00F72FD4" w:rsidRPr="002E2BD6">
        <w:rPr>
          <w:szCs w:val="20"/>
        </w:rPr>
        <w:t xml:space="preserve"> and potassium</w:t>
      </w:r>
      <w:r w:rsidR="005339A1" w:rsidRPr="002E2BD6">
        <w:rPr>
          <w:szCs w:val="20"/>
        </w:rPr>
        <w:t xml:space="preserve"> application rates</w:t>
      </w:r>
      <w:r w:rsidR="002E2BD6">
        <w:rPr>
          <w:szCs w:val="20"/>
        </w:rPr>
        <w:t>.</w:t>
      </w:r>
      <w:r w:rsidR="00F83DE1" w:rsidRPr="002E2BD6">
        <w:rPr>
          <w:szCs w:val="20"/>
        </w:rPr>
        <w:t xml:space="preserve"> </w:t>
      </w:r>
    </w:p>
    <w:p w14:paraId="3B0C4B99" w14:textId="2255C8F4" w:rsidR="00D12059" w:rsidRDefault="006F788C" w:rsidP="00D12059">
      <w:pPr>
        <w:rPr>
          <w:b/>
          <w:bCs/>
          <w:szCs w:val="20"/>
        </w:rPr>
      </w:pPr>
      <w:r>
        <w:rPr>
          <w:b/>
          <w:bCs/>
          <w:noProof/>
          <w:szCs w:val="20"/>
        </w:rPr>
        <w:drawing>
          <wp:inline distT="0" distB="0" distL="0" distR="0" wp14:anchorId="2CD78164" wp14:editId="09783C75">
            <wp:extent cx="3219450" cy="1901157"/>
            <wp:effectExtent l="0" t="0" r="0" b="4445"/>
            <wp:docPr id="200" name="Picture 200" descr="Average cost of fertiliser applied to pasture over time shown as a lin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descr="Average cost of fertiliser applied to pasture over time shown as a line graph"/>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19450" cy="1901157"/>
                    </a:xfrm>
                    <a:prstGeom prst="rect">
                      <a:avLst/>
                    </a:prstGeom>
                    <a:noFill/>
                  </pic:spPr>
                </pic:pic>
              </a:graphicData>
            </a:graphic>
          </wp:inline>
        </w:drawing>
      </w:r>
    </w:p>
    <w:p w14:paraId="2E5A5626" w14:textId="3AA8A137" w:rsidR="008444CA" w:rsidRDefault="001C292D" w:rsidP="008444CA">
      <w:pPr>
        <w:pStyle w:val="Caption"/>
      </w:pPr>
      <w:r>
        <w:t xml:space="preserve">Figure </w:t>
      </w:r>
      <w:fldSimple w:instr=" SEQ Figure \* ARABIC ">
        <w:r w:rsidR="00FC7BFA">
          <w:rPr>
            <w:noProof/>
          </w:rPr>
          <w:t>19</w:t>
        </w:r>
      </w:fldSimple>
      <w:r>
        <w:t xml:space="preserve">. </w:t>
      </w:r>
      <w:r w:rsidR="008444CA" w:rsidRPr="008444CA">
        <w:t>Average cost of fertiliser applied to pasture over time</w:t>
      </w:r>
    </w:p>
    <w:p w14:paraId="3BF5DA93" w14:textId="116129D4" w:rsidR="00BD16B6" w:rsidRDefault="009A3613" w:rsidP="002339E4">
      <w:pPr>
        <w:rPr>
          <w:szCs w:val="20"/>
        </w:rPr>
      </w:pPr>
      <w:r>
        <w:rPr>
          <w:szCs w:val="20"/>
        </w:rPr>
        <w:t xml:space="preserve">The proportion of </w:t>
      </w:r>
      <w:r w:rsidR="00791F22">
        <w:rPr>
          <w:szCs w:val="20"/>
        </w:rPr>
        <w:t>s</w:t>
      </w:r>
      <w:r w:rsidR="00F83306">
        <w:rPr>
          <w:szCs w:val="20"/>
        </w:rPr>
        <w:t xml:space="preserve">outh </w:t>
      </w:r>
      <w:r w:rsidR="00791F22">
        <w:rPr>
          <w:szCs w:val="20"/>
        </w:rPr>
        <w:t>w</w:t>
      </w:r>
      <w:r w:rsidR="00F83306">
        <w:rPr>
          <w:szCs w:val="20"/>
        </w:rPr>
        <w:t>est</w:t>
      </w:r>
      <w:r w:rsidR="00034AEB">
        <w:rPr>
          <w:szCs w:val="20"/>
        </w:rPr>
        <w:t xml:space="preserve"> </w:t>
      </w:r>
      <w:r w:rsidR="004209D9">
        <w:rPr>
          <w:szCs w:val="20"/>
        </w:rPr>
        <w:t>participants</w:t>
      </w:r>
      <w:r w:rsidR="00F83306">
        <w:rPr>
          <w:szCs w:val="20"/>
        </w:rPr>
        <w:t xml:space="preserve"> </w:t>
      </w:r>
      <w:r>
        <w:rPr>
          <w:szCs w:val="20"/>
        </w:rPr>
        <w:t xml:space="preserve">who did not apply any fertiliser </w:t>
      </w:r>
      <w:r w:rsidR="00CE3C3B">
        <w:rPr>
          <w:szCs w:val="20"/>
        </w:rPr>
        <w:t>in 2021</w:t>
      </w:r>
      <w:r w:rsidR="00791F22">
        <w:t>–</w:t>
      </w:r>
      <w:r w:rsidR="00CE3C3B">
        <w:rPr>
          <w:szCs w:val="20"/>
        </w:rPr>
        <w:t xml:space="preserve">22 </w:t>
      </w:r>
      <w:r>
        <w:rPr>
          <w:szCs w:val="20"/>
        </w:rPr>
        <w:t>remained low</w:t>
      </w:r>
      <w:r w:rsidR="00034AEB">
        <w:rPr>
          <w:szCs w:val="20"/>
        </w:rPr>
        <w:t xml:space="preserve"> (Figure 20)</w:t>
      </w:r>
      <w:r w:rsidR="00CE3C3B">
        <w:rPr>
          <w:szCs w:val="20"/>
        </w:rPr>
        <w:t xml:space="preserve"> and </w:t>
      </w:r>
      <w:r w:rsidR="00D117BE">
        <w:rPr>
          <w:szCs w:val="20"/>
        </w:rPr>
        <w:t>equal to the three previous years</w:t>
      </w:r>
      <w:r w:rsidR="00550E0F">
        <w:rPr>
          <w:szCs w:val="20"/>
        </w:rPr>
        <w:t xml:space="preserve">. </w:t>
      </w:r>
      <w:r w:rsidR="00817B85">
        <w:rPr>
          <w:szCs w:val="20"/>
        </w:rPr>
        <w:t xml:space="preserve">This result is a diversion from the trend </w:t>
      </w:r>
      <w:r w:rsidR="00725191">
        <w:rPr>
          <w:szCs w:val="20"/>
        </w:rPr>
        <w:t>observed in the other LFMP regions</w:t>
      </w:r>
      <w:r w:rsidR="0028033F">
        <w:rPr>
          <w:szCs w:val="20"/>
        </w:rPr>
        <w:t>.</w:t>
      </w:r>
      <w:r w:rsidR="00034AEB">
        <w:rPr>
          <w:szCs w:val="20"/>
        </w:rPr>
        <w:t xml:space="preserve"> </w:t>
      </w:r>
    </w:p>
    <w:p w14:paraId="4E9ADB5E" w14:textId="7A26C238" w:rsidR="002339E4" w:rsidRDefault="009D23D3" w:rsidP="002339E4">
      <w:pPr>
        <w:rPr>
          <w:b/>
          <w:bCs/>
          <w:szCs w:val="20"/>
        </w:rPr>
      </w:pPr>
      <w:r>
        <w:rPr>
          <w:b/>
          <w:bCs/>
          <w:noProof/>
          <w:szCs w:val="20"/>
        </w:rPr>
        <w:lastRenderedPageBreak/>
        <w:t xml:space="preserve"> </w:t>
      </w:r>
      <w:r w:rsidR="00CF3974">
        <w:rPr>
          <w:b/>
          <w:bCs/>
          <w:noProof/>
          <w:szCs w:val="20"/>
        </w:rPr>
        <w:drawing>
          <wp:inline distT="0" distB="0" distL="0" distR="0" wp14:anchorId="20B15328" wp14:editId="26DFD55B">
            <wp:extent cx="2966085" cy="1820189"/>
            <wp:effectExtent l="0" t="0" r="5715" b="8890"/>
            <wp:docPr id="212" name="Picture 212" descr="Proportion of farms that applied zero fertiliser (2018–19 to 2021–22) shown as a column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descr="Proportion of farms that applied zero fertiliser (2018–19 to 2021–22) shown as a column graph"/>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74288" cy="1825223"/>
                    </a:xfrm>
                    <a:prstGeom prst="rect">
                      <a:avLst/>
                    </a:prstGeom>
                    <a:noFill/>
                  </pic:spPr>
                </pic:pic>
              </a:graphicData>
            </a:graphic>
          </wp:inline>
        </w:drawing>
      </w:r>
    </w:p>
    <w:p w14:paraId="25DE8821" w14:textId="0B801E21" w:rsidR="002339E4" w:rsidRDefault="008444CA" w:rsidP="008444CA">
      <w:pPr>
        <w:pStyle w:val="Caption"/>
        <w:rPr>
          <w:b/>
          <w:bCs/>
        </w:rPr>
      </w:pPr>
      <w:r>
        <w:t xml:space="preserve">Figure </w:t>
      </w:r>
      <w:fldSimple w:instr=" SEQ Figure \* ARABIC ">
        <w:r w:rsidR="00FC7BFA">
          <w:rPr>
            <w:noProof/>
          </w:rPr>
          <w:t>20</w:t>
        </w:r>
      </w:fldSimple>
      <w:r>
        <w:t xml:space="preserve">. </w:t>
      </w:r>
      <w:r w:rsidR="002339E4" w:rsidRPr="0013594D">
        <w:t>Proportion of farms that applied zero fertiliser (2018</w:t>
      </w:r>
      <w:r w:rsidR="00791F22">
        <w:t>–</w:t>
      </w:r>
      <w:r w:rsidR="002339E4" w:rsidRPr="0013594D">
        <w:t>19 to 2021</w:t>
      </w:r>
      <w:r w:rsidR="00791F22">
        <w:t>–</w:t>
      </w:r>
      <w:r w:rsidR="002339E4" w:rsidRPr="0013594D">
        <w:t>22)</w:t>
      </w:r>
    </w:p>
    <w:p w14:paraId="68D42659" w14:textId="77777777" w:rsidR="002339E4" w:rsidRDefault="002339E4" w:rsidP="00D12059">
      <w:pPr>
        <w:rPr>
          <w:b/>
          <w:bCs/>
          <w:szCs w:val="20"/>
        </w:rPr>
      </w:pPr>
    </w:p>
    <w:p w14:paraId="61BD0645" w14:textId="73F763A5" w:rsidR="00D12059" w:rsidRPr="007E2ECC" w:rsidRDefault="00D12059" w:rsidP="007E2ECC">
      <w:pPr>
        <w:pStyle w:val="Heading3"/>
        <w:rPr>
          <w:b/>
          <w:bCs/>
        </w:rPr>
      </w:pPr>
      <w:r w:rsidRPr="007E2ECC">
        <w:rPr>
          <w:b/>
          <w:bCs/>
        </w:rPr>
        <w:t xml:space="preserve">Gross </w:t>
      </w:r>
      <w:r w:rsidR="001B5E52">
        <w:rPr>
          <w:b/>
          <w:bCs/>
        </w:rPr>
        <w:t>m</w:t>
      </w:r>
      <w:r w:rsidRPr="007E2ECC">
        <w:rPr>
          <w:b/>
          <w:bCs/>
        </w:rPr>
        <w:t>argins</w:t>
      </w:r>
    </w:p>
    <w:p w14:paraId="3C72E87C" w14:textId="5543A4DE" w:rsidR="00D12059" w:rsidRDefault="00D12059" w:rsidP="00D12059">
      <w:pPr>
        <w:rPr>
          <w:color w:val="FF0000"/>
          <w:szCs w:val="20"/>
        </w:rPr>
      </w:pPr>
      <w:r w:rsidRPr="00943B94">
        <w:rPr>
          <w:szCs w:val="20"/>
        </w:rPr>
        <w:t xml:space="preserve">Beef and </w:t>
      </w:r>
      <w:r w:rsidR="001E6ACE" w:rsidRPr="00943B94">
        <w:rPr>
          <w:szCs w:val="20"/>
        </w:rPr>
        <w:t>prim</w:t>
      </w:r>
      <w:r w:rsidR="00EC1E76" w:rsidRPr="00943B94">
        <w:rPr>
          <w:szCs w:val="20"/>
        </w:rPr>
        <w:t>e</w:t>
      </w:r>
      <w:r w:rsidR="001E6ACE" w:rsidRPr="00943B94">
        <w:rPr>
          <w:szCs w:val="20"/>
        </w:rPr>
        <w:t xml:space="preserve"> lamb</w:t>
      </w:r>
      <w:r w:rsidRPr="00943B94">
        <w:rPr>
          <w:szCs w:val="20"/>
        </w:rPr>
        <w:t xml:space="preserve"> gross margi</w:t>
      </w:r>
      <w:r w:rsidR="003C5AA1" w:rsidRPr="00943B94">
        <w:rPr>
          <w:szCs w:val="20"/>
        </w:rPr>
        <w:t>ns increased</w:t>
      </w:r>
      <w:r w:rsidRPr="00943B94">
        <w:rPr>
          <w:szCs w:val="20"/>
        </w:rPr>
        <w:t xml:space="preserve"> in 2021</w:t>
      </w:r>
      <w:r w:rsidR="00791F22">
        <w:t>–</w:t>
      </w:r>
      <w:r w:rsidRPr="00943B94">
        <w:rPr>
          <w:szCs w:val="20"/>
        </w:rPr>
        <w:t xml:space="preserve">22 </w:t>
      </w:r>
      <w:r w:rsidR="000C67F0" w:rsidRPr="00943B94">
        <w:rPr>
          <w:szCs w:val="20"/>
        </w:rPr>
        <w:t xml:space="preserve">to </w:t>
      </w:r>
      <w:r w:rsidR="00BF63FE">
        <w:rPr>
          <w:szCs w:val="20"/>
        </w:rPr>
        <w:t xml:space="preserve">be </w:t>
      </w:r>
      <w:r w:rsidR="003857FF" w:rsidRPr="00943B94">
        <w:rPr>
          <w:szCs w:val="20"/>
        </w:rPr>
        <w:t xml:space="preserve">above the </w:t>
      </w:r>
      <w:r w:rsidR="008D7EE3">
        <w:rPr>
          <w:szCs w:val="20"/>
        </w:rPr>
        <w:t>three</w:t>
      </w:r>
      <w:r w:rsidR="003857FF" w:rsidRPr="00943B94">
        <w:rPr>
          <w:szCs w:val="20"/>
        </w:rPr>
        <w:t>-year average while wool sheep gross margin</w:t>
      </w:r>
      <w:r w:rsidR="00621BCE" w:rsidRPr="00943B94">
        <w:rPr>
          <w:szCs w:val="20"/>
        </w:rPr>
        <w:t xml:space="preserve">s </w:t>
      </w:r>
      <w:r w:rsidR="00D52202" w:rsidRPr="00943B94">
        <w:rPr>
          <w:szCs w:val="20"/>
        </w:rPr>
        <w:t xml:space="preserve">decreased slightly. </w:t>
      </w:r>
      <w:r w:rsidR="00D03342">
        <w:rPr>
          <w:szCs w:val="20"/>
        </w:rPr>
        <w:t xml:space="preserve">Average </w:t>
      </w:r>
      <w:r w:rsidR="00D90519">
        <w:rPr>
          <w:szCs w:val="20"/>
        </w:rPr>
        <w:t xml:space="preserve">variable costs </w:t>
      </w:r>
      <w:r w:rsidR="00ED52DF">
        <w:rPr>
          <w:szCs w:val="20"/>
        </w:rPr>
        <w:t xml:space="preserve">in the </w:t>
      </w:r>
      <w:r w:rsidR="00670550">
        <w:rPr>
          <w:szCs w:val="20"/>
        </w:rPr>
        <w:t>s</w:t>
      </w:r>
      <w:r w:rsidR="00ED52DF">
        <w:rPr>
          <w:szCs w:val="20"/>
        </w:rPr>
        <w:t xml:space="preserve">outh </w:t>
      </w:r>
      <w:r w:rsidR="00670550">
        <w:rPr>
          <w:szCs w:val="20"/>
        </w:rPr>
        <w:t>w</w:t>
      </w:r>
      <w:r w:rsidR="00ED52DF">
        <w:rPr>
          <w:szCs w:val="20"/>
        </w:rPr>
        <w:t xml:space="preserve">est </w:t>
      </w:r>
      <w:r w:rsidR="00D90519">
        <w:rPr>
          <w:szCs w:val="20"/>
        </w:rPr>
        <w:t xml:space="preserve">were the </w:t>
      </w:r>
      <w:r w:rsidR="00D90519" w:rsidRPr="007C137D">
        <w:rPr>
          <w:szCs w:val="20"/>
        </w:rPr>
        <w:t xml:space="preserve">highest in </w:t>
      </w:r>
      <w:r w:rsidR="00451A78" w:rsidRPr="007C137D">
        <w:rPr>
          <w:szCs w:val="20"/>
        </w:rPr>
        <w:t>18</w:t>
      </w:r>
      <w:r w:rsidR="00D90519" w:rsidRPr="007C137D">
        <w:rPr>
          <w:szCs w:val="20"/>
        </w:rPr>
        <w:t xml:space="preserve"> years (Appendix</w:t>
      </w:r>
      <w:r w:rsidR="00D90519">
        <w:rPr>
          <w:szCs w:val="20"/>
        </w:rPr>
        <w:t xml:space="preserve"> B12) </w:t>
      </w:r>
      <w:r w:rsidR="00ED52DF">
        <w:rPr>
          <w:szCs w:val="20"/>
        </w:rPr>
        <w:t>due to the</w:t>
      </w:r>
      <w:r w:rsidR="004347E7" w:rsidRPr="001729CE">
        <w:rPr>
          <w:szCs w:val="20"/>
        </w:rPr>
        <w:t xml:space="preserve"> </w:t>
      </w:r>
      <w:r w:rsidR="009C0046" w:rsidRPr="001729CE">
        <w:rPr>
          <w:szCs w:val="20"/>
        </w:rPr>
        <w:t>increased cost of fertilisers</w:t>
      </w:r>
      <w:r w:rsidR="001B1C61">
        <w:rPr>
          <w:szCs w:val="20"/>
        </w:rPr>
        <w:t xml:space="preserve"> and labour.</w:t>
      </w:r>
      <w:r w:rsidR="00B97793">
        <w:rPr>
          <w:szCs w:val="20"/>
        </w:rPr>
        <w:t xml:space="preserve"> </w:t>
      </w:r>
      <w:r w:rsidR="001B1C61">
        <w:rPr>
          <w:szCs w:val="20"/>
        </w:rPr>
        <w:t>S</w:t>
      </w:r>
      <w:r w:rsidR="00B551C8">
        <w:rPr>
          <w:szCs w:val="20"/>
        </w:rPr>
        <w:t xml:space="preserve">outh </w:t>
      </w:r>
      <w:r w:rsidR="00670550">
        <w:rPr>
          <w:szCs w:val="20"/>
        </w:rPr>
        <w:t>W</w:t>
      </w:r>
      <w:r w:rsidR="00B551C8">
        <w:rPr>
          <w:szCs w:val="20"/>
        </w:rPr>
        <w:t xml:space="preserve">est </w:t>
      </w:r>
      <w:r w:rsidR="005F5BE3">
        <w:rPr>
          <w:szCs w:val="20"/>
        </w:rPr>
        <w:t>Victoria</w:t>
      </w:r>
      <w:r w:rsidR="00B551C8">
        <w:rPr>
          <w:szCs w:val="20"/>
        </w:rPr>
        <w:t xml:space="preserve"> farm </w:t>
      </w:r>
      <w:r w:rsidR="000B6939">
        <w:rPr>
          <w:szCs w:val="20"/>
        </w:rPr>
        <w:t xml:space="preserve">businesses were </w:t>
      </w:r>
      <w:r w:rsidR="00F301E8">
        <w:rPr>
          <w:szCs w:val="20"/>
        </w:rPr>
        <w:t xml:space="preserve">more </w:t>
      </w:r>
      <w:r w:rsidR="000B6939" w:rsidRPr="001729CE">
        <w:rPr>
          <w:szCs w:val="20"/>
        </w:rPr>
        <w:t>relian</w:t>
      </w:r>
      <w:r w:rsidR="000B6939">
        <w:rPr>
          <w:szCs w:val="20"/>
        </w:rPr>
        <w:t>t</w:t>
      </w:r>
      <w:r w:rsidR="0095233A">
        <w:rPr>
          <w:szCs w:val="20"/>
        </w:rPr>
        <w:t xml:space="preserve"> on</w:t>
      </w:r>
      <w:r w:rsidR="000B6939" w:rsidRPr="001729CE">
        <w:rPr>
          <w:szCs w:val="20"/>
        </w:rPr>
        <w:t xml:space="preserve"> contract labour for shearing and crutching operations</w:t>
      </w:r>
      <w:r w:rsidR="000B6939">
        <w:rPr>
          <w:szCs w:val="20"/>
        </w:rPr>
        <w:t xml:space="preserve"> </w:t>
      </w:r>
      <w:r w:rsidR="0095233A">
        <w:rPr>
          <w:szCs w:val="20"/>
        </w:rPr>
        <w:t>than Gippsland and North</w:t>
      </w:r>
      <w:r w:rsidR="009F52CE">
        <w:rPr>
          <w:szCs w:val="20"/>
        </w:rPr>
        <w:t>ern Victoria</w:t>
      </w:r>
      <w:r w:rsidR="00B551C8">
        <w:rPr>
          <w:szCs w:val="20"/>
        </w:rPr>
        <w:t xml:space="preserve"> </w:t>
      </w:r>
      <w:r w:rsidR="00D91005">
        <w:rPr>
          <w:szCs w:val="20"/>
        </w:rPr>
        <w:t xml:space="preserve">businesses </w:t>
      </w:r>
      <w:r w:rsidR="00B551C8">
        <w:rPr>
          <w:szCs w:val="20"/>
        </w:rPr>
        <w:t xml:space="preserve">and </w:t>
      </w:r>
      <w:r w:rsidR="000B6939">
        <w:rPr>
          <w:szCs w:val="20"/>
        </w:rPr>
        <w:t>therefore</w:t>
      </w:r>
      <w:r w:rsidR="00C949E2">
        <w:rPr>
          <w:szCs w:val="20"/>
        </w:rPr>
        <w:t xml:space="preserve"> </w:t>
      </w:r>
      <w:r w:rsidR="007A235C">
        <w:rPr>
          <w:szCs w:val="20"/>
        </w:rPr>
        <w:t>highly exposed</w:t>
      </w:r>
      <w:r w:rsidR="00671D55" w:rsidRPr="001729CE">
        <w:rPr>
          <w:szCs w:val="20"/>
        </w:rPr>
        <w:t xml:space="preserve"> to the </w:t>
      </w:r>
      <w:r w:rsidR="001B1C61">
        <w:rPr>
          <w:szCs w:val="20"/>
        </w:rPr>
        <w:t>changes in</w:t>
      </w:r>
      <w:r w:rsidR="008366E7">
        <w:rPr>
          <w:szCs w:val="20"/>
        </w:rPr>
        <w:t xml:space="preserve"> costs and availability</w:t>
      </w:r>
      <w:r w:rsidR="00093ECB">
        <w:rPr>
          <w:szCs w:val="20"/>
        </w:rPr>
        <w:t>.</w:t>
      </w:r>
    </w:p>
    <w:p w14:paraId="15FCBF20" w14:textId="6E4B691C" w:rsidR="00D12059" w:rsidRPr="007E2ECC" w:rsidRDefault="00D12059" w:rsidP="007E2ECC">
      <w:pPr>
        <w:pStyle w:val="Heading3"/>
        <w:rPr>
          <w:b/>
          <w:bCs/>
        </w:rPr>
      </w:pPr>
      <w:r w:rsidRPr="007E2ECC">
        <w:rPr>
          <w:b/>
          <w:bCs/>
        </w:rPr>
        <w:t xml:space="preserve">Calving and </w:t>
      </w:r>
      <w:r w:rsidR="001B5E52">
        <w:rPr>
          <w:b/>
          <w:bCs/>
        </w:rPr>
        <w:t>l</w:t>
      </w:r>
      <w:r w:rsidRPr="007E2ECC">
        <w:rPr>
          <w:b/>
          <w:bCs/>
        </w:rPr>
        <w:t>ambing pattern</w:t>
      </w:r>
    </w:p>
    <w:p w14:paraId="1C3CF955" w14:textId="73CA75FA" w:rsidR="00D12059" w:rsidRDefault="008444CA" w:rsidP="00D12059">
      <w:pPr>
        <w:rPr>
          <w:color w:val="FF0000"/>
          <w:szCs w:val="20"/>
        </w:rPr>
      </w:pPr>
      <w:r>
        <w:rPr>
          <w:noProof/>
          <w:color w:val="FF0000"/>
          <w:szCs w:val="20"/>
        </w:rPr>
        <w:drawing>
          <wp:inline distT="0" distB="0" distL="0" distR="0" wp14:anchorId="391CF2DA" wp14:editId="287E85C4">
            <wp:extent cx="2640965" cy="1614246"/>
            <wp:effectExtent l="0" t="0" r="6985" b="5080"/>
            <wp:docPr id="202" name="Picture 202" descr="2021–22 calving and lambing pattern shown as a lin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2021–22 calving and lambing pattern shown as a line graph"/>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40965" cy="1614246"/>
                    </a:xfrm>
                    <a:prstGeom prst="rect">
                      <a:avLst/>
                    </a:prstGeom>
                    <a:noFill/>
                  </pic:spPr>
                </pic:pic>
              </a:graphicData>
            </a:graphic>
          </wp:inline>
        </w:drawing>
      </w:r>
    </w:p>
    <w:p w14:paraId="79AC5E6F" w14:textId="14ABF2BF" w:rsidR="008444CA" w:rsidRDefault="008444CA" w:rsidP="008444CA">
      <w:pPr>
        <w:pStyle w:val="Caption"/>
      </w:pPr>
      <w:r>
        <w:t xml:space="preserve">Figure </w:t>
      </w:r>
      <w:fldSimple w:instr=" SEQ Figure \* ARABIC ">
        <w:r w:rsidR="00FC7BFA">
          <w:rPr>
            <w:noProof/>
          </w:rPr>
          <w:t>21</w:t>
        </w:r>
      </w:fldSimple>
      <w:r>
        <w:t xml:space="preserve">. </w:t>
      </w:r>
      <w:r w:rsidRPr="008444CA">
        <w:t>2021</w:t>
      </w:r>
      <w:r w:rsidR="00D82C4F">
        <w:t>–</w:t>
      </w:r>
      <w:r w:rsidRPr="008444CA">
        <w:t>22 calving and lambing pattern</w:t>
      </w:r>
    </w:p>
    <w:p w14:paraId="53A61BA7" w14:textId="54E56905" w:rsidR="00CE6A44" w:rsidRDefault="001938F0" w:rsidP="00CE6A44">
      <w:r w:rsidRPr="005967F1">
        <w:t xml:space="preserve">The distribution of lambing dates on surveyed farms in the </w:t>
      </w:r>
      <w:r w:rsidR="00D82C4F">
        <w:t>s</w:t>
      </w:r>
      <w:r w:rsidRPr="005967F1">
        <w:t xml:space="preserve">outh </w:t>
      </w:r>
      <w:r w:rsidR="00D82C4F">
        <w:t>w</w:t>
      </w:r>
      <w:r w:rsidRPr="005967F1">
        <w:t xml:space="preserve">est (Figure </w:t>
      </w:r>
      <w:r w:rsidR="000B47A2" w:rsidRPr="005967F1">
        <w:t>21</w:t>
      </w:r>
      <w:r w:rsidRPr="005967F1">
        <w:t>) can be explained by the large proportion of self-replacing prime lamb enterprises. Lambing in prime lamb enterprises tend</w:t>
      </w:r>
      <w:r w:rsidR="00C36B2C">
        <w:t>ed</w:t>
      </w:r>
      <w:r w:rsidRPr="005967F1">
        <w:t xml:space="preserve"> to peak in mid-winter as producers attempt</w:t>
      </w:r>
      <w:r w:rsidR="00C36B2C">
        <w:t>ed</w:t>
      </w:r>
      <w:r w:rsidRPr="005967F1">
        <w:t xml:space="preserve"> to use the high pasture growth in spring</w:t>
      </w:r>
      <w:r w:rsidR="00637CA6">
        <w:t>. M</w:t>
      </w:r>
      <w:r w:rsidRPr="005967F1">
        <w:t>eet</w:t>
      </w:r>
      <w:r w:rsidR="00637CA6">
        <w:t>ing</w:t>
      </w:r>
      <w:r w:rsidRPr="005967F1">
        <w:t xml:space="preserve"> the feed demand of lactating ewes and target weights of lambs to be sold in early</w:t>
      </w:r>
      <w:r w:rsidR="005967F1" w:rsidRPr="005967F1">
        <w:t xml:space="preserve"> summer</w:t>
      </w:r>
      <w:r w:rsidR="00223880">
        <w:t xml:space="preserve"> with pasture</w:t>
      </w:r>
      <w:r w:rsidR="005967F1" w:rsidRPr="005967F1">
        <w:t>.</w:t>
      </w:r>
      <w:r w:rsidRPr="005967F1">
        <w:t xml:space="preserve"> </w:t>
      </w:r>
      <w:r w:rsidR="005C22C7" w:rsidRPr="005C22C7">
        <w:t xml:space="preserve">South </w:t>
      </w:r>
      <w:r w:rsidR="00C36B2C">
        <w:t>W</w:t>
      </w:r>
      <w:r w:rsidR="005C22C7" w:rsidRPr="005C22C7">
        <w:t>est</w:t>
      </w:r>
      <w:r w:rsidR="00D82C4F">
        <w:t xml:space="preserve"> Victoria</w:t>
      </w:r>
      <w:r w:rsidR="005C22C7" w:rsidRPr="005C22C7">
        <w:t xml:space="preserve"> farms had a higher proportion of autumn calving beef cows than other regions.</w:t>
      </w:r>
      <w:r w:rsidR="00CE6A44">
        <w:t xml:space="preserve"> </w:t>
      </w:r>
    </w:p>
    <w:p w14:paraId="0D8C074B" w14:textId="2FE0241F" w:rsidR="00CE6A44" w:rsidRDefault="00E42516" w:rsidP="00CE6A44">
      <w:pPr>
        <w:rPr>
          <w:color w:val="FF0000"/>
        </w:rPr>
      </w:pPr>
      <w:r>
        <w:t xml:space="preserve">South </w:t>
      </w:r>
      <w:r w:rsidR="005D02DB">
        <w:t>w</w:t>
      </w:r>
      <w:r>
        <w:t>est</w:t>
      </w:r>
      <w:r w:rsidR="00CE6A44" w:rsidRPr="00560FE2">
        <w:t xml:space="preserve"> participants received</w:t>
      </w:r>
      <w:r w:rsidR="00CE6A44">
        <w:t xml:space="preserve"> </w:t>
      </w:r>
      <w:r w:rsidR="00CE6A44" w:rsidRPr="00560FE2">
        <w:t xml:space="preserve">average </w:t>
      </w:r>
      <w:r w:rsidR="00CE6A44">
        <w:t>annual</w:t>
      </w:r>
      <w:r>
        <w:t xml:space="preserve"> </w:t>
      </w:r>
      <w:r w:rsidR="00AB2980">
        <w:t xml:space="preserve">and spring </w:t>
      </w:r>
      <w:r w:rsidR="00CE6A44" w:rsidRPr="00560FE2">
        <w:t>rainfall in 20</w:t>
      </w:r>
      <w:r w:rsidR="00CE6A44">
        <w:t>21</w:t>
      </w:r>
      <w:r w:rsidR="005D02DB">
        <w:t>–</w:t>
      </w:r>
      <w:r w:rsidR="00CE6A44">
        <w:t>22 (Appendix C2)</w:t>
      </w:r>
      <w:r w:rsidR="00FC0122">
        <w:t>.</w:t>
      </w:r>
      <w:r w:rsidR="00D16F16">
        <w:t xml:space="preserve"> </w:t>
      </w:r>
      <w:r w:rsidR="00FC0122">
        <w:t>M</w:t>
      </w:r>
      <w:r w:rsidR="00D16F16">
        <w:t xml:space="preserve">any </w:t>
      </w:r>
      <w:r w:rsidR="00A236C0">
        <w:t xml:space="preserve">capitalised on favourable seasonal conditions </w:t>
      </w:r>
      <w:r w:rsidR="00FD2229">
        <w:t>to increase</w:t>
      </w:r>
      <w:r w:rsidR="00A236C0">
        <w:t xml:space="preserve"> </w:t>
      </w:r>
      <w:r w:rsidR="00D16F16">
        <w:t>homegrown fodder production</w:t>
      </w:r>
      <w:r w:rsidR="00A236C0">
        <w:t xml:space="preserve"> on average</w:t>
      </w:r>
      <w:r w:rsidR="00CE6A44" w:rsidRPr="00560FE2">
        <w:t>.</w:t>
      </w:r>
      <w:r w:rsidR="006A09D8">
        <w:t xml:space="preserve"> </w:t>
      </w:r>
      <w:r w:rsidR="00F765B8">
        <w:t xml:space="preserve">This </w:t>
      </w:r>
      <w:r w:rsidR="00DB076D">
        <w:t>helped reduce the amount of supplementary feeding that occurred in 2021</w:t>
      </w:r>
      <w:r w:rsidR="00BC7CA9">
        <w:t>–</w:t>
      </w:r>
      <w:r w:rsidR="00DB076D">
        <w:t>22 (Appendix B2)</w:t>
      </w:r>
      <w:r w:rsidR="00B11AE2">
        <w:t xml:space="preserve"> </w:t>
      </w:r>
      <w:r w:rsidR="00687EFB">
        <w:t>which had the added benefit of</w:t>
      </w:r>
      <w:r w:rsidR="00B11AE2">
        <w:t xml:space="preserve"> minimising the exposure to rising</w:t>
      </w:r>
      <w:r w:rsidR="003341A7">
        <w:t xml:space="preserve"> fodder and grain</w:t>
      </w:r>
      <w:r w:rsidR="00B11AE2">
        <w:t xml:space="preserve"> price</w:t>
      </w:r>
      <w:r w:rsidR="003341A7">
        <w:t>s</w:t>
      </w:r>
      <w:r w:rsidR="00B11AE2">
        <w:t xml:space="preserve"> </w:t>
      </w:r>
      <w:r w:rsidR="00201857">
        <w:t xml:space="preserve">in </w:t>
      </w:r>
      <w:r w:rsidR="00B11AE2">
        <w:t xml:space="preserve">the supplementary feed market. </w:t>
      </w:r>
    </w:p>
    <w:p w14:paraId="0D9C6EFF" w14:textId="30F8AB2B" w:rsidR="007E2ECC" w:rsidRPr="0094263C" w:rsidRDefault="00E67EB3" w:rsidP="0094263C">
      <w:r>
        <w:rPr>
          <w:szCs w:val="20"/>
        </w:rPr>
        <w:lastRenderedPageBreak/>
        <w:t>P</w:t>
      </w:r>
      <w:r w:rsidR="003473A4">
        <w:rPr>
          <w:szCs w:val="20"/>
        </w:rPr>
        <w:t xml:space="preserve">asture utilisation rates </w:t>
      </w:r>
      <w:r>
        <w:rPr>
          <w:szCs w:val="20"/>
        </w:rPr>
        <w:t xml:space="preserve">decreased </w:t>
      </w:r>
      <w:r w:rsidR="003473A4">
        <w:rPr>
          <w:szCs w:val="20"/>
        </w:rPr>
        <w:t>across the region</w:t>
      </w:r>
      <w:r w:rsidR="003346AB">
        <w:rPr>
          <w:szCs w:val="20"/>
        </w:rPr>
        <w:t xml:space="preserve"> </w:t>
      </w:r>
      <w:r>
        <w:rPr>
          <w:szCs w:val="20"/>
        </w:rPr>
        <w:t xml:space="preserve">and </w:t>
      </w:r>
      <w:r w:rsidR="0060596E">
        <w:rPr>
          <w:szCs w:val="20"/>
        </w:rPr>
        <w:t xml:space="preserve">corresponded with a decrease in stocking </w:t>
      </w:r>
      <w:r w:rsidR="00A45A75">
        <w:rPr>
          <w:szCs w:val="20"/>
        </w:rPr>
        <w:t>and supplementary feeding rates</w:t>
      </w:r>
      <w:r w:rsidR="00597F51">
        <w:rPr>
          <w:szCs w:val="20"/>
        </w:rPr>
        <w:t>. A</w:t>
      </w:r>
      <w:r w:rsidR="00D64CA3">
        <w:rPr>
          <w:szCs w:val="20"/>
        </w:rPr>
        <w:t>s a result</w:t>
      </w:r>
      <w:r w:rsidR="00490849">
        <w:rPr>
          <w:szCs w:val="20"/>
        </w:rPr>
        <w:t>,</w:t>
      </w:r>
      <w:r w:rsidR="00597F51">
        <w:rPr>
          <w:szCs w:val="20"/>
        </w:rPr>
        <w:t xml:space="preserve"> </w:t>
      </w:r>
      <w:r w:rsidR="00D64CA3">
        <w:rPr>
          <w:szCs w:val="20"/>
        </w:rPr>
        <w:t xml:space="preserve">grazed pasture </w:t>
      </w:r>
      <w:r w:rsidR="00A45A75">
        <w:rPr>
          <w:szCs w:val="20"/>
        </w:rPr>
        <w:t xml:space="preserve">made up </w:t>
      </w:r>
      <w:r w:rsidR="00490849">
        <w:rPr>
          <w:szCs w:val="20"/>
        </w:rPr>
        <w:t xml:space="preserve">a </w:t>
      </w:r>
      <w:r w:rsidR="0094263C">
        <w:rPr>
          <w:szCs w:val="20"/>
        </w:rPr>
        <w:t xml:space="preserve">greater </w:t>
      </w:r>
      <w:r w:rsidR="00A45A75">
        <w:rPr>
          <w:szCs w:val="20"/>
        </w:rPr>
        <w:t xml:space="preserve">proportion of sheep diets than </w:t>
      </w:r>
      <w:r w:rsidR="003A6138">
        <w:rPr>
          <w:szCs w:val="20"/>
        </w:rPr>
        <w:t xml:space="preserve">in </w:t>
      </w:r>
      <w:r w:rsidR="00A45A75">
        <w:rPr>
          <w:szCs w:val="20"/>
        </w:rPr>
        <w:t>20</w:t>
      </w:r>
      <w:r w:rsidR="007E07C8">
        <w:rPr>
          <w:szCs w:val="20"/>
        </w:rPr>
        <w:t>20</w:t>
      </w:r>
      <w:r w:rsidR="00DC69AB">
        <w:t>–</w:t>
      </w:r>
      <w:r w:rsidR="007E07C8">
        <w:rPr>
          <w:szCs w:val="20"/>
        </w:rPr>
        <w:t>21</w:t>
      </w:r>
      <w:r w:rsidR="003344C5">
        <w:rPr>
          <w:szCs w:val="20"/>
        </w:rPr>
        <w:t xml:space="preserve">. </w:t>
      </w:r>
    </w:p>
    <w:p w14:paraId="35174BC1" w14:textId="031667E5" w:rsidR="00D12059" w:rsidRPr="00E02D5B" w:rsidRDefault="00D12059" w:rsidP="00E02D5B">
      <w:pPr>
        <w:pStyle w:val="Heading3"/>
        <w:rPr>
          <w:b/>
          <w:bCs/>
        </w:rPr>
      </w:pPr>
      <w:r w:rsidRPr="00E02D5B">
        <w:rPr>
          <w:b/>
          <w:bCs/>
        </w:rPr>
        <w:t>Assets</w:t>
      </w:r>
    </w:p>
    <w:p w14:paraId="772155ED" w14:textId="0E289EE8" w:rsidR="00CE70D5" w:rsidRPr="003C4BE8" w:rsidRDefault="00766B62" w:rsidP="00D12059">
      <w:pPr>
        <w:rPr>
          <w:szCs w:val="20"/>
        </w:rPr>
      </w:pPr>
      <w:r w:rsidRPr="003C4BE8">
        <w:rPr>
          <w:szCs w:val="20"/>
        </w:rPr>
        <w:t>F</w:t>
      </w:r>
      <w:r w:rsidR="00CE70D5" w:rsidRPr="003C4BE8">
        <w:rPr>
          <w:szCs w:val="20"/>
        </w:rPr>
        <w:t xml:space="preserve">armland </w:t>
      </w:r>
      <w:r w:rsidR="00636D14" w:rsidRPr="003C4BE8">
        <w:rPr>
          <w:szCs w:val="20"/>
        </w:rPr>
        <w:t xml:space="preserve">and livestock </w:t>
      </w:r>
      <w:r w:rsidR="00CE70D5" w:rsidRPr="003C4BE8">
        <w:rPr>
          <w:szCs w:val="20"/>
        </w:rPr>
        <w:t>values</w:t>
      </w:r>
      <w:r w:rsidR="00D03C0D" w:rsidRPr="003C4BE8">
        <w:rPr>
          <w:szCs w:val="20"/>
        </w:rPr>
        <w:t xml:space="preserve"> continued to ri</w:t>
      </w:r>
      <w:r w:rsidR="00636D14" w:rsidRPr="003C4BE8">
        <w:rPr>
          <w:szCs w:val="20"/>
        </w:rPr>
        <w:t>s</w:t>
      </w:r>
      <w:r w:rsidR="00D03C0D" w:rsidRPr="003C4BE8">
        <w:rPr>
          <w:szCs w:val="20"/>
        </w:rPr>
        <w:t>e</w:t>
      </w:r>
      <w:r w:rsidR="00CE70D5" w:rsidRPr="003C4BE8">
        <w:rPr>
          <w:szCs w:val="20"/>
        </w:rPr>
        <w:t xml:space="preserve"> across </w:t>
      </w:r>
      <w:r w:rsidR="00D03C0D" w:rsidRPr="003C4BE8">
        <w:rPr>
          <w:szCs w:val="20"/>
        </w:rPr>
        <w:t>South West</w:t>
      </w:r>
      <w:r w:rsidR="00CE70D5" w:rsidRPr="003C4BE8">
        <w:rPr>
          <w:szCs w:val="20"/>
        </w:rPr>
        <w:t xml:space="preserve"> Victoria</w:t>
      </w:r>
      <w:r w:rsidR="00D03C0D" w:rsidRPr="003C4BE8">
        <w:rPr>
          <w:szCs w:val="20"/>
        </w:rPr>
        <w:t>. T</w:t>
      </w:r>
      <w:r w:rsidR="00CE70D5" w:rsidRPr="003C4BE8">
        <w:rPr>
          <w:szCs w:val="20"/>
        </w:rPr>
        <w:t>he</w:t>
      </w:r>
      <w:r w:rsidR="00D03C0D" w:rsidRPr="003C4BE8">
        <w:rPr>
          <w:szCs w:val="20"/>
        </w:rPr>
        <w:t xml:space="preserve"> subsequent increase in</w:t>
      </w:r>
      <w:r w:rsidR="00CE70D5" w:rsidRPr="003C4BE8">
        <w:rPr>
          <w:szCs w:val="20"/>
        </w:rPr>
        <w:t xml:space="preserve"> </w:t>
      </w:r>
      <w:r w:rsidR="0055286C">
        <w:rPr>
          <w:szCs w:val="20"/>
        </w:rPr>
        <w:t xml:space="preserve">the </w:t>
      </w:r>
      <w:r w:rsidR="00CE70D5" w:rsidRPr="003C4BE8">
        <w:rPr>
          <w:szCs w:val="20"/>
        </w:rPr>
        <w:t xml:space="preserve">value of total farm assets offset the </w:t>
      </w:r>
      <w:r w:rsidR="00D92E1A" w:rsidRPr="003C4BE8">
        <w:rPr>
          <w:szCs w:val="20"/>
        </w:rPr>
        <w:t>increased</w:t>
      </w:r>
      <w:r w:rsidR="00CE70D5" w:rsidRPr="003C4BE8">
        <w:rPr>
          <w:szCs w:val="20"/>
        </w:rPr>
        <w:t xml:space="preserve"> debt</w:t>
      </w:r>
      <w:r w:rsidR="00B72CA6" w:rsidRPr="003C4BE8">
        <w:rPr>
          <w:szCs w:val="20"/>
        </w:rPr>
        <w:t xml:space="preserve"> levels</w:t>
      </w:r>
      <w:r w:rsidR="0014683C" w:rsidRPr="003C4BE8">
        <w:rPr>
          <w:szCs w:val="20"/>
        </w:rPr>
        <w:t xml:space="preserve"> and</w:t>
      </w:r>
      <w:r w:rsidR="00CE70D5" w:rsidRPr="003C4BE8">
        <w:rPr>
          <w:szCs w:val="20"/>
        </w:rPr>
        <w:t xml:space="preserve"> resulted in an average annual addition to farmers</w:t>
      </w:r>
      <w:r w:rsidR="00201857">
        <w:rPr>
          <w:szCs w:val="20"/>
        </w:rPr>
        <w:t>’</w:t>
      </w:r>
      <w:r w:rsidR="00CE70D5" w:rsidRPr="003C4BE8">
        <w:rPr>
          <w:szCs w:val="20"/>
        </w:rPr>
        <w:t xml:space="preserve"> wealth (equity) of $</w:t>
      </w:r>
      <w:r w:rsidR="00772B96" w:rsidRPr="003C4BE8">
        <w:rPr>
          <w:szCs w:val="20"/>
        </w:rPr>
        <w:t>2</w:t>
      </w:r>
      <w:r w:rsidR="00CE70D5" w:rsidRPr="003C4BE8">
        <w:rPr>
          <w:szCs w:val="20"/>
        </w:rPr>
        <w:t>,</w:t>
      </w:r>
      <w:r w:rsidR="00772B96" w:rsidRPr="003C4BE8">
        <w:rPr>
          <w:szCs w:val="20"/>
        </w:rPr>
        <w:t>526</w:t>
      </w:r>
      <w:r w:rsidR="00CE70D5" w:rsidRPr="003C4BE8">
        <w:rPr>
          <w:szCs w:val="20"/>
        </w:rPr>
        <w:t>/ha</w:t>
      </w:r>
      <w:r w:rsidR="00B72CA6" w:rsidRPr="003C4BE8">
        <w:rPr>
          <w:szCs w:val="20"/>
        </w:rPr>
        <w:t>.</w:t>
      </w:r>
    </w:p>
    <w:p w14:paraId="1B483D0F" w14:textId="77777777" w:rsidR="00F41F34" w:rsidRDefault="00F41F34" w:rsidP="00E02D5B">
      <w:pPr>
        <w:pStyle w:val="Heading3"/>
        <w:rPr>
          <w:b/>
          <w:bCs/>
          <w:noProof/>
        </w:rPr>
      </w:pPr>
    </w:p>
    <w:p w14:paraId="21AB7C68" w14:textId="5A0B1034" w:rsidR="00D12059" w:rsidRPr="00E02D5B" w:rsidRDefault="00D12059" w:rsidP="00E02D5B">
      <w:pPr>
        <w:pStyle w:val="Heading3"/>
        <w:rPr>
          <w:b/>
          <w:bCs/>
          <w:color w:val="FF0000"/>
          <w:szCs w:val="20"/>
        </w:rPr>
      </w:pPr>
      <w:r w:rsidRPr="00E02D5B">
        <w:rPr>
          <w:b/>
          <w:bCs/>
          <w:noProof/>
        </w:rPr>
        <w:t xml:space="preserve">Return on </w:t>
      </w:r>
      <w:r w:rsidR="001B5E52">
        <w:rPr>
          <w:b/>
          <w:bCs/>
          <w:noProof/>
        </w:rPr>
        <w:t>a</w:t>
      </w:r>
      <w:r w:rsidRPr="00E02D5B">
        <w:rPr>
          <w:b/>
          <w:bCs/>
          <w:noProof/>
        </w:rPr>
        <w:t>ssets</w:t>
      </w:r>
    </w:p>
    <w:p w14:paraId="4AD06272" w14:textId="18AD6620" w:rsidR="00D12059" w:rsidRDefault="00461F56" w:rsidP="00D12059">
      <w:pPr>
        <w:rPr>
          <w:color w:val="FF0000"/>
          <w:szCs w:val="20"/>
        </w:rPr>
      </w:pPr>
      <w:r>
        <w:rPr>
          <w:noProof/>
          <w:color w:val="FF0000"/>
          <w:szCs w:val="20"/>
        </w:rPr>
        <w:drawing>
          <wp:inline distT="0" distB="0" distL="0" distR="0" wp14:anchorId="44AEE2FB" wp14:editId="67F41440">
            <wp:extent cx="2762250" cy="1567815"/>
            <wp:effectExtent l="0" t="0" r="0" b="0"/>
            <wp:docPr id="203" name="Picture 203" descr="Average return on assets over time shown as a column graph. Data in the app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Average return on assets over time shown as a column graph. Data in the appendix"/>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02440" cy="1590626"/>
                    </a:xfrm>
                    <a:prstGeom prst="rect">
                      <a:avLst/>
                    </a:prstGeom>
                    <a:noFill/>
                  </pic:spPr>
                </pic:pic>
              </a:graphicData>
            </a:graphic>
          </wp:inline>
        </w:drawing>
      </w:r>
    </w:p>
    <w:p w14:paraId="130D42BF" w14:textId="7D93DCDF" w:rsidR="009843A2" w:rsidRDefault="009843A2" w:rsidP="009843A2">
      <w:pPr>
        <w:pStyle w:val="Caption"/>
        <w:rPr>
          <w:color w:val="FF0000"/>
        </w:rPr>
      </w:pPr>
      <w:r>
        <w:t xml:space="preserve">Figure </w:t>
      </w:r>
      <w:fldSimple w:instr=" SEQ Figure \* ARABIC ">
        <w:r>
          <w:rPr>
            <w:noProof/>
          </w:rPr>
          <w:t>22</w:t>
        </w:r>
      </w:fldSimple>
      <w:r>
        <w:t>. Average return on assets over time</w:t>
      </w:r>
    </w:p>
    <w:p w14:paraId="0955AAAE" w14:textId="2A0122A7" w:rsidR="00746E5D" w:rsidRDefault="00746E5D" w:rsidP="00746E5D">
      <w:pPr>
        <w:rPr>
          <w:szCs w:val="20"/>
        </w:rPr>
      </w:pPr>
      <w:r w:rsidRPr="00F72577">
        <w:t>Return on assets decreased for the second consecutive year to 3.0 per cent</w:t>
      </w:r>
      <w:r w:rsidR="00A02FFF">
        <w:t xml:space="preserve"> in 2021</w:t>
      </w:r>
      <w:r w:rsidR="00606EA5">
        <w:t>–</w:t>
      </w:r>
      <w:r w:rsidR="00A02FFF">
        <w:t>22</w:t>
      </w:r>
      <w:r w:rsidR="00136F1D" w:rsidRPr="00F72577">
        <w:t>,</w:t>
      </w:r>
      <w:r w:rsidRPr="00F72577">
        <w:t xml:space="preserve"> the lowest level recorded since 201</w:t>
      </w:r>
      <w:r w:rsidR="00C44057">
        <w:t>4</w:t>
      </w:r>
      <w:r w:rsidR="00606EA5">
        <w:t>–</w:t>
      </w:r>
      <w:r w:rsidRPr="00F72577">
        <w:t>1</w:t>
      </w:r>
      <w:r w:rsidR="00C44057">
        <w:t>5</w:t>
      </w:r>
      <w:r w:rsidRPr="00F72577">
        <w:t>.</w:t>
      </w:r>
      <w:r w:rsidRPr="00F72577">
        <w:rPr>
          <w:szCs w:val="20"/>
        </w:rPr>
        <w:t xml:space="preserve">  </w:t>
      </w:r>
      <w:r w:rsidR="00203C7C">
        <w:rPr>
          <w:szCs w:val="20"/>
        </w:rPr>
        <w:t>A</w:t>
      </w:r>
      <w:r w:rsidRPr="00F72577">
        <w:rPr>
          <w:szCs w:val="20"/>
        </w:rPr>
        <w:t xml:space="preserve">verage EBIT on </w:t>
      </w:r>
      <w:r w:rsidR="00606EA5">
        <w:rPr>
          <w:szCs w:val="20"/>
        </w:rPr>
        <w:t>s</w:t>
      </w:r>
      <w:r w:rsidRPr="00F72577">
        <w:rPr>
          <w:szCs w:val="20"/>
        </w:rPr>
        <w:t xml:space="preserve">outh </w:t>
      </w:r>
      <w:r w:rsidR="00606EA5">
        <w:rPr>
          <w:szCs w:val="20"/>
        </w:rPr>
        <w:t>w</w:t>
      </w:r>
      <w:r w:rsidRPr="00F72577">
        <w:rPr>
          <w:szCs w:val="20"/>
        </w:rPr>
        <w:t xml:space="preserve">est farms increased </w:t>
      </w:r>
      <w:r w:rsidR="00203C7C">
        <w:rPr>
          <w:szCs w:val="20"/>
        </w:rPr>
        <w:t xml:space="preserve">to </w:t>
      </w:r>
      <w:r w:rsidRPr="00F72577">
        <w:rPr>
          <w:szCs w:val="20"/>
        </w:rPr>
        <w:t xml:space="preserve">the highest </w:t>
      </w:r>
      <w:r w:rsidR="009540A1">
        <w:rPr>
          <w:szCs w:val="20"/>
        </w:rPr>
        <w:t xml:space="preserve">level </w:t>
      </w:r>
      <w:r w:rsidRPr="00F72577">
        <w:rPr>
          <w:szCs w:val="20"/>
        </w:rPr>
        <w:t xml:space="preserve">recorded value in </w:t>
      </w:r>
      <w:r w:rsidR="00451A78">
        <w:rPr>
          <w:szCs w:val="20"/>
        </w:rPr>
        <w:t>18</w:t>
      </w:r>
      <w:r w:rsidRPr="00F72577">
        <w:rPr>
          <w:szCs w:val="20"/>
        </w:rPr>
        <w:t xml:space="preserve"> years. </w:t>
      </w:r>
    </w:p>
    <w:p w14:paraId="031119D0" w14:textId="2220EE25" w:rsidR="00035894" w:rsidRDefault="00035894">
      <w:pPr>
        <w:rPr>
          <w:szCs w:val="20"/>
        </w:rPr>
      </w:pPr>
      <w:r>
        <w:rPr>
          <w:szCs w:val="20"/>
        </w:rPr>
        <w:br w:type="page"/>
      </w:r>
    </w:p>
    <w:p w14:paraId="645CD50F" w14:textId="77777777" w:rsidR="00466B28" w:rsidRPr="00F72577" w:rsidRDefault="00466B28" w:rsidP="00746E5D">
      <w:pPr>
        <w:rPr>
          <w:szCs w:val="20"/>
        </w:rPr>
      </w:pPr>
    </w:p>
    <w:p w14:paraId="19000474" w14:textId="2CEA85F5" w:rsidR="00D12059" w:rsidRPr="000E65DA" w:rsidRDefault="00067EE2" w:rsidP="00161888">
      <w:pPr>
        <w:rPr>
          <w:color w:val="FF0000"/>
        </w:rPr>
      </w:pPr>
      <w:r w:rsidRPr="00842DD0">
        <w:rPr>
          <w:noProof/>
          <w:color w:val="FF0000"/>
        </w:rPr>
        <mc:AlternateContent>
          <mc:Choice Requires="wps">
            <w:drawing>
              <wp:inline distT="0" distB="0" distL="0" distR="0" wp14:anchorId="4EC03551" wp14:editId="541FA06E">
                <wp:extent cx="5762625" cy="1571625"/>
                <wp:effectExtent l="0" t="0" r="28575" b="285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571625"/>
                        </a:xfrm>
                        <a:prstGeom prst="rect">
                          <a:avLst/>
                        </a:prstGeom>
                        <a:solidFill>
                          <a:schemeClr val="accent6">
                            <a:lumMod val="20000"/>
                            <a:lumOff val="80000"/>
                          </a:schemeClr>
                        </a:solidFill>
                        <a:ln w="9525">
                          <a:solidFill>
                            <a:srgbClr val="000000"/>
                          </a:solidFill>
                          <a:miter lim="800000"/>
                          <a:headEnd/>
                          <a:tailEnd/>
                        </a:ln>
                      </wps:spPr>
                      <wps:txbx>
                        <w:txbxContent>
                          <w:p w14:paraId="0A9F775B" w14:textId="5B88DB0C" w:rsidR="00D12059" w:rsidRPr="00CB4E11" w:rsidRDefault="001B5E52" w:rsidP="00D12059">
                            <w:pPr>
                              <w:pStyle w:val="Caption"/>
                            </w:pPr>
                            <w:r>
                              <w:t>South West Victoria r</w:t>
                            </w:r>
                            <w:r w:rsidR="00D12059" w:rsidRPr="00CB4E11">
                              <w:t xml:space="preserve">egional </w:t>
                            </w:r>
                            <w:r>
                              <w:t>s</w:t>
                            </w:r>
                            <w:r w:rsidR="00D12059" w:rsidRPr="00CB4E11">
                              <w:t>ummary</w:t>
                            </w:r>
                          </w:p>
                          <w:p w14:paraId="70417C3D" w14:textId="00904866" w:rsidR="00350974" w:rsidRPr="00CB4E11" w:rsidRDefault="00350974" w:rsidP="00350974">
                            <w:pPr>
                              <w:pStyle w:val="ListParagraph"/>
                              <w:numPr>
                                <w:ilvl w:val="0"/>
                                <w:numId w:val="9"/>
                              </w:numPr>
                              <w:rPr>
                                <w:szCs w:val="20"/>
                              </w:rPr>
                            </w:pPr>
                            <w:r w:rsidRPr="00CB4E11">
                              <w:rPr>
                                <w:szCs w:val="20"/>
                              </w:rPr>
                              <w:t xml:space="preserve">Highest average EBIT recorded in </w:t>
                            </w:r>
                            <w:r w:rsidR="007924E5">
                              <w:rPr>
                                <w:szCs w:val="20"/>
                              </w:rPr>
                              <w:t>18</w:t>
                            </w:r>
                            <w:r w:rsidR="005B7330" w:rsidRPr="00CB4E11">
                              <w:rPr>
                                <w:szCs w:val="20"/>
                              </w:rPr>
                              <w:t xml:space="preserve"> </w:t>
                            </w:r>
                            <w:r w:rsidRPr="00CB4E11">
                              <w:rPr>
                                <w:szCs w:val="20"/>
                              </w:rPr>
                              <w:t>years</w:t>
                            </w:r>
                          </w:p>
                          <w:p w14:paraId="5270FDCD" w14:textId="4280C751" w:rsidR="00350974" w:rsidRPr="00CB4E11" w:rsidRDefault="005B7330" w:rsidP="00350974">
                            <w:pPr>
                              <w:pStyle w:val="ListParagraph"/>
                              <w:numPr>
                                <w:ilvl w:val="0"/>
                                <w:numId w:val="9"/>
                              </w:numPr>
                              <w:rPr>
                                <w:szCs w:val="20"/>
                              </w:rPr>
                            </w:pPr>
                            <w:r w:rsidRPr="00CB4E11">
                              <w:rPr>
                                <w:szCs w:val="20"/>
                              </w:rPr>
                              <w:t xml:space="preserve">Highest average variable costs in </w:t>
                            </w:r>
                            <w:r w:rsidR="007924E5">
                              <w:rPr>
                                <w:szCs w:val="20"/>
                              </w:rPr>
                              <w:t>18</w:t>
                            </w:r>
                            <w:r w:rsidRPr="00CB4E11">
                              <w:rPr>
                                <w:szCs w:val="20"/>
                              </w:rPr>
                              <w:t xml:space="preserve"> years</w:t>
                            </w:r>
                          </w:p>
                          <w:p w14:paraId="2D82AACE" w14:textId="661D6650" w:rsidR="005B7330" w:rsidRPr="00CB4E11" w:rsidRDefault="005B7330" w:rsidP="00350974">
                            <w:pPr>
                              <w:pStyle w:val="ListParagraph"/>
                              <w:numPr>
                                <w:ilvl w:val="0"/>
                                <w:numId w:val="9"/>
                              </w:numPr>
                              <w:rPr>
                                <w:szCs w:val="20"/>
                              </w:rPr>
                            </w:pPr>
                            <w:r w:rsidRPr="00CB4E11">
                              <w:rPr>
                                <w:szCs w:val="20"/>
                              </w:rPr>
                              <w:t xml:space="preserve">Highest average gross farm income in </w:t>
                            </w:r>
                            <w:r w:rsidR="007924E5">
                              <w:rPr>
                                <w:szCs w:val="20"/>
                              </w:rPr>
                              <w:t>18</w:t>
                            </w:r>
                            <w:r w:rsidRPr="00CB4E11">
                              <w:rPr>
                                <w:szCs w:val="20"/>
                              </w:rPr>
                              <w:t xml:space="preserve"> years</w:t>
                            </w:r>
                          </w:p>
                          <w:p w14:paraId="091F6C6F" w14:textId="1468F579" w:rsidR="00267EAD" w:rsidRPr="00CB4E11" w:rsidRDefault="00267EAD" w:rsidP="00350974">
                            <w:pPr>
                              <w:pStyle w:val="ListParagraph"/>
                              <w:numPr>
                                <w:ilvl w:val="0"/>
                                <w:numId w:val="9"/>
                              </w:numPr>
                              <w:rPr>
                                <w:szCs w:val="20"/>
                              </w:rPr>
                            </w:pPr>
                            <w:r w:rsidRPr="00CB4E11">
                              <w:rPr>
                                <w:szCs w:val="20"/>
                              </w:rPr>
                              <w:t xml:space="preserve">Lowest return on assets </w:t>
                            </w:r>
                            <w:r w:rsidR="00C44057" w:rsidRPr="00CB4E11">
                              <w:rPr>
                                <w:szCs w:val="20"/>
                              </w:rPr>
                              <w:t>since 2014</w:t>
                            </w:r>
                            <w:r w:rsidR="00606EA5">
                              <w:t>–</w:t>
                            </w:r>
                            <w:r w:rsidR="00C44057" w:rsidRPr="00CB4E11">
                              <w:rPr>
                                <w:szCs w:val="20"/>
                              </w:rPr>
                              <w:t>15</w:t>
                            </w:r>
                          </w:p>
                          <w:p w14:paraId="152DD888" w14:textId="62533F3D" w:rsidR="00F54B71" w:rsidRPr="00CB4E11" w:rsidRDefault="00F54B71" w:rsidP="00F54B71">
                            <w:pPr>
                              <w:pStyle w:val="ListParagraph"/>
                              <w:numPr>
                                <w:ilvl w:val="0"/>
                                <w:numId w:val="9"/>
                              </w:numPr>
                              <w:rPr>
                                <w:szCs w:val="20"/>
                              </w:rPr>
                            </w:pPr>
                            <w:r w:rsidRPr="00CB4E11">
                              <w:rPr>
                                <w:szCs w:val="20"/>
                              </w:rPr>
                              <w:t xml:space="preserve">Average annual increase to equity (net worth) of $2,526/ha </w:t>
                            </w:r>
                          </w:p>
                          <w:p w14:paraId="09336EC9" w14:textId="77777777" w:rsidR="00F54B71" w:rsidRPr="00F54B71" w:rsidRDefault="00F54B71" w:rsidP="00F54B71">
                            <w:pPr>
                              <w:ind w:left="720"/>
                              <w:rPr>
                                <w:color w:val="FF0000"/>
                                <w:szCs w:val="20"/>
                              </w:rPr>
                            </w:pPr>
                          </w:p>
                          <w:p w14:paraId="053C2AC5" w14:textId="77777777" w:rsidR="00350974" w:rsidRPr="00350974" w:rsidRDefault="00350974" w:rsidP="00350974"/>
                          <w:p w14:paraId="51930977" w14:textId="77777777" w:rsidR="00D12059" w:rsidRPr="00AD0698" w:rsidRDefault="00D12059" w:rsidP="00D12059">
                            <w:pPr>
                              <w:ind w:left="360"/>
                              <w:rPr>
                                <w:color w:val="FF0000"/>
                                <w:szCs w:val="20"/>
                              </w:rPr>
                            </w:pPr>
                          </w:p>
                          <w:p w14:paraId="10DEE9A8" w14:textId="77777777" w:rsidR="00D12059" w:rsidRDefault="00D12059" w:rsidP="00D12059"/>
                        </w:txbxContent>
                      </wps:txbx>
                      <wps:bodyPr rot="0" vert="horz" wrap="square" lIns="91440" tIns="45720" rIns="91440" bIns="45720" anchor="t" anchorCtr="0">
                        <a:noAutofit/>
                      </wps:bodyPr>
                    </wps:wsp>
                  </a:graphicData>
                </a:graphic>
              </wp:inline>
            </w:drawing>
          </mc:Choice>
          <mc:Fallback>
            <w:pict>
              <v:shape w14:anchorId="4EC03551" id="_x0000_s1029" type="#_x0000_t202" style="width:453.7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" fillcolor="#e2efd9 [665]">
                <v:textbox>
                  <w:txbxContent>
                    <w:p w14:paraId="0A9F775B" w14:textId="5B88DB0C" w:rsidR="00D12059" w:rsidRPr="00CB4E11" w:rsidRDefault="001B5E52" w:rsidP="00D12059">
                      <w:pPr>
                        <w:pStyle w:val="Caption"/>
                      </w:pPr>
                      <w:r>
                        <w:t>South West Victoria r</w:t>
                      </w:r>
                      <w:r w:rsidR="00D12059" w:rsidRPr="00CB4E11">
                        <w:t xml:space="preserve">egional </w:t>
                      </w:r>
                      <w:r>
                        <w:t>s</w:t>
                      </w:r>
                      <w:r w:rsidR="00D12059" w:rsidRPr="00CB4E11">
                        <w:t>ummary</w:t>
                      </w:r>
                    </w:p>
                    <w:p w14:paraId="70417C3D" w14:textId="00904866" w:rsidR="00350974" w:rsidRPr="00CB4E11" w:rsidRDefault="00350974" w:rsidP="00350974">
                      <w:pPr>
                        <w:pStyle w:val="ListParagraph"/>
                        <w:numPr>
                          <w:ilvl w:val="0"/>
                          <w:numId w:val="9"/>
                        </w:numPr>
                        <w:rPr>
                          <w:szCs w:val="20"/>
                        </w:rPr>
                      </w:pPr>
                      <w:r w:rsidRPr="00CB4E11">
                        <w:rPr>
                          <w:szCs w:val="20"/>
                        </w:rPr>
                        <w:t xml:space="preserve">Highest average EBIT recorded in </w:t>
                      </w:r>
                      <w:r w:rsidR="007924E5">
                        <w:rPr>
                          <w:szCs w:val="20"/>
                        </w:rPr>
                        <w:t>18</w:t>
                      </w:r>
                      <w:r w:rsidR="005B7330" w:rsidRPr="00CB4E11">
                        <w:rPr>
                          <w:szCs w:val="20"/>
                        </w:rPr>
                        <w:t xml:space="preserve"> </w:t>
                      </w:r>
                      <w:r w:rsidRPr="00CB4E11">
                        <w:rPr>
                          <w:szCs w:val="20"/>
                        </w:rPr>
                        <w:t>years</w:t>
                      </w:r>
                    </w:p>
                    <w:p w14:paraId="5270FDCD" w14:textId="4280C751" w:rsidR="00350974" w:rsidRPr="00CB4E11" w:rsidRDefault="005B7330" w:rsidP="00350974">
                      <w:pPr>
                        <w:pStyle w:val="ListParagraph"/>
                        <w:numPr>
                          <w:ilvl w:val="0"/>
                          <w:numId w:val="9"/>
                        </w:numPr>
                        <w:rPr>
                          <w:szCs w:val="20"/>
                        </w:rPr>
                      </w:pPr>
                      <w:r w:rsidRPr="00CB4E11">
                        <w:rPr>
                          <w:szCs w:val="20"/>
                        </w:rPr>
                        <w:t xml:space="preserve">Highest average variable costs in </w:t>
                      </w:r>
                      <w:r w:rsidR="007924E5">
                        <w:rPr>
                          <w:szCs w:val="20"/>
                        </w:rPr>
                        <w:t>18</w:t>
                      </w:r>
                      <w:r w:rsidRPr="00CB4E11">
                        <w:rPr>
                          <w:szCs w:val="20"/>
                        </w:rPr>
                        <w:t xml:space="preserve"> years</w:t>
                      </w:r>
                    </w:p>
                    <w:p w14:paraId="2D82AACE" w14:textId="661D6650" w:rsidR="005B7330" w:rsidRPr="00CB4E11" w:rsidRDefault="005B7330" w:rsidP="00350974">
                      <w:pPr>
                        <w:pStyle w:val="ListParagraph"/>
                        <w:numPr>
                          <w:ilvl w:val="0"/>
                          <w:numId w:val="9"/>
                        </w:numPr>
                        <w:rPr>
                          <w:szCs w:val="20"/>
                        </w:rPr>
                      </w:pPr>
                      <w:r w:rsidRPr="00CB4E11">
                        <w:rPr>
                          <w:szCs w:val="20"/>
                        </w:rPr>
                        <w:t xml:space="preserve">Highest average gross farm income in </w:t>
                      </w:r>
                      <w:r w:rsidR="007924E5">
                        <w:rPr>
                          <w:szCs w:val="20"/>
                        </w:rPr>
                        <w:t>18</w:t>
                      </w:r>
                      <w:r w:rsidRPr="00CB4E11">
                        <w:rPr>
                          <w:szCs w:val="20"/>
                        </w:rPr>
                        <w:t xml:space="preserve"> years</w:t>
                      </w:r>
                    </w:p>
                    <w:p w14:paraId="091F6C6F" w14:textId="1468F579" w:rsidR="00267EAD" w:rsidRPr="00CB4E11" w:rsidRDefault="00267EAD" w:rsidP="00350974">
                      <w:pPr>
                        <w:pStyle w:val="ListParagraph"/>
                        <w:numPr>
                          <w:ilvl w:val="0"/>
                          <w:numId w:val="9"/>
                        </w:numPr>
                        <w:rPr>
                          <w:szCs w:val="20"/>
                        </w:rPr>
                      </w:pPr>
                      <w:r w:rsidRPr="00CB4E11">
                        <w:rPr>
                          <w:szCs w:val="20"/>
                        </w:rPr>
                        <w:t xml:space="preserve">Lowest return on assets </w:t>
                      </w:r>
                      <w:r w:rsidR="00C44057" w:rsidRPr="00CB4E11">
                        <w:rPr>
                          <w:szCs w:val="20"/>
                        </w:rPr>
                        <w:t>since 2014</w:t>
                      </w:r>
                      <w:r w:rsidR="00606EA5">
                        <w:t>–</w:t>
                      </w:r>
                      <w:r w:rsidR="00C44057" w:rsidRPr="00CB4E11">
                        <w:rPr>
                          <w:szCs w:val="20"/>
                        </w:rPr>
                        <w:t>15</w:t>
                      </w:r>
                    </w:p>
                    <w:p w14:paraId="152DD888" w14:textId="62533F3D" w:rsidR="00F54B71" w:rsidRPr="00CB4E11" w:rsidRDefault="00F54B71" w:rsidP="00F54B71">
                      <w:pPr>
                        <w:pStyle w:val="ListParagraph"/>
                        <w:numPr>
                          <w:ilvl w:val="0"/>
                          <w:numId w:val="9"/>
                        </w:numPr>
                        <w:rPr>
                          <w:szCs w:val="20"/>
                        </w:rPr>
                      </w:pPr>
                      <w:r w:rsidRPr="00CB4E11">
                        <w:rPr>
                          <w:szCs w:val="20"/>
                        </w:rPr>
                        <w:t xml:space="preserve">Average annual increase to equity (net worth) of $2,526/ha </w:t>
                      </w:r>
                    </w:p>
                    <w:p w14:paraId="09336EC9" w14:textId="77777777" w:rsidR="00F54B71" w:rsidRPr="00F54B71" w:rsidRDefault="00F54B71" w:rsidP="00F54B71">
                      <w:pPr>
                        <w:ind w:left="720"/>
                        <w:rPr>
                          <w:color w:val="FF0000"/>
                          <w:szCs w:val="20"/>
                        </w:rPr>
                      </w:pPr>
                    </w:p>
                    <w:p w14:paraId="053C2AC5" w14:textId="77777777" w:rsidR="00350974" w:rsidRPr="00350974" w:rsidRDefault="00350974" w:rsidP="00350974"/>
                    <w:p w14:paraId="51930977" w14:textId="77777777" w:rsidR="00D12059" w:rsidRPr="00AD0698" w:rsidRDefault="00D12059" w:rsidP="00D12059">
                      <w:pPr>
                        <w:ind w:left="360"/>
                        <w:rPr>
                          <w:color w:val="FF0000"/>
                          <w:szCs w:val="20"/>
                        </w:rPr>
                      </w:pPr>
                    </w:p>
                    <w:p w14:paraId="10DEE9A8" w14:textId="77777777" w:rsidR="00D12059" w:rsidRDefault="00D12059" w:rsidP="00D12059"/>
                  </w:txbxContent>
                </v:textbox>
                <w10:anchorlock/>
              </v:shape>
            </w:pict>
          </mc:Fallback>
        </mc:AlternateContent>
      </w:r>
      <w:r w:rsidR="00746E5D" w:rsidRPr="00CE70D5">
        <w:rPr>
          <w:color w:val="FF0000"/>
          <w:szCs w:val="20"/>
        </w:rPr>
        <w:t xml:space="preserve"> </w:t>
      </w:r>
    </w:p>
    <w:tbl>
      <w:tblPr>
        <w:tblStyle w:val="GridTable1Light"/>
        <w:tblpPr w:leftFromText="180" w:rightFromText="180" w:vertAnchor="text" w:horzAnchor="page" w:tblpX="2071" w:tblpY="705"/>
        <w:tblW w:w="7371" w:type="dxa"/>
        <w:tblLook w:val="04A0" w:firstRow="1" w:lastRow="0" w:firstColumn="1" w:lastColumn="0" w:noHBand="0" w:noVBand="1"/>
      </w:tblPr>
      <w:tblGrid>
        <w:gridCol w:w="3900"/>
        <w:gridCol w:w="1520"/>
        <w:gridCol w:w="1951"/>
      </w:tblGrid>
      <w:tr w:rsidR="004914B4" w:rsidRPr="00F41F34" w14:paraId="77BD63EC" w14:textId="77777777" w:rsidTr="007E69B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28BB3E1A" w14:textId="77777777" w:rsidR="004914B4" w:rsidRPr="00161888" w:rsidRDefault="004914B4" w:rsidP="004914B4">
            <w:pPr>
              <w:rPr>
                <w:rFonts w:eastAsia="Times New Roman" w:cs="Calibri"/>
                <w:b w:val="0"/>
                <w:bCs w:val="0"/>
                <w:color w:val="000000"/>
                <w:sz w:val="18"/>
                <w:szCs w:val="18"/>
                <w:lang w:eastAsia="en-AU"/>
              </w:rPr>
            </w:pPr>
            <w:r w:rsidRPr="00161888">
              <w:rPr>
                <w:rFonts w:eastAsia="Times New Roman" w:cs="Calibri"/>
                <w:color w:val="000000"/>
                <w:sz w:val="18"/>
                <w:szCs w:val="18"/>
                <w:lang w:eastAsia="en-AU"/>
              </w:rPr>
              <w:t>Regional summary</w:t>
            </w:r>
          </w:p>
        </w:tc>
        <w:tc>
          <w:tcPr>
            <w:tcW w:w="1520" w:type="dxa"/>
            <w:noWrap/>
            <w:hideMark/>
          </w:tcPr>
          <w:p w14:paraId="324A2750" w14:textId="77777777" w:rsidR="004914B4" w:rsidRPr="00161888" w:rsidRDefault="004914B4" w:rsidP="004914B4">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ascii="Cambria" w:eastAsia="Times New Roman" w:hAnsi="Cambria" w:cs="Cambria"/>
                <w:color w:val="000000"/>
                <w:sz w:val="18"/>
                <w:szCs w:val="18"/>
                <w:lang w:eastAsia="en-AU"/>
              </w:rPr>
              <w:t> </w:t>
            </w:r>
          </w:p>
        </w:tc>
        <w:tc>
          <w:tcPr>
            <w:tcW w:w="1951" w:type="dxa"/>
            <w:noWrap/>
            <w:hideMark/>
          </w:tcPr>
          <w:p w14:paraId="61D306EC" w14:textId="77777777" w:rsidR="004914B4" w:rsidRPr="00161888" w:rsidRDefault="004914B4" w:rsidP="004914B4">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ascii="Cambria" w:eastAsia="Times New Roman" w:hAnsi="Cambria" w:cs="Cambria"/>
                <w:color w:val="000000"/>
                <w:sz w:val="18"/>
                <w:szCs w:val="18"/>
                <w:lang w:eastAsia="en-AU"/>
              </w:rPr>
              <w:t> </w:t>
            </w:r>
          </w:p>
        </w:tc>
      </w:tr>
      <w:tr w:rsidR="004914B4" w:rsidRPr="00F41F34" w14:paraId="47DFDE97"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37AF4CEC" w14:textId="77777777" w:rsidR="004914B4" w:rsidRPr="00161888" w:rsidRDefault="004914B4" w:rsidP="004914B4">
            <w:pPr>
              <w:jc w:val="center"/>
              <w:rPr>
                <w:rFonts w:eastAsia="Times New Roman" w:cs="Calibri"/>
                <w:b w:val="0"/>
                <w:bCs w:val="0"/>
                <w:color w:val="000000"/>
                <w:sz w:val="18"/>
                <w:szCs w:val="18"/>
                <w:lang w:eastAsia="en-AU"/>
              </w:rPr>
            </w:pPr>
            <w:r w:rsidRPr="00161888">
              <w:rPr>
                <w:rFonts w:ascii="Cambria" w:eastAsia="Times New Roman" w:hAnsi="Cambria" w:cs="Cambria"/>
                <w:color w:val="000000"/>
                <w:sz w:val="18"/>
                <w:szCs w:val="18"/>
                <w:lang w:eastAsia="en-AU"/>
              </w:rPr>
              <w:t> </w:t>
            </w:r>
          </w:p>
        </w:tc>
        <w:tc>
          <w:tcPr>
            <w:tcW w:w="1520" w:type="dxa"/>
            <w:noWrap/>
            <w:hideMark/>
          </w:tcPr>
          <w:p w14:paraId="5B26BAB2"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eastAsia="en-AU"/>
              </w:rPr>
            </w:pPr>
            <w:r w:rsidRPr="00161888">
              <w:rPr>
                <w:rFonts w:eastAsia="Times New Roman" w:cs="Calibri"/>
                <w:b/>
                <w:bCs/>
                <w:color w:val="000000"/>
                <w:sz w:val="18"/>
                <w:szCs w:val="18"/>
                <w:lang w:eastAsia="en-AU"/>
              </w:rPr>
              <w:t>3-yr average</w:t>
            </w:r>
          </w:p>
        </w:tc>
        <w:tc>
          <w:tcPr>
            <w:tcW w:w="1951" w:type="dxa"/>
            <w:noWrap/>
            <w:hideMark/>
          </w:tcPr>
          <w:p w14:paraId="77D52B02" w14:textId="089B2B86"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eastAsia="en-AU"/>
              </w:rPr>
            </w:pPr>
            <w:r w:rsidRPr="00161888">
              <w:rPr>
                <w:rFonts w:eastAsia="Times New Roman" w:cs="Calibri"/>
                <w:b/>
                <w:bCs/>
                <w:color w:val="000000"/>
                <w:sz w:val="18"/>
                <w:szCs w:val="18"/>
                <w:lang w:eastAsia="en-AU"/>
              </w:rPr>
              <w:t xml:space="preserve">South West </w:t>
            </w:r>
            <w:r w:rsidR="002F1CE0">
              <w:rPr>
                <w:rFonts w:eastAsia="Times New Roman" w:cs="Calibri"/>
                <w:b/>
                <w:bCs/>
                <w:color w:val="000000"/>
                <w:sz w:val="18"/>
                <w:szCs w:val="18"/>
                <w:lang w:eastAsia="en-AU"/>
              </w:rPr>
              <w:t xml:space="preserve">Victoria </w:t>
            </w:r>
            <w:r w:rsidRPr="00161888">
              <w:rPr>
                <w:rFonts w:eastAsia="Times New Roman" w:cs="Calibri"/>
                <w:b/>
                <w:bCs/>
                <w:color w:val="000000"/>
                <w:sz w:val="18"/>
                <w:szCs w:val="18"/>
                <w:lang w:eastAsia="en-AU"/>
              </w:rPr>
              <w:t>2021</w:t>
            </w:r>
            <w:r w:rsidR="002F1CE0">
              <w:t xml:space="preserve">– </w:t>
            </w:r>
            <w:r w:rsidRPr="00161888">
              <w:rPr>
                <w:rFonts w:eastAsia="Times New Roman" w:cs="Calibri"/>
                <w:b/>
                <w:bCs/>
                <w:color w:val="000000"/>
                <w:sz w:val="18"/>
                <w:szCs w:val="18"/>
                <w:lang w:eastAsia="en-AU"/>
              </w:rPr>
              <w:t>22</w:t>
            </w:r>
          </w:p>
        </w:tc>
      </w:tr>
      <w:tr w:rsidR="004914B4" w:rsidRPr="00F41F34" w14:paraId="12473E87"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726B323A"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Beef income ($/ha)</w:t>
            </w:r>
          </w:p>
        </w:tc>
        <w:tc>
          <w:tcPr>
            <w:tcW w:w="1520" w:type="dxa"/>
            <w:noWrap/>
            <w:hideMark/>
          </w:tcPr>
          <w:p w14:paraId="1572C014"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$1,350</w:t>
            </w:r>
          </w:p>
        </w:tc>
        <w:tc>
          <w:tcPr>
            <w:tcW w:w="1951" w:type="dxa"/>
            <w:noWrap/>
            <w:hideMark/>
          </w:tcPr>
          <w:p w14:paraId="6E3F6D0B"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$1,496</w:t>
            </w:r>
          </w:p>
        </w:tc>
      </w:tr>
      <w:tr w:rsidR="004914B4" w:rsidRPr="00F41F34" w14:paraId="49BD7A6B"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52367A83" w14:textId="60DDA570"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 xml:space="preserve">Prime </w:t>
            </w:r>
            <w:r w:rsidR="006E2A27">
              <w:rPr>
                <w:rFonts w:eastAsia="Times New Roman" w:cs="Calibri"/>
                <w:color w:val="000000"/>
                <w:sz w:val="18"/>
                <w:szCs w:val="18"/>
                <w:lang w:eastAsia="en-AU"/>
              </w:rPr>
              <w:t>l</w:t>
            </w:r>
            <w:r w:rsidRPr="00161888">
              <w:rPr>
                <w:rFonts w:eastAsia="Times New Roman" w:cs="Calibri"/>
                <w:color w:val="000000"/>
                <w:sz w:val="18"/>
                <w:szCs w:val="18"/>
                <w:lang w:eastAsia="en-AU"/>
              </w:rPr>
              <w:t>amb income ($/ha)</w:t>
            </w:r>
          </w:p>
        </w:tc>
        <w:tc>
          <w:tcPr>
            <w:tcW w:w="1520" w:type="dxa"/>
            <w:noWrap/>
            <w:hideMark/>
          </w:tcPr>
          <w:p w14:paraId="0F06D9A5"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$1,383</w:t>
            </w:r>
          </w:p>
        </w:tc>
        <w:tc>
          <w:tcPr>
            <w:tcW w:w="1951" w:type="dxa"/>
            <w:noWrap/>
            <w:hideMark/>
          </w:tcPr>
          <w:p w14:paraId="14D8518E"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$1,419</w:t>
            </w:r>
          </w:p>
        </w:tc>
      </w:tr>
      <w:tr w:rsidR="004914B4" w:rsidRPr="00F41F34" w14:paraId="6AC2D129"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050E3FCE" w14:textId="290759DA"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 xml:space="preserve">Wool </w:t>
            </w:r>
            <w:r w:rsidR="006E2A27">
              <w:rPr>
                <w:rFonts w:eastAsia="Times New Roman" w:cs="Calibri"/>
                <w:color w:val="000000"/>
                <w:sz w:val="18"/>
                <w:szCs w:val="18"/>
                <w:lang w:eastAsia="en-AU"/>
              </w:rPr>
              <w:t>s</w:t>
            </w:r>
            <w:r w:rsidRPr="00161888">
              <w:rPr>
                <w:rFonts w:eastAsia="Times New Roman" w:cs="Calibri"/>
                <w:color w:val="000000"/>
                <w:sz w:val="18"/>
                <w:szCs w:val="18"/>
                <w:lang w:eastAsia="en-AU"/>
              </w:rPr>
              <w:t>heep income ($/ha)</w:t>
            </w:r>
          </w:p>
        </w:tc>
        <w:tc>
          <w:tcPr>
            <w:tcW w:w="1520" w:type="dxa"/>
            <w:noWrap/>
            <w:hideMark/>
          </w:tcPr>
          <w:p w14:paraId="0EB268A7"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$1,119</w:t>
            </w:r>
          </w:p>
        </w:tc>
        <w:tc>
          <w:tcPr>
            <w:tcW w:w="1951" w:type="dxa"/>
            <w:noWrap/>
            <w:hideMark/>
          </w:tcPr>
          <w:p w14:paraId="6D658597"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$1,099</w:t>
            </w:r>
          </w:p>
        </w:tc>
      </w:tr>
      <w:tr w:rsidR="004914B4" w:rsidRPr="00F41F34" w14:paraId="0C6EA2F5"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4EDF13E5"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Beef variable costs ($/ha)</w:t>
            </w:r>
          </w:p>
        </w:tc>
        <w:tc>
          <w:tcPr>
            <w:tcW w:w="1520" w:type="dxa"/>
            <w:noWrap/>
            <w:hideMark/>
          </w:tcPr>
          <w:p w14:paraId="5F0B17A6"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$563</w:t>
            </w:r>
          </w:p>
        </w:tc>
        <w:tc>
          <w:tcPr>
            <w:tcW w:w="1951" w:type="dxa"/>
            <w:noWrap/>
            <w:hideMark/>
          </w:tcPr>
          <w:p w14:paraId="479724E1"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$570</w:t>
            </w:r>
          </w:p>
        </w:tc>
      </w:tr>
      <w:tr w:rsidR="004914B4" w:rsidRPr="00F41F34" w14:paraId="3FCA969D"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0B6E54F8" w14:textId="43F53DCA"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 xml:space="preserve">Prime </w:t>
            </w:r>
            <w:r w:rsidR="006E2A27">
              <w:rPr>
                <w:rFonts w:eastAsia="Times New Roman" w:cs="Calibri"/>
                <w:color w:val="000000"/>
                <w:sz w:val="18"/>
                <w:szCs w:val="18"/>
                <w:lang w:eastAsia="en-AU"/>
              </w:rPr>
              <w:t>l</w:t>
            </w:r>
            <w:r w:rsidRPr="00161888">
              <w:rPr>
                <w:rFonts w:eastAsia="Times New Roman" w:cs="Calibri"/>
                <w:color w:val="000000"/>
                <w:sz w:val="18"/>
                <w:szCs w:val="18"/>
                <w:lang w:eastAsia="en-AU"/>
              </w:rPr>
              <w:t>amb variable costs ($/ha)</w:t>
            </w:r>
          </w:p>
        </w:tc>
        <w:tc>
          <w:tcPr>
            <w:tcW w:w="1520" w:type="dxa"/>
            <w:noWrap/>
            <w:hideMark/>
          </w:tcPr>
          <w:p w14:paraId="22BE57E8"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$507</w:t>
            </w:r>
          </w:p>
        </w:tc>
        <w:tc>
          <w:tcPr>
            <w:tcW w:w="1951" w:type="dxa"/>
            <w:noWrap/>
            <w:hideMark/>
          </w:tcPr>
          <w:p w14:paraId="7B3F2064"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$505</w:t>
            </w:r>
          </w:p>
        </w:tc>
      </w:tr>
      <w:tr w:rsidR="004914B4" w:rsidRPr="00F41F34" w14:paraId="43165BA7"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5A00C94B" w14:textId="4E81F246"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 xml:space="preserve">Wool </w:t>
            </w:r>
            <w:r w:rsidR="006E2A27">
              <w:rPr>
                <w:rFonts w:eastAsia="Times New Roman" w:cs="Calibri"/>
                <w:color w:val="000000"/>
                <w:sz w:val="18"/>
                <w:szCs w:val="18"/>
                <w:lang w:eastAsia="en-AU"/>
              </w:rPr>
              <w:t>s</w:t>
            </w:r>
            <w:r w:rsidRPr="00161888">
              <w:rPr>
                <w:rFonts w:eastAsia="Times New Roman" w:cs="Calibri"/>
                <w:color w:val="000000"/>
                <w:sz w:val="18"/>
                <w:szCs w:val="18"/>
                <w:lang w:eastAsia="en-AU"/>
              </w:rPr>
              <w:t>heep variable costs ($/ha)</w:t>
            </w:r>
          </w:p>
        </w:tc>
        <w:tc>
          <w:tcPr>
            <w:tcW w:w="1520" w:type="dxa"/>
            <w:noWrap/>
            <w:hideMark/>
          </w:tcPr>
          <w:p w14:paraId="6B372E4A"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$477</w:t>
            </w:r>
          </w:p>
        </w:tc>
        <w:tc>
          <w:tcPr>
            <w:tcW w:w="1951" w:type="dxa"/>
            <w:noWrap/>
            <w:hideMark/>
          </w:tcPr>
          <w:p w14:paraId="3EF7CA3D"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$480</w:t>
            </w:r>
          </w:p>
        </w:tc>
      </w:tr>
      <w:tr w:rsidR="004914B4" w:rsidRPr="00F41F34" w14:paraId="65C7E34B"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4BC6F92C"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Total assets managed ($/ha)</w:t>
            </w:r>
          </w:p>
        </w:tc>
        <w:tc>
          <w:tcPr>
            <w:tcW w:w="1520" w:type="dxa"/>
            <w:noWrap/>
            <w:hideMark/>
          </w:tcPr>
          <w:p w14:paraId="2B51EF38"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$14,343</w:t>
            </w:r>
          </w:p>
        </w:tc>
        <w:tc>
          <w:tcPr>
            <w:tcW w:w="1951" w:type="dxa"/>
            <w:noWrap/>
            <w:hideMark/>
          </w:tcPr>
          <w:p w14:paraId="0152EFD8"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$18,277</w:t>
            </w:r>
          </w:p>
        </w:tc>
      </w:tr>
      <w:tr w:rsidR="004914B4" w:rsidRPr="00F41F34" w14:paraId="43265D6C"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4067AC6F"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Total debt ($/ha)</w:t>
            </w:r>
          </w:p>
        </w:tc>
        <w:tc>
          <w:tcPr>
            <w:tcW w:w="1520" w:type="dxa"/>
            <w:noWrap/>
            <w:hideMark/>
          </w:tcPr>
          <w:p w14:paraId="644EEAC0"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$1,600</w:t>
            </w:r>
          </w:p>
        </w:tc>
        <w:tc>
          <w:tcPr>
            <w:tcW w:w="1951" w:type="dxa"/>
            <w:noWrap/>
            <w:hideMark/>
          </w:tcPr>
          <w:p w14:paraId="4290AC14"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$1,816</w:t>
            </w:r>
          </w:p>
        </w:tc>
      </w:tr>
      <w:tr w:rsidR="004914B4" w:rsidRPr="00F41F34" w14:paraId="777B08B2"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31DAD020"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Annual increase in equity ($/ha)</w:t>
            </w:r>
          </w:p>
        </w:tc>
        <w:tc>
          <w:tcPr>
            <w:tcW w:w="1520" w:type="dxa"/>
            <w:noWrap/>
            <w:hideMark/>
          </w:tcPr>
          <w:p w14:paraId="326F37F0"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$2,065</w:t>
            </w:r>
          </w:p>
        </w:tc>
        <w:tc>
          <w:tcPr>
            <w:tcW w:w="1951" w:type="dxa"/>
            <w:noWrap/>
            <w:hideMark/>
          </w:tcPr>
          <w:p w14:paraId="6FC1C3A2"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$2,566</w:t>
            </w:r>
          </w:p>
        </w:tc>
      </w:tr>
      <w:tr w:rsidR="004914B4" w:rsidRPr="00F41F34" w14:paraId="617EC068"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460995C4"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 xml:space="preserve">Beef sold (kg </w:t>
            </w:r>
            <w:proofErr w:type="spellStart"/>
            <w:r w:rsidRPr="00161888">
              <w:rPr>
                <w:rFonts w:eastAsia="Times New Roman" w:cs="Calibri"/>
                <w:color w:val="000000"/>
                <w:sz w:val="18"/>
                <w:szCs w:val="18"/>
                <w:lang w:eastAsia="en-AU"/>
              </w:rPr>
              <w:t>lwt</w:t>
            </w:r>
            <w:proofErr w:type="spellEnd"/>
            <w:r w:rsidRPr="00161888">
              <w:rPr>
                <w:rFonts w:eastAsia="Times New Roman" w:cs="Calibri"/>
                <w:color w:val="000000"/>
                <w:sz w:val="18"/>
                <w:szCs w:val="18"/>
                <w:lang w:eastAsia="en-AU"/>
              </w:rPr>
              <w:t>/ha)</w:t>
            </w:r>
          </w:p>
        </w:tc>
        <w:tc>
          <w:tcPr>
            <w:tcW w:w="1520" w:type="dxa"/>
            <w:noWrap/>
            <w:hideMark/>
          </w:tcPr>
          <w:p w14:paraId="78C358D7"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668</w:t>
            </w:r>
          </w:p>
        </w:tc>
        <w:tc>
          <w:tcPr>
            <w:tcW w:w="1951" w:type="dxa"/>
            <w:noWrap/>
            <w:hideMark/>
          </w:tcPr>
          <w:p w14:paraId="79342BBC"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566</w:t>
            </w:r>
          </w:p>
        </w:tc>
      </w:tr>
      <w:tr w:rsidR="004914B4" w:rsidRPr="00F41F34" w14:paraId="1B08BFCB"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56A85263"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Lamb sold (kg cwt/ha)</w:t>
            </w:r>
          </w:p>
        </w:tc>
        <w:tc>
          <w:tcPr>
            <w:tcW w:w="1520" w:type="dxa"/>
            <w:noWrap/>
            <w:hideMark/>
          </w:tcPr>
          <w:p w14:paraId="126D7C6E"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118</w:t>
            </w:r>
          </w:p>
        </w:tc>
        <w:tc>
          <w:tcPr>
            <w:tcW w:w="1951" w:type="dxa"/>
            <w:noWrap/>
            <w:hideMark/>
          </w:tcPr>
          <w:p w14:paraId="0D4B40FC"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117</w:t>
            </w:r>
          </w:p>
        </w:tc>
      </w:tr>
      <w:tr w:rsidR="004914B4" w:rsidRPr="00F41F34" w14:paraId="2F5792C5" w14:textId="77777777" w:rsidTr="007E69B9">
        <w:trPr>
          <w:trHeight w:val="285"/>
        </w:trPr>
        <w:tc>
          <w:tcPr>
            <w:cnfStyle w:val="001000000000" w:firstRow="0" w:lastRow="0" w:firstColumn="1" w:lastColumn="0" w:oddVBand="0" w:evenVBand="0" w:oddHBand="0" w:evenHBand="0" w:firstRowFirstColumn="0" w:firstRowLastColumn="0" w:lastRowFirstColumn="0" w:lastRowLastColumn="0"/>
            <w:tcW w:w="3900" w:type="dxa"/>
            <w:noWrap/>
            <w:hideMark/>
          </w:tcPr>
          <w:p w14:paraId="39B283B9"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Wool sheep wool cut (kg Gr./ha)</w:t>
            </w:r>
          </w:p>
        </w:tc>
        <w:tc>
          <w:tcPr>
            <w:tcW w:w="1520" w:type="dxa"/>
            <w:noWrap/>
            <w:hideMark/>
          </w:tcPr>
          <w:p w14:paraId="107413CC"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49</w:t>
            </w:r>
          </w:p>
        </w:tc>
        <w:tc>
          <w:tcPr>
            <w:tcW w:w="1951" w:type="dxa"/>
            <w:noWrap/>
            <w:hideMark/>
          </w:tcPr>
          <w:p w14:paraId="50282671"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48</w:t>
            </w:r>
          </w:p>
        </w:tc>
      </w:tr>
      <w:tr w:rsidR="004914B4" w:rsidRPr="00F41F34" w14:paraId="467DF58C"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4DA6619D"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Labour use (FTE/farm)</w:t>
            </w:r>
          </w:p>
        </w:tc>
        <w:tc>
          <w:tcPr>
            <w:tcW w:w="1520" w:type="dxa"/>
            <w:noWrap/>
            <w:hideMark/>
          </w:tcPr>
          <w:p w14:paraId="02FB99E8"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3.2</w:t>
            </w:r>
          </w:p>
        </w:tc>
        <w:tc>
          <w:tcPr>
            <w:tcW w:w="1951" w:type="dxa"/>
            <w:noWrap/>
            <w:hideMark/>
          </w:tcPr>
          <w:p w14:paraId="094C12E8"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3.5</w:t>
            </w:r>
          </w:p>
        </w:tc>
      </w:tr>
      <w:tr w:rsidR="004914B4" w:rsidRPr="00F41F34" w14:paraId="6B7FE772"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6941CD38"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Labour use efficiency (ha/FTE)</w:t>
            </w:r>
          </w:p>
        </w:tc>
        <w:tc>
          <w:tcPr>
            <w:tcW w:w="1520" w:type="dxa"/>
            <w:noWrap/>
            <w:hideMark/>
          </w:tcPr>
          <w:p w14:paraId="1C6AD84E"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396</w:t>
            </w:r>
          </w:p>
        </w:tc>
        <w:tc>
          <w:tcPr>
            <w:tcW w:w="1951" w:type="dxa"/>
            <w:noWrap/>
            <w:hideMark/>
          </w:tcPr>
          <w:p w14:paraId="49F8DE95"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403</w:t>
            </w:r>
          </w:p>
        </w:tc>
      </w:tr>
      <w:tr w:rsidR="004914B4" w:rsidRPr="00F41F34" w14:paraId="24E0B3E4"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24DF0125"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Labour use efficiency (DSE/FTE)</w:t>
            </w:r>
          </w:p>
        </w:tc>
        <w:tc>
          <w:tcPr>
            <w:tcW w:w="1520" w:type="dxa"/>
            <w:noWrap/>
            <w:hideMark/>
          </w:tcPr>
          <w:p w14:paraId="1A3B9E51"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6,086</w:t>
            </w:r>
          </w:p>
        </w:tc>
        <w:tc>
          <w:tcPr>
            <w:tcW w:w="1951" w:type="dxa"/>
            <w:noWrap/>
            <w:hideMark/>
          </w:tcPr>
          <w:p w14:paraId="7C3553E7"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6,133</w:t>
            </w:r>
          </w:p>
        </w:tc>
      </w:tr>
      <w:tr w:rsidR="004914B4" w:rsidRPr="00F41F34" w14:paraId="554F8757"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5B61E5C1"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Labour use efficiency (cash income/FTE)</w:t>
            </w:r>
          </w:p>
        </w:tc>
        <w:tc>
          <w:tcPr>
            <w:tcW w:w="1520" w:type="dxa"/>
            <w:noWrap/>
            <w:hideMark/>
          </w:tcPr>
          <w:p w14:paraId="55B7F23B"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$546,068</w:t>
            </w:r>
          </w:p>
        </w:tc>
        <w:tc>
          <w:tcPr>
            <w:tcW w:w="1951" w:type="dxa"/>
            <w:noWrap/>
            <w:hideMark/>
          </w:tcPr>
          <w:p w14:paraId="0CD4A877"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$604,755</w:t>
            </w:r>
          </w:p>
        </w:tc>
      </w:tr>
      <w:tr w:rsidR="004914B4" w:rsidRPr="00F41F34" w14:paraId="76191C57"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6707F197"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Nitrogen applied to pasture (kg/ha)</w:t>
            </w:r>
          </w:p>
        </w:tc>
        <w:tc>
          <w:tcPr>
            <w:tcW w:w="1520" w:type="dxa"/>
            <w:noWrap/>
            <w:hideMark/>
          </w:tcPr>
          <w:p w14:paraId="36CC17A8"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13</w:t>
            </w:r>
          </w:p>
        </w:tc>
        <w:tc>
          <w:tcPr>
            <w:tcW w:w="1951" w:type="dxa"/>
            <w:noWrap/>
            <w:hideMark/>
          </w:tcPr>
          <w:p w14:paraId="4EB44DCA"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8</w:t>
            </w:r>
          </w:p>
        </w:tc>
      </w:tr>
      <w:tr w:rsidR="004914B4" w:rsidRPr="00F41F34" w14:paraId="7A04B36A"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3C612D44"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Phosphorus applied to pasture (kg/ha)</w:t>
            </w:r>
          </w:p>
        </w:tc>
        <w:tc>
          <w:tcPr>
            <w:tcW w:w="1520" w:type="dxa"/>
            <w:noWrap/>
            <w:hideMark/>
          </w:tcPr>
          <w:p w14:paraId="771266B0"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14</w:t>
            </w:r>
          </w:p>
        </w:tc>
        <w:tc>
          <w:tcPr>
            <w:tcW w:w="1951" w:type="dxa"/>
            <w:noWrap/>
            <w:hideMark/>
          </w:tcPr>
          <w:p w14:paraId="17FA57BD"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13</w:t>
            </w:r>
          </w:p>
        </w:tc>
      </w:tr>
      <w:tr w:rsidR="004914B4" w:rsidRPr="00F41F34" w14:paraId="46AB0B17"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2163EDD5" w14:textId="77777777" w:rsidR="004914B4" w:rsidRPr="00161888" w:rsidRDefault="004914B4" w:rsidP="004914B4">
            <w:pPr>
              <w:rPr>
                <w:rFonts w:eastAsia="Times New Roman" w:cs="Calibri"/>
                <w:color w:val="000000"/>
                <w:sz w:val="18"/>
                <w:szCs w:val="18"/>
                <w:lang w:eastAsia="en-AU"/>
              </w:rPr>
            </w:pPr>
            <w:r w:rsidRPr="00161888">
              <w:rPr>
                <w:rFonts w:eastAsia="Times New Roman" w:cs="Calibri"/>
                <w:color w:val="000000"/>
                <w:sz w:val="18"/>
                <w:szCs w:val="18"/>
                <w:lang w:eastAsia="en-AU"/>
              </w:rPr>
              <w:t>Potassium applied to pasture (kg/ha)</w:t>
            </w:r>
          </w:p>
        </w:tc>
        <w:tc>
          <w:tcPr>
            <w:tcW w:w="1520" w:type="dxa"/>
            <w:noWrap/>
            <w:hideMark/>
          </w:tcPr>
          <w:p w14:paraId="11A7D5D4"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14</w:t>
            </w:r>
          </w:p>
        </w:tc>
        <w:tc>
          <w:tcPr>
            <w:tcW w:w="1951" w:type="dxa"/>
            <w:noWrap/>
            <w:hideMark/>
          </w:tcPr>
          <w:p w14:paraId="6EC2EA7F"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10</w:t>
            </w:r>
          </w:p>
        </w:tc>
      </w:tr>
      <w:tr w:rsidR="004914B4" w:rsidRPr="00F41F34" w14:paraId="07157A9F"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2AD53C10" w14:textId="77777777" w:rsidR="004914B4" w:rsidRPr="00161888" w:rsidRDefault="004914B4" w:rsidP="004914B4">
            <w:pPr>
              <w:rPr>
                <w:rFonts w:eastAsia="Times New Roman" w:cs="Calibri"/>
                <w:color w:val="000000"/>
                <w:sz w:val="18"/>
                <w:szCs w:val="18"/>
                <w:lang w:eastAsia="en-AU"/>
              </w:rPr>
            </w:pPr>
            <w:proofErr w:type="spellStart"/>
            <w:r w:rsidRPr="00161888">
              <w:rPr>
                <w:rFonts w:eastAsia="Times New Roman" w:cs="Calibri"/>
                <w:color w:val="000000"/>
                <w:sz w:val="18"/>
                <w:szCs w:val="18"/>
                <w:lang w:eastAsia="en-AU"/>
              </w:rPr>
              <w:t>Sulfur</w:t>
            </w:r>
            <w:proofErr w:type="spellEnd"/>
            <w:r w:rsidRPr="00161888">
              <w:rPr>
                <w:rFonts w:eastAsia="Times New Roman" w:cs="Calibri"/>
                <w:color w:val="000000"/>
                <w:sz w:val="18"/>
                <w:szCs w:val="18"/>
                <w:lang w:eastAsia="en-AU"/>
              </w:rPr>
              <w:t xml:space="preserve"> applied to pasture (kg/ha)</w:t>
            </w:r>
          </w:p>
        </w:tc>
        <w:tc>
          <w:tcPr>
            <w:tcW w:w="1520" w:type="dxa"/>
            <w:noWrap/>
            <w:hideMark/>
          </w:tcPr>
          <w:p w14:paraId="516DE8F6"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12</w:t>
            </w:r>
          </w:p>
        </w:tc>
        <w:tc>
          <w:tcPr>
            <w:tcW w:w="1951" w:type="dxa"/>
            <w:noWrap/>
            <w:hideMark/>
          </w:tcPr>
          <w:p w14:paraId="008EF339"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eastAsia="en-AU"/>
              </w:rPr>
            </w:pPr>
            <w:r w:rsidRPr="00161888">
              <w:rPr>
                <w:rFonts w:eastAsia="Times New Roman" w:cs="Calibri"/>
                <w:color w:val="000000"/>
                <w:sz w:val="18"/>
                <w:szCs w:val="18"/>
                <w:lang w:eastAsia="en-AU"/>
              </w:rPr>
              <w:t>13</w:t>
            </w:r>
          </w:p>
        </w:tc>
      </w:tr>
      <w:tr w:rsidR="004914B4" w:rsidRPr="00F41F34" w14:paraId="2F7C6253"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5E0DDFFB" w14:textId="77777777" w:rsidR="004914B4" w:rsidRPr="00161888" w:rsidRDefault="004914B4" w:rsidP="004914B4">
            <w:pPr>
              <w:rPr>
                <w:rFonts w:eastAsia="Times New Roman" w:cs="Calibri"/>
                <w:sz w:val="18"/>
                <w:szCs w:val="18"/>
                <w:lang w:eastAsia="en-AU"/>
              </w:rPr>
            </w:pPr>
            <w:r w:rsidRPr="00161888">
              <w:rPr>
                <w:rFonts w:eastAsia="Times New Roman" w:cs="Calibri"/>
                <w:sz w:val="18"/>
                <w:szCs w:val="18"/>
                <w:lang w:eastAsia="en-AU"/>
              </w:rPr>
              <w:t>Beef stocking rate (DSE/ha)</w:t>
            </w:r>
          </w:p>
        </w:tc>
        <w:tc>
          <w:tcPr>
            <w:tcW w:w="1520" w:type="dxa"/>
            <w:noWrap/>
            <w:hideMark/>
          </w:tcPr>
          <w:p w14:paraId="55568AB1"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17.9</w:t>
            </w:r>
          </w:p>
        </w:tc>
        <w:tc>
          <w:tcPr>
            <w:tcW w:w="1951" w:type="dxa"/>
            <w:noWrap/>
            <w:hideMark/>
          </w:tcPr>
          <w:p w14:paraId="74139D09"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17.2</w:t>
            </w:r>
          </w:p>
        </w:tc>
      </w:tr>
      <w:tr w:rsidR="004914B4" w:rsidRPr="00F41F34" w14:paraId="4A2A0406"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51D4CDF6" w14:textId="0AE2091B" w:rsidR="004914B4" w:rsidRPr="00161888" w:rsidRDefault="004914B4" w:rsidP="004914B4">
            <w:pPr>
              <w:rPr>
                <w:rFonts w:eastAsia="Times New Roman" w:cs="Calibri"/>
                <w:sz w:val="18"/>
                <w:szCs w:val="18"/>
                <w:lang w:eastAsia="en-AU"/>
              </w:rPr>
            </w:pPr>
            <w:r w:rsidRPr="00161888">
              <w:rPr>
                <w:rFonts w:eastAsia="Times New Roman" w:cs="Calibri"/>
                <w:sz w:val="18"/>
                <w:szCs w:val="18"/>
                <w:lang w:eastAsia="en-AU"/>
              </w:rPr>
              <w:t xml:space="preserve">Prime </w:t>
            </w:r>
            <w:r w:rsidR="006E2A27">
              <w:rPr>
                <w:rFonts w:eastAsia="Times New Roman" w:cs="Calibri"/>
                <w:sz w:val="18"/>
                <w:szCs w:val="18"/>
                <w:lang w:eastAsia="en-AU"/>
              </w:rPr>
              <w:t>l</w:t>
            </w:r>
            <w:r w:rsidRPr="00161888">
              <w:rPr>
                <w:rFonts w:eastAsia="Times New Roman" w:cs="Calibri"/>
                <w:sz w:val="18"/>
                <w:szCs w:val="18"/>
                <w:lang w:eastAsia="en-AU"/>
              </w:rPr>
              <w:t>amb stocking rate (DSE/ha)</w:t>
            </w:r>
          </w:p>
        </w:tc>
        <w:tc>
          <w:tcPr>
            <w:tcW w:w="1520" w:type="dxa"/>
            <w:noWrap/>
            <w:hideMark/>
          </w:tcPr>
          <w:p w14:paraId="6BEE3EF7"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18.4</w:t>
            </w:r>
          </w:p>
        </w:tc>
        <w:tc>
          <w:tcPr>
            <w:tcW w:w="1951" w:type="dxa"/>
            <w:noWrap/>
            <w:hideMark/>
          </w:tcPr>
          <w:p w14:paraId="2DF27973"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18.4</w:t>
            </w:r>
          </w:p>
        </w:tc>
      </w:tr>
      <w:tr w:rsidR="004914B4" w:rsidRPr="00F41F34" w14:paraId="42628338" w14:textId="77777777" w:rsidTr="007E69B9">
        <w:trPr>
          <w:trHeight w:val="30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48E92C73" w14:textId="77777777" w:rsidR="004914B4" w:rsidRPr="00161888" w:rsidRDefault="004914B4" w:rsidP="004914B4">
            <w:pPr>
              <w:rPr>
                <w:rFonts w:eastAsia="Times New Roman" w:cs="Calibri"/>
                <w:sz w:val="18"/>
                <w:szCs w:val="18"/>
                <w:lang w:eastAsia="en-AU"/>
              </w:rPr>
            </w:pPr>
            <w:r w:rsidRPr="00161888">
              <w:rPr>
                <w:rFonts w:eastAsia="Times New Roman" w:cs="Calibri"/>
                <w:sz w:val="18"/>
                <w:szCs w:val="18"/>
                <w:lang w:eastAsia="en-AU"/>
              </w:rPr>
              <w:t>Wool sheep stocking rate (DSE/ha)</w:t>
            </w:r>
          </w:p>
        </w:tc>
        <w:tc>
          <w:tcPr>
            <w:tcW w:w="1520" w:type="dxa"/>
            <w:noWrap/>
            <w:hideMark/>
          </w:tcPr>
          <w:p w14:paraId="345B228D"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15.5</w:t>
            </w:r>
          </w:p>
        </w:tc>
        <w:tc>
          <w:tcPr>
            <w:tcW w:w="1951" w:type="dxa"/>
            <w:noWrap/>
            <w:hideMark/>
          </w:tcPr>
          <w:p w14:paraId="27494ED8" w14:textId="77777777" w:rsidR="004914B4" w:rsidRPr="00161888" w:rsidRDefault="004914B4" w:rsidP="004914B4">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18"/>
                <w:szCs w:val="18"/>
                <w:lang w:eastAsia="en-AU"/>
              </w:rPr>
            </w:pPr>
            <w:r w:rsidRPr="00161888">
              <w:rPr>
                <w:rFonts w:eastAsia="Times New Roman" w:cs="Calibri"/>
                <w:sz w:val="18"/>
                <w:szCs w:val="18"/>
                <w:lang w:eastAsia="en-AU"/>
              </w:rPr>
              <w:t>14.6</w:t>
            </w:r>
          </w:p>
        </w:tc>
      </w:tr>
    </w:tbl>
    <w:p w14:paraId="5D8AD6BF" w14:textId="5C2BB3D9" w:rsidR="00D12059" w:rsidRPr="004914B4" w:rsidRDefault="00D12059" w:rsidP="00D12059"/>
    <w:p w14:paraId="75D70B7F" w14:textId="09F68018" w:rsidR="00E827F7" w:rsidRPr="00F73ED4" w:rsidRDefault="00D12059" w:rsidP="003B049E">
      <w:pPr>
        <w:rPr>
          <w:b/>
          <w:color w:val="FF0000"/>
          <w:szCs w:val="20"/>
        </w:rPr>
      </w:pPr>
      <w:r w:rsidRPr="00F73ED4">
        <w:rPr>
          <w:b/>
          <w:color w:val="FF0000"/>
          <w:szCs w:val="20"/>
        </w:rPr>
        <w:br w:type="page"/>
      </w:r>
    </w:p>
    <w:p w14:paraId="598BBB86" w14:textId="372D44C9" w:rsidR="00B86DAB" w:rsidRPr="0064154B" w:rsidRDefault="00B70C76" w:rsidP="00B86DAB">
      <w:pPr>
        <w:pStyle w:val="Heading1"/>
        <w:keepNext w:val="0"/>
        <w:keepLines w:val="0"/>
        <w:spacing w:before="0" w:after="220" w:line="240" w:lineRule="auto"/>
        <w:rPr>
          <w:rFonts w:ascii="VIC" w:eastAsiaTheme="minorHAnsi" w:hAnsi="VIC" w:cs="VIC-SemiBold"/>
          <w:b/>
          <w:bCs/>
          <w:color w:val="4C7329"/>
          <w:sz w:val="28"/>
          <w:szCs w:val="18"/>
          <w:lang w:val="en-US"/>
        </w:rPr>
      </w:pPr>
      <w:r w:rsidRPr="0064154B">
        <w:rPr>
          <w:rFonts w:ascii="VIC" w:eastAsiaTheme="minorHAnsi" w:hAnsi="VIC" w:cs="VIC-SemiBold"/>
          <w:b/>
          <w:bCs/>
          <w:color w:val="4C7329"/>
          <w:sz w:val="28"/>
          <w:szCs w:val="18"/>
          <w:lang w:val="en-US"/>
        </w:rPr>
        <w:lastRenderedPageBreak/>
        <w:t>Glossary</w:t>
      </w:r>
    </w:p>
    <w:p w14:paraId="710E676D" w14:textId="77777777" w:rsidR="00B70C76" w:rsidRPr="0086214D" w:rsidRDefault="00B70C76" w:rsidP="00B70C76">
      <w:pPr>
        <w:spacing w:after="29"/>
        <w:rPr>
          <w:szCs w:val="20"/>
        </w:rPr>
      </w:pPr>
      <w:r w:rsidRPr="0086214D">
        <w:rPr>
          <w:b/>
          <w:szCs w:val="20"/>
        </w:rPr>
        <w:t xml:space="preserve">Appreciation </w:t>
      </w:r>
    </w:p>
    <w:p w14:paraId="0BD46C5D" w14:textId="5472122E" w:rsidR="00B70C76" w:rsidRPr="0086214D" w:rsidRDefault="00B70C76" w:rsidP="00161888">
      <w:pPr>
        <w:spacing w:after="12"/>
        <w:rPr>
          <w:szCs w:val="20"/>
        </w:rPr>
      </w:pPr>
      <w:r w:rsidRPr="0086214D">
        <w:rPr>
          <w:szCs w:val="20"/>
        </w:rPr>
        <w:t xml:space="preserve">An increase in the value of an asset in the marketplace. </w:t>
      </w:r>
      <w:r w:rsidR="009540A1">
        <w:rPr>
          <w:szCs w:val="20"/>
        </w:rPr>
        <w:t>O</w:t>
      </w:r>
      <w:r w:rsidRPr="0086214D">
        <w:rPr>
          <w:szCs w:val="20"/>
        </w:rPr>
        <w:t>ften only applicable to land value.</w:t>
      </w:r>
    </w:p>
    <w:p w14:paraId="6F4DF390" w14:textId="77777777" w:rsidR="00B70C76" w:rsidRPr="0086214D" w:rsidRDefault="00B70C76" w:rsidP="00B70C76">
      <w:pPr>
        <w:spacing w:after="29"/>
        <w:rPr>
          <w:szCs w:val="20"/>
        </w:rPr>
      </w:pPr>
      <w:r w:rsidRPr="0086214D">
        <w:rPr>
          <w:b/>
          <w:szCs w:val="20"/>
        </w:rPr>
        <w:t>Asset</w:t>
      </w:r>
    </w:p>
    <w:p w14:paraId="1C85DBF8" w14:textId="373057B0" w:rsidR="00B70C76" w:rsidRPr="0086214D" w:rsidRDefault="00B70C76" w:rsidP="00B70C76">
      <w:pPr>
        <w:spacing w:after="207"/>
        <w:rPr>
          <w:szCs w:val="20"/>
        </w:rPr>
      </w:pPr>
      <w:r w:rsidRPr="0086214D">
        <w:rPr>
          <w:szCs w:val="20"/>
        </w:rPr>
        <w:t>Anything managed by the farm, whether it is owned or not. Assets include owned land and buildings, leased land, plant and machinery, fixtures and fittings, trading stock, farm investments (</w:t>
      </w:r>
      <w:r w:rsidR="004C0BB9" w:rsidRPr="0086214D">
        <w:rPr>
          <w:szCs w:val="20"/>
        </w:rPr>
        <w:t>i.e.,</w:t>
      </w:r>
      <w:r w:rsidRPr="0086214D">
        <w:rPr>
          <w:szCs w:val="20"/>
        </w:rPr>
        <w:t xml:space="preserve"> Farm Management Deposits), debtors and cash. </w:t>
      </w:r>
    </w:p>
    <w:p w14:paraId="565467EC" w14:textId="77777777" w:rsidR="00B70C76" w:rsidRPr="0086214D" w:rsidRDefault="00B70C76" w:rsidP="00B70C76">
      <w:pPr>
        <w:spacing w:after="29"/>
        <w:rPr>
          <w:b/>
          <w:szCs w:val="20"/>
        </w:rPr>
      </w:pPr>
      <w:r w:rsidRPr="0086214D">
        <w:rPr>
          <w:b/>
          <w:szCs w:val="20"/>
        </w:rPr>
        <w:t>Average</w:t>
      </w:r>
    </w:p>
    <w:p w14:paraId="7F23B6BA" w14:textId="43E178C3" w:rsidR="00B70C76" w:rsidRPr="0086214D" w:rsidRDefault="00B70C76" w:rsidP="00B70C76">
      <w:pPr>
        <w:spacing w:after="29"/>
        <w:rPr>
          <w:bCs/>
          <w:szCs w:val="20"/>
        </w:rPr>
      </w:pPr>
      <w:r w:rsidRPr="0086214D">
        <w:rPr>
          <w:bCs/>
          <w:szCs w:val="20"/>
        </w:rPr>
        <w:t>The sum of a collection of numbers divided by the count of numbers in the collection</w:t>
      </w:r>
      <w:r w:rsidR="00F21990">
        <w:rPr>
          <w:bCs/>
          <w:szCs w:val="20"/>
        </w:rPr>
        <w:t>.</w:t>
      </w:r>
    </w:p>
    <w:p w14:paraId="1825F04A" w14:textId="77777777" w:rsidR="00B70C76" w:rsidRPr="0086214D" w:rsidRDefault="00B70C76" w:rsidP="00B70C76">
      <w:pPr>
        <w:spacing w:after="29"/>
        <w:rPr>
          <w:bCs/>
          <w:szCs w:val="20"/>
        </w:rPr>
      </w:pPr>
    </w:p>
    <w:p w14:paraId="46297FF1" w14:textId="4736E0FA" w:rsidR="00ED2E2F" w:rsidRPr="0086214D" w:rsidRDefault="00ED2E2F" w:rsidP="00B70C76">
      <w:pPr>
        <w:spacing w:after="29"/>
        <w:rPr>
          <w:b/>
          <w:szCs w:val="20"/>
        </w:rPr>
      </w:pPr>
      <w:r w:rsidRPr="0086214D">
        <w:rPr>
          <w:b/>
          <w:szCs w:val="20"/>
        </w:rPr>
        <w:t>Cash Income</w:t>
      </w:r>
    </w:p>
    <w:p w14:paraId="1F61AAAB" w14:textId="3BE2BCD0" w:rsidR="00ED2E2F" w:rsidRPr="0086214D" w:rsidRDefault="007F1D5A" w:rsidP="00B70C76">
      <w:pPr>
        <w:spacing w:after="29"/>
        <w:rPr>
          <w:bCs/>
          <w:szCs w:val="20"/>
        </w:rPr>
      </w:pPr>
      <w:r w:rsidRPr="0086214D">
        <w:rPr>
          <w:bCs/>
          <w:szCs w:val="20"/>
        </w:rPr>
        <w:t>The sum of all cash</w:t>
      </w:r>
      <w:r w:rsidR="00F3529B" w:rsidRPr="0086214D">
        <w:rPr>
          <w:bCs/>
          <w:szCs w:val="20"/>
        </w:rPr>
        <w:t xml:space="preserve"> income related to the operation of the farm</w:t>
      </w:r>
      <w:r w:rsidR="0046476D" w:rsidRPr="0086214D">
        <w:rPr>
          <w:bCs/>
          <w:szCs w:val="20"/>
        </w:rPr>
        <w:t>/enterprise.</w:t>
      </w:r>
    </w:p>
    <w:p w14:paraId="3D0C474D" w14:textId="77777777" w:rsidR="00ED2E2F" w:rsidRPr="0086214D" w:rsidRDefault="00ED2E2F" w:rsidP="00B70C76">
      <w:pPr>
        <w:spacing w:after="29"/>
        <w:rPr>
          <w:b/>
          <w:szCs w:val="20"/>
        </w:rPr>
      </w:pPr>
    </w:p>
    <w:p w14:paraId="027FFDF6" w14:textId="1DCFC0F0" w:rsidR="00B70C76" w:rsidRPr="0086214D" w:rsidRDefault="00B70C76" w:rsidP="00B70C76">
      <w:pPr>
        <w:spacing w:after="29"/>
        <w:rPr>
          <w:szCs w:val="20"/>
        </w:rPr>
      </w:pPr>
      <w:r w:rsidRPr="0086214D">
        <w:rPr>
          <w:b/>
          <w:szCs w:val="20"/>
        </w:rPr>
        <w:t xml:space="preserve">Cash overheads </w:t>
      </w:r>
    </w:p>
    <w:p w14:paraId="033E66E4" w14:textId="04724797" w:rsidR="00B70C76" w:rsidRPr="0086214D" w:rsidRDefault="00B70C76" w:rsidP="00B70C76">
      <w:pPr>
        <w:spacing w:after="207"/>
        <w:rPr>
          <w:szCs w:val="20"/>
        </w:rPr>
      </w:pPr>
      <w:r w:rsidRPr="0086214D">
        <w:rPr>
          <w:szCs w:val="20"/>
        </w:rPr>
        <w:t>All fixed costs have a cash cost to the business. Includes all overhead costs except imputed labour costs and depreciation.</w:t>
      </w:r>
    </w:p>
    <w:p w14:paraId="0BFDE5DE" w14:textId="2F311F08" w:rsidR="00B70C76" w:rsidRPr="0086214D" w:rsidRDefault="00B70C76" w:rsidP="00B70C76">
      <w:pPr>
        <w:spacing w:after="207"/>
        <w:rPr>
          <w:b/>
          <w:bCs/>
          <w:szCs w:val="20"/>
        </w:rPr>
      </w:pPr>
      <w:r w:rsidRPr="0086214D">
        <w:rPr>
          <w:b/>
          <w:bCs/>
          <w:szCs w:val="20"/>
        </w:rPr>
        <w:t xml:space="preserve">Casual </w:t>
      </w:r>
      <w:r w:rsidR="006225D4">
        <w:rPr>
          <w:b/>
          <w:bCs/>
          <w:szCs w:val="20"/>
        </w:rPr>
        <w:t>l</w:t>
      </w:r>
      <w:r w:rsidRPr="0086214D">
        <w:rPr>
          <w:b/>
          <w:bCs/>
          <w:szCs w:val="20"/>
        </w:rPr>
        <w:t>abour</w:t>
      </w:r>
    </w:p>
    <w:p w14:paraId="26682021" w14:textId="612CC531" w:rsidR="00B70C76" w:rsidRPr="0086214D" w:rsidRDefault="00B70C76" w:rsidP="00B70C76">
      <w:pPr>
        <w:spacing w:after="207"/>
        <w:rPr>
          <w:szCs w:val="20"/>
        </w:rPr>
      </w:pPr>
      <w:r w:rsidRPr="0086214D">
        <w:rPr>
          <w:szCs w:val="20"/>
        </w:rPr>
        <w:t>A casual employee is an employee engaged casually and paid by the hour. Casual loading is paid instead of annual leave,</w:t>
      </w:r>
      <w:r w:rsidR="00607149">
        <w:rPr>
          <w:szCs w:val="20"/>
        </w:rPr>
        <w:t xml:space="preserve"> a</w:t>
      </w:r>
      <w:r w:rsidRPr="0086214D">
        <w:rPr>
          <w:szCs w:val="20"/>
        </w:rPr>
        <w:t xml:space="preserve"> notice of termination, redundancy benefits and other attributes of permanent</w:t>
      </w:r>
      <w:r w:rsidR="00E314B2">
        <w:rPr>
          <w:szCs w:val="20"/>
        </w:rPr>
        <w:t xml:space="preserve"> labour.</w:t>
      </w:r>
    </w:p>
    <w:p w14:paraId="03A563D5" w14:textId="54A0C0C5" w:rsidR="00B70C76" w:rsidRPr="0086214D" w:rsidRDefault="00B70C76" w:rsidP="00B70C76">
      <w:pPr>
        <w:spacing w:after="207"/>
        <w:rPr>
          <w:b/>
          <w:bCs/>
          <w:szCs w:val="20"/>
        </w:rPr>
      </w:pPr>
      <w:r w:rsidRPr="0086214D">
        <w:rPr>
          <w:b/>
          <w:bCs/>
          <w:szCs w:val="20"/>
        </w:rPr>
        <w:t xml:space="preserve">Contract </w:t>
      </w:r>
      <w:r w:rsidR="00E314B2">
        <w:rPr>
          <w:b/>
          <w:bCs/>
          <w:szCs w:val="20"/>
        </w:rPr>
        <w:t>l</w:t>
      </w:r>
      <w:r w:rsidRPr="0086214D">
        <w:rPr>
          <w:b/>
          <w:bCs/>
          <w:szCs w:val="20"/>
        </w:rPr>
        <w:t>abour</w:t>
      </w:r>
    </w:p>
    <w:p w14:paraId="57D48CEE" w14:textId="0A805212" w:rsidR="0074280E" w:rsidRPr="0086214D" w:rsidRDefault="00B70C76" w:rsidP="00B30DB3">
      <w:pPr>
        <w:spacing w:after="207"/>
        <w:rPr>
          <w:b/>
          <w:szCs w:val="20"/>
        </w:rPr>
      </w:pPr>
      <w:r w:rsidRPr="0086214D">
        <w:rPr>
          <w:szCs w:val="20"/>
        </w:rPr>
        <w:t xml:space="preserve">A contractor controls the work to be done and how it is to be performed. They can employ their own staff and can </w:t>
      </w:r>
      <w:r w:rsidR="00607149">
        <w:rPr>
          <w:szCs w:val="20"/>
        </w:rPr>
        <w:t xml:space="preserve"> subcontract</w:t>
      </w:r>
      <w:r w:rsidRPr="0086214D">
        <w:rPr>
          <w:szCs w:val="20"/>
        </w:rPr>
        <w:t xml:space="preserve"> or delegate.</w:t>
      </w:r>
    </w:p>
    <w:p w14:paraId="12C525EE" w14:textId="5A67B696" w:rsidR="00B70C76" w:rsidRPr="0086214D" w:rsidRDefault="00B70C76" w:rsidP="00B70C76">
      <w:pPr>
        <w:spacing w:after="29"/>
        <w:rPr>
          <w:b/>
          <w:szCs w:val="20"/>
        </w:rPr>
      </w:pPr>
      <w:r w:rsidRPr="0086214D">
        <w:rPr>
          <w:b/>
          <w:szCs w:val="20"/>
        </w:rPr>
        <w:t>Concentrate</w:t>
      </w:r>
    </w:p>
    <w:p w14:paraId="304CD8D4" w14:textId="367A4488" w:rsidR="00B70C76" w:rsidRPr="0086214D" w:rsidRDefault="00B70C76" w:rsidP="00B70C76">
      <w:pPr>
        <w:spacing w:after="29"/>
        <w:rPr>
          <w:bCs/>
          <w:szCs w:val="20"/>
        </w:rPr>
      </w:pPr>
      <w:r w:rsidRPr="0086214D">
        <w:rPr>
          <w:bCs/>
          <w:szCs w:val="20"/>
        </w:rPr>
        <w:t>Category of feed that includes grains, oilseeds</w:t>
      </w:r>
      <w:r w:rsidR="4F94930D" w:rsidRPr="0086214D">
        <w:rPr>
          <w:szCs w:val="20"/>
        </w:rPr>
        <w:t>,</w:t>
      </w:r>
      <w:r w:rsidRPr="0086214D">
        <w:rPr>
          <w:bCs/>
          <w:szCs w:val="20"/>
        </w:rPr>
        <w:t xml:space="preserve"> and pellets</w:t>
      </w:r>
      <w:r w:rsidR="00073B93">
        <w:rPr>
          <w:bCs/>
          <w:szCs w:val="20"/>
        </w:rPr>
        <w:t>.</w:t>
      </w:r>
    </w:p>
    <w:p w14:paraId="6848D0E0" w14:textId="77777777" w:rsidR="00B70C76" w:rsidRPr="0086214D" w:rsidRDefault="00B70C76" w:rsidP="00B70C76">
      <w:pPr>
        <w:spacing w:after="29"/>
        <w:rPr>
          <w:szCs w:val="20"/>
        </w:rPr>
      </w:pPr>
      <w:r w:rsidRPr="0086214D">
        <w:rPr>
          <w:b/>
          <w:szCs w:val="20"/>
        </w:rPr>
        <w:t xml:space="preserve">Depreciation </w:t>
      </w:r>
    </w:p>
    <w:p w14:paraId="4C82210D" w14:textId="77777777" w:rsidR="00B70C76" w:rsidRPr="0086214D" w:rsidRDefault="00B70C76" w:rsidP="00B70C76">
      <w:pPr>
        <w:spacing w:after="207"/>
        <w:rPr>
          <w:szCs w:val="20"/>
        </w:rPr>
      </w:pPr>
      <w:r w:rsidRPr="0086214D">
        <w:rPr>
          <w:szCs w:val="20"/>
        </w:rPr>
        <w:t xml:space="preserve">Decrease in value over time of capital asset, usually as a result of using the asset. Depreciation is a non-cash cost of the business but reduces the book value of the asset and is therefore a cost. </w:t>
      </w:r>
    </w:p>
    <w:p w14:paraId="373ADD58" w14:textId="253B1751" w:rsidR="00B70C76" w:rsidRPr="0086214D" w:rsidRDefault="00B70C76" w:rsidP="00B70C76">
      <w:pPr>
        <w:spacing w:after="29"/>
        <w:rPr>
          <w:b/>
          <w:szCs w:val="20"/>
        </w:rPr>
      </w:pPr>
      <w:r w:rsidRPr="0086214D">
        <w:rPr>
          <w:b/>
          <w:szCs w:val="20"/>
        </w:rPr>
        <w:t xml:space="preserve">Dry </w:t>
      </w:r>
      <w:r w:rsidR="00F97995">
        <w:rPr>
          <w:b/>
          <w:szCs w:val="20"/>
        </w:rPr>
        <w:t>s</w:t>
      </w:r>
      <w:r w:rsidRPr="0086214D">
        <w:rPr>
          <w:b/>
          <w:szCs w:val="20"/>
        </w:rPr>
        <w:t xml:space="preserve">heep </w:t>
      </w:r>
      <w:r w:rsidR="00F97995">
        <w:rPr>
          <w:b/>
          <w:szCs w:val="20"/>
        </w:rPr>
        <w:t>e</w:t>
      </w:r>
      <w:r w:rsidRPr="0086214D">
        <w:rPr>
          <w:b/>
          <w:szCs w:val="20"/>
        </w:rPr>
        <w:t>quivalent (DSE)</w:t>
      </w:r>
    </w:p>
    <w:p w14:paraId="684A48D7" w14:textId="764215EE" w:rsidR="00B70C76" w:rsidRPr="0086214D" w:rsidRDefault="00D73484" w:rsidP="00B70C76">
      <w:pPr>
        <w:spacing w:after="29"/>
        <w:rPr>
          <w:bCs/>
          <w:szCs w:val="20"/>
        </w:rPr>
      </w:pPr>
      <w:r>
        <w:rPr>
          <w:bCs/>
          <w:szCs w:val="20"/>
        </w:rPr>
        <w:t>The standard</w:t>
      </w:r>
      <w:r w:rsidRPr="0086214D">
        <w:rPr>
          <w:bCs/>
          <w:szCs w:val="20"/>
        </w:rPr>
        <w:t xml:space="preserve"> </w:t>
      </w:r>
      <w:r w:rsidR="00B70C76" w:rsidRPr="0086214D">
        <w:rPr>
          <w:bCs/>
          <w:szCs w:val="20"/>
        </w:rPr>
        <w:t xml:space="preserve">unit used to compare the </w:t>
      </w:r>
      <w:proofErr w:type="spellStart"/>
      <w:r w:rsidR="00EE3D1B">
        <w:rPr>
          <w:bCs/>
          <w:szCs w:val="20"/>
        </w:rPr>
        <w:t>meta</w:t>
      </w:r>
      <w:r w:rsidR="00450D41">
        <w:rPr>
          <w:bCs/>
          <w:szCs w:val="20"/>
        </w:rPr>
        <w:t>bolisble</w:t>
      </w:r>
      <w:proofErr w:type="spellEnd"/>
      <w:r w:rsidR="00450D41">
        <w:rPr>
          <w:bCs/>
          <w:szCs w:val="20"/>
        </w:rPr>
        <w:t xml:space="preserve"> energy (ME)</w:t>
      </w:r>
      <w:r w:rsidR="00B70C76" w:rsidRPr="0086214D">
        <w:rPr>
          <w:bCs/>
          <w:szCs w:val="20"/>
        </w:rPr>
        <w:t xml:space="preserve"> requirements of different classes of stock for feed budgeting purposes</w:t>
      </w:r>
      <w:r w:rsidR="00073B93">
        <w:rPr>
          <w:bCs/>
          <w:szCs w:val="20"/>
        </w:rPr>
        <w:t>.</w:t>
      </w:r>
    </w:p>
    <w:p w14:paraId="202E60F2" w14:textId="761D4D36" w:rsidR="00B70C76" w:rsidRPr="0086214D" w:rsidRDefault="00B70C76" w:rsidP="00B70C76">
      <w:pPr>
        <w:spacing w:after="29"/>
        <w:rPr>
          <w:szCs w:val="20"/>
        </w:rPr>
      </w:pPr>
      <w:r w:rsidRPr="0086214D">
        <w:rPr>
          <w:b/>
          <w:szCs w:val="20"/>
        </w:rPr>
        <w:t xml:space="preserve">Earnings before interest </w:t>
      </w:r>
      <w:r w:rsidR="00073B93">
        <w:rPr>
          <w:b/>
          <w:szCs w:val="20"/>
        </w:rPr>
        <w:t>and</w:t>
      </w:r>
      <w:r w:rsidRPr="0086214D">
        <w:rPr>
          <w:b/>
          <w:szCs w:val="20"/>
        </w:rPr>
        <w:t xml:space="preserve"> tax (EBIT) </w:t>
      </w:r>
    </w:p>
    <w:p w14:paraId="2E49E6AD" w14:textId="40FAE054" w:rsidR="00B70C76" w:rsidRPr="0086214D" w:rsidRDefault="00B70C76" w:rsidP="00B70C76">
      <w:pPr>
        <w:spacing w:after="207"/>
        <w:rPr>
          <w:szCs w:val="20"/>
        </w:rPr>
      </w:pPr>
      <w:r w:rsidRPr="0086214D">
        <w:rPr>
          <w:szCs w:val="20"/>
        </w:rPr>
        <w:t>Also known as ‘Operating Profit</w:t>
      </w:r>
      <w:r w:rsidR="3E639AD7" w:rsidRPr="0086214D">
        <w:rPr>
          <w:szCs w:val="20"/>
        </w:rPr>
        <w:t>’</w:t>
      </w:r>
      <w:r w:rsidR="002A2C7D" w:rsidRPr="0086214D">
        <w:rPr>
          <w:szCs w:val="20"/>
        </w:rPr>
        <w:t xml:space="preserve"> or</w:t>
      </w:r>
      <w:r w:rsidR="00221B7F" w:rsidRPr="0086214D">
        <w:rPr>
          <w:szCs w:val="20"/>
        </w:rPr>
        <w:t xml:space="preserve"> ‘Profit’</w:t>
      </w:r>
      <w:r w:rsidRPr="0086214D">
        <w:rPr>
          <w:szCs w:val="20"/>
        </w:rPr>
        <w:t xml:space="preserve"> is the return on all the capital used in the business</w:t>
      </w:r>
      <w:r w:rsidR="00736393" w:rsidRPr="0086214D">
        <w:rPr>
          <w:szCs w:val="20"/>
        </w:rPr>
        <w:t xml:space="preserve"> before </w:t>
      </w:r>
      <w:r w:rsidR="002C5D32" w:rsidRPr="0086214D">
        <w:rPr>
          <w:szCs w:val="20"/>
        </w:rPr>
        <w:t>accounting for finance costs.</w:t>
      </w:r>
      <w:r w:rsidRPr="0086214D">
        <w:rPr>
          <w:szCs w:val="20"/>
        </w:rPr>
        <w:t xml:space="preserve"> Calculated as gross farm income minus total variable and total overhead costs.</w:t>
      </w:r>
    </w:p>
    <w:p w14:paraId="64234E9E" w14:textId="77777777" w:rsidR="00B70C76" w:rsidRPr="0086214D" w:rsidRDefault="00B70C76" w:rsidP="00B70C76">
      <w:pPr>
        <w:spacing w:after="29"/>
        <w:rPr>
          <w:szCs w:val="20"/>
        </w:rPr>
      </w:pPr>
      <w:r w:rsidRPr="0086214D">
        <w:rPr>
          <w:b/>
          <w:szCs w:val="20"/>
        </w:rPr>
        <w:t xml:space="preserve">Effective area </w:t>
      </w:r>
    </w:p>
    <w:p w14:paraId="398BE016" w14:textId="77777777" w:rsidR="00B70C76" w:rsidRPr="0086214D" w:rsidRDefault="00B70C76" w:rsidP="00B70C76">
      <w:pPr>
        <w:spacing w:after="207"/>
        <w:rPr>
          <w:szCs w:val="20"/>
        </w:rPr>
      </w:pPr>
      <w:r w:rsidRPr="0086214D">
        <w:rPr>
          <w:szCs w:val="20"/>
        </w:rPr>
        <w:t xml:space="preserve">Total hectares managed minus the area of land which is of little or no value for livestock or crop production. </w:t>
      </w:r>
    </w:p>
    <w:p w14:paraId="462079EB" w14:textId="77777777" w:rsidR="00B70C76" w:rsidRPr="0086214D" w:rsidRDefault="00B70C76" w:rsidP="00B70C76">
      <w:pPr>
        <w:spacing w:after="29"/>
        <w:rPr>
          <w:szCs w:val="20"/>
        </w:rPr>
      </w:pPr>
      <w:r w:rsidRPr="0086214D">
        <w:rPr>
          <w:b/>
          <w:szCs w:val="20"/>
        </w:rPr>
        <w:lastRenderedPageBreak/>
        <w:t xml:space="preserve">Equity </w:t>
      </w:r>
    </w:p>
    <w:p w14:paraId="66F2029D" w14:textId="647AFF73" w:rsidR="00B70C76" w:rsidRPr="0086214D" w:rsidRDefault="00B70C76" w:rsidP="00B70C76">
      <w:pPr>
        <w:spacing w:after="207"/>
        <w:rPr>
          <w:szCs w:val="20"/>
        </w:rPr>
      </w:pPr>
      <w:r w:rsidRPr="0086214D">
        <w:rPr>
          <w:szCs w:val="20"/>
        </w:rPr>
        <w:t>Total assets minus total liabilities. Equal to the total value of capital invested in the farm business by the owner/operator(s).</w:t>
      </w:r>
    </w:p>
    <w:p w14:paraId="6D5B1D7F" w14:textId="77777777" w:rsidR="00B70C76" w:rsidRPr="0086214D" w:rsidRDefault="00B70C76" w:rsidP="00B70C76">
      <w:pPr>
        <w:spacing w:after="29"/>
        <w:rPr>
          <w:szCs w:val="20"/>
        </w:rPr>
      </w:pPr>
      <w:r w:rsidRPr="0086214D">
        <w:rPr>
          <w:b/>
          <w:szCs w:val="20"/>
        </w:rPr>
        <w:t xml:space="preserve">Equity % </w:t>
      </w:r>
    </w:p>
    <w:p w14:paraId="5B877085" w14:textId="77777777" w:rsidR="00B70C76" w:rsidRPr="0086214D" w:rsidRDefault="00B70C76" w:rsidP="00B70C76">
      <w:pPr>
        <w:spacing w:after="12"/>
        <w:rPr>
          <w:szCs w:val="20"/>
        </w:rPr>
      </w:pPr>
      <w:r w:rsidRPr="0086214D">
        <w:rPr>
          <w:szCs w:val="20"/>
        </w:rPr>
        <w:t xml:space="preserve">Total equity as a percentage of the total assets owned. </w:t>
      </w:r>
    </w:p>
    <w:p w14:paraId="75F480FE" w14:textId="77777777" w:rsidR="00B70C76" w:rsidRPr="0086214D" w:rsidRDefault="00B70C76" w:rsidP="00B70C76">
      <w:pPr>
        <w:spacing w:after="200"/>
        <w:rPr>
          <w:szCs w:val="20"/>
        </w:rPr>
      </w:pPr>
      <w:r w:rsidRPr="0086214D">
        <w:rPr>
          <w:szCs w:val="20"/>
        </w:rPr>
        <w:t>The proportion of the total assets owned by the business.</w:t>
      </w:r>
    </w:p>
    <w:p w14:paraId="400598F1" w14:textId="694D9A9F" w:rsidR="00B70C76" w:rsidRPr="0086214D" w:rsidRDefault="00B70C76" w:rsidP="00B70C76">
      <w:pPr>
        <w:spacing w:after="29"/>
        <w:rPr>
          <w:szCs w:val="20"/>
        </w:rPr>
      </w:pPr>
      <w:r w:rsidRPr="0086214D">
        <w:rPr>
          <w:b/>
          <w:szCs w:val="20"/>
        </w:rPr>
        <w:t>Feed inventory change</w:t>
      </w:r>
    </w:p>
    <w:p w14:paraId="31C93B61" w14:textId="77777777" w:rsidR="00B70C76" w:rsidRPr="0086214D" w:rsidRDefault="00B70C76" w:rsidP="00B70C76">
      <w:pPr>
        <w:spacing w:after="207"/>
        <w:rPr>
          <w:szCs w:val="20"/>
        </w:rPr>
      </w:pPr>
      <w:r w:rsidRPr="0086214D">
        <w:rPr>
          <w:szCs w:val="20"/>
        </w:rPr>
        <w:t>An estimate of the feed on hand at the start and end of the financial year.</w:t>
      </w:r>
    </w:p>
    <w:p w14:paraId="0FF7CC50" w14:textId="7BE574F3" w:rsidR="00B70C76" w:rsidRPr="0086214D" w:rsidRDefault="00B70C76" w:rsidP="00B70C76">
      <w:pPr>
        <w:spacing w:after="29"/>
        <w:rPr>
          <w:szCs w:val="20"/>
        </w:rPr>
      </w:pPr>
      <w:r w:rsidRPr="0086214D">
        <w:rPr>
          <w:b/>
          <w:szCs w:val="20"/>
        </w:rPr>
        <w:t>Full time equivalent (FTE)</w:t>
      </w:r>
    </w:p>
    <w:p w14:paraId="3065C4E6" w14:textId="77777777" w:rsidR="00B70C76" w:rsidRPr="0086214D" w:rsidRDefault="00B70C76" w:rsidP="00B70C76">
      <w:pPr>
        <w:spacing w:after="12"/>
        <w:rPr>
          <w:szCs w:val="20"/>
        </w:rPr>
      </w:pPr>
      <w:r w:rsidRPr="0086214D">
        <w:rPr>
          <w:szCs w:val="20"/>
        </w:rPr>
        <w:t xml:space="preserve">Standardised labour unit. Equal to 1,920 hours a year. </w:t>
      </w:r>
    </w:p>
    <w:p w14:paraId="4B3F68FF" w14:textId="77777777" w:rsidR="00B70C76" w:rsidRPr="0086214D" w:rsidRDefault="00B70C76" w:rsidP="00B70C76">
      <w:pPr>
        <w:spacing w:after="200"/>
        <w:rPr>
          <w:szCs w:val="20"/>
        </w:rPr>
      </w:pPr>
      <w:r w:rsidRPr="0086214D">
        <w:rPr>
          <w:szCs w:val="20"/>
        </w:rPr>
        <w:t xml:space="preserve">Calculated as 48 hours a week for 40 weeks a year. </w:t>
      </w:r>
    </w:p>
    <w:p w14:paraId="5AABD660" w14:textId="77777777" w:rsidR="00B70C76" w:rsidRPr="0086214D" w:rsidRDefault="00B70C76" w:rsidP="00B70C76">
      <w:pPr>
        <w:spacing w:after="29"/>
        <w:rPr>
          <w:b/>
          <w:szCs w:val="20"/>
        </w:rPr>
      </w:pPr>
      <w:r w:rsidRPr="0086214D">
        <w:rPr>
          <w:b/>
          <w:szCs w:val="20"/>
        </w:rPr>
        <w:t>Grazed area</w:t>
      </w:r>
    </w:p>
    <w:p w14:paraId="0D4C159E" w14:textId="68FDE90B" w:rsidR="00B70C76" w:rsidRPr="006E2A27" w:rsidRDefault="00B70C76" w:rsidP="006E2A27">
      <w:pPr>
        <w:spacing w:after="207"/>
        <w:rPr>
          <w:szCs w:val="20"/>
        </w:rPr>
      </w:pPr>
      <w:r w:rsidRPr="006E2A27">
        <w:rPr>
          <w:szCs w:val="20"/>
        </w:rPr>
        <w:t xml:space="preserve">Pasture area plus an estimate of annual cropping area grazed. If a farm has multiple livestock enterprises, </w:t>
      </w:r>
      <w:r w:rsidR="00BF6C3A">
        <w:rPr>
          <w:szCs w:val="20"/>
        </w:rPr>
        <w:t xml:space="preserve">the </w:t>
      </w:r>
      <w:r w:rsidRPr="006E2A27">
        <w:rPr>
          <w:szCs w:val="20"/>
        </w:rPr>
        <w:t xml:space="preserve">grazed area is apportioned based on the total annual ME demand of each enterprise. </w:t>
      </w:r>
    </w:p>
    <w:p w14:paraId="24DD004F" w14:textId="47D3D884" w:rsidR="00B70C76" w:rsidRPr="006E2A27" w:rsidRDefault="00B70C76" w:rsidP="006E2A27">
      <w:pPr>
        <w:spacing w:after="29"/>
        <w:rPr>
          <w:b/>
          <w:szCs w:val="20"/>
        </w:rPr>
      </w:pPr>
      <w:r w:rsidRPr="006E2A27">
        <w:rPr>
          <w:b/>
          <w:szCs w:val="20"/>
        </w:rPr>
        <w:t xml:space="preserve">Grazed </w:t>
      </w:r>
      <w:r w:rsidR="00F17900" w:rsidRPr="006E2A27">
        <w:rPr>
          <w:b/>
          <w:szCs w:val="20"/>
        </w:rPr>
        <w:t>pasture utilised</w:t>
      </w:r>
    </w:p>
    <w:p w14:paraId="4D6191F8" w14:textId="65C02663" w:rsidR="00B70C76" w:rsidRPr="0086214D" w:rsidRDefault="00B70C76" w:rsidP="00B70C76">
      <w:pPr>
        <w:rPr>
          <w:szCs w:val="20"/>
        </w:rPr>
      </w:pPr>
      <w:r w:rsidRPr="0086214D">
        <w:rPr>
          <w:szCs w:val="20"/>
        </w:rPr>
        <w:t xml:space="preserve">Calculated using the back-calculation approach. Grazed feed is calculated as the difference between </w:t>
      </w:r>
      <w:r w:rsidR="00BF6C3A">
        <w:rPr>
          <w:szCs w:val="20"/>
        </w:rPr>
        <w:t xml:space="preserve">the </w:t>
      </w:r>
      <w:r w:rsidRPr="0086214D">
        <w:rPr>
          <w:szCs w:val="20"/>
        </w:rPr>
        <w:t xml:space="preserve">total </w:t>
      </w:r>
      <w:proofErr w:type="spellStart"/>
      <w:r w:rsidRPr="0086214D">
        <w:rPr>
          <w:szCs w:val="20"/>
        </w:rPr>
        <w:t>metabolisable</w:t>
      </w:r>
      <w:proofErr w:type="spellEnd"/>
      <w:r w:rsidRPr="0086214D">
        <w:rPr>
          <w:szCs w:val="20"/>
        </w:rPr>
        <w:t xml:space="preserve"> energy required by livestock over the year and</w:t>
      </w:r>
      <w:r w:rsidR="00BF6C3A">
        <w:rPr>
          <w:szCs w:val="20"/>
        </w:rPr>
        <w:t xml:space="preserve"> the</w:t>
      </w:r>
      <w:r w:rsidRPr="0086214D">
        <w:rPr>
          <w:szCs w:val="20"/>
        </w:rPr>
        <w:t xml:space="preserve"> amount of </w:t>
      </w:r>
      <w:proofErr w:type="spellStart"/>
      <w:r w:rsidRPr="0086214D">
        <w:rPr>
          <w:szCs w:val="20"/>
        </w:rPr>
        <w:t>metabolisable</w:t>
      </w:r>
      <w:proofErr w:type="spellEnd"/>
      <w:r w:rsidRPr="0086214D">
        <w:rPr>
          <w:szCs w:val="20"/>
        </w:rPr>
        <w:t xml:space="preserve"> energy consumed from other sources (hay, silage, grain</w:t>
      </w:r>
      <w:r w:rsidR="45DF3AE2" w:rsidRPr="0086214D">
        <w:rPr>
          <w:szCs w:val="20"/>
        </w:rPr>
        <w:t>,</w:t>
      </w:r>
      <w:r w:rsidRPr="0086214D">
        <w:rPr>
          <w:szCs w:val="20"/>
        </w:rPr>
        <w:t xml:space="preserve"> and concentrates). </w:t>
      </w:r>
    </w:p>
    <w:p w14:paraId="3329A492" w14:textId="5DA6B89D" w:rsidR="00B70C76" w:rsidRPr="0086214D" w:rsidRDefault="00CB63F2" w:rsidP="00B70C76">
      <w:pPr>
        <w:rPr>
          <w:szCs w:val="20"/>
        </w:rPr>
      </w:pPr>
      <w:r>
        <w:rPr>
          <w:szCs w:val="20"/>
        </w:rPr>
        <w:t>The total</w:t>
      </w:r>
      <w:r w:rsidRPr="0086214D">
        <w:rPr>
          <w:szCs w:val="20"/>
        </w:rPr>
        <w:t xml:space="preserve"> </w:t>
      </w:r>
      <w:proofErr w:type="spellStart"/>
      <w:r w:rsidR="00B70C76" w:rsidRPr="0086214D">
        <w:rPr>
          <w:szCs w:val="20"/>
        </w:rPr>
        <w:t>metabolisable</w:t>
      </w:r>
      <w:proofErr w:type="spellEnd"/>
      <w:r w:rsidR="00B70C76" w:rsidRPr="0086214D">
        <w:rPr>
          <w:szCs w:val="20"/>
        </w:rPr>
        <w:t xml:space="preserve"> energy required by livestock is a factor of age, weight, growth rate, pregnancy and lactation requirements and </w:t>
      </w:r>
      <w:r>
        <w:rPr>
          <w:szCs w:val="20"/>
        </w:rPr>
        <w:t xml:space="preserve">the </w:t>
      </w:r>
      <w:r w:rsidR="00B70C76" w:rsidRPr="0086214D">
        <w:rPr>
          <w:szCs w:val="20"/>
        </w:rPr>
        <w:t xml:space="preserve">number of animals. </w:t>
      </w:r>
    </w:p>
    <w:p w14:paraId="5F9B47D5" w14:textId="217619C3" w:rsidR="00B70C76" w:rsidRPr="0086214D" w:rsidRDefault="00B70C76" w:rsidP="00B70C76">
      <w:pPr>
        <w:spacing w:after="29"/>
        <w:rPr>
          <w:szCs w:val="20"/>
        </w:rPr>
      </w:pPr>
      <w:r w:rsidRPr="0086214D">
        <w:rPr>
          <w:b/>
          <w:szCs w:val="20"/>
        </w:rPr>
        <w:t xml:space="preserve">Gross </w:t>
      </w:r>
      <w:r w:rsidR="003054DA">
        <w:rPr>
          <w:b/>
          <w:szCs w:val="20"/>
        </w:rPr>
        <w:t>f</w:t>
      </w:r>
      <w:r w:rsidR="00307CD8">
        <w:rPr>
          <w:b/>
          <w:szCs w:val="20"/>
        </w:rPr>
        <w:t xml:space="preserve">arm </w:t>
      </w:r>
      <w:r w:rsidR="003054DA">
        <w:rPr>
          <w:b/>
          <w:szCs w:val="20"/>
        </w:rPr>
        <w:t>i</w:t>
      </w:r>
      <w:r w:rsidRPr="0086214D">
        <w:rPr>
          <w:b/>
          <w:szCs w:val="20"/>
        </w:rPr>
        <w:t>ncome</w:t>
      </w:r>
    </w:p>
    <w:p w14:paraId="631FAB91" w14:textId="60055712" w:rsidR="00B70C76" w:rsidRPr="0086214D" w:rsidRDefault="00B70C76" w:rsidP="00B70C76">
      <w:pPr>
        <w:spacing w:after="207"/>
        <w:rPr>
          <w:szCs w:val="20"/>
        </w:rPr>
      </w:pPr>
      <w:r w:rsidRPr="0086214D">
        <w:rPr>
          <w:szCs w:val="20"/>
        </w:rPr>
        <w:t>The total income, cash</w:t>
      </w:r>
      <w:r w:rsidR="4CEFBE00" w:rsidRPr="0086214D">
        <w:rPr>
          <w:szCs w:val="20"/>
        </w:rPr>
        <w:t>,</w:t>
      </w:r>
      <w:r w:rsidRPr="0086214D">
        <w:rPr>
          <w:szCs w:val="20"/>
        </w:rPr>
        <w:t xml:space="preserve"> and non-cash, received from a farm or enterprise before any expenses are paid.</w:t>
      </w:r>
    </w:p>
    <w:p w14:paraId="5105B6D0" w14:textId="77777777" w:rsidR="00B70C76" w:rsidRPr="0086214D" w:rsidRDefault="00B70C76" w:rsidP="00B70C76">
      <w:pPr>
        <w:spacing w:after="29"/>
        <w:rPr>
          <w:szCs w:val="20"/>
        </w:rPr>
      </w:pPr>
      <w:r w:rsidRPr="0086214D">
        <w:rPr>
          <w:b/>
          <w:szCs w:val="20"/>
        </w:rPr>
        <w:t xml:space="preserve">Gross margin </w:t>
      </w:r>
    </w:p>
    <w:p w14:paraId="63431AEF" w14:textId="77777777" w:rsidR="00B70C76" w:rsidRPr="0086214D" w:rsidRDefault="00B70C76" w:rsidP="00B70C76">
      <w:pPr>
        <w:spacing w:after="200"/>
        <w:rPr>
          <w:szCs w:val="20"/>
        </w:rPr>
      </w:pPr>
      <w:r w:rsidRPr="0086214D">
        <w:rPr>
          <w:szCs w:val="20"/>
        </w:rPr>
        <w:t>Gross farm income minus total variable costs.</w:t>
      </w:r>
    </w:p>
    <w:p w14:paraId="5989261D" w14:textId="77777777" w:rsidR="00041712" w:rsidRPr="0086214D" w:rsidRDefault="00041712" w:rsidP="00041712">
      <w:pPr>
        <w:spacing w:after="29"/>
        <w:rPr>
          <w:szCs w:val="20"/>
        </w:rPr>
      </w:pPr>
      <w:r w:rsidRPr="0086214D">
        <w:rPr>
          <w:b/>
          <w:szCs w:val="20"/>
        </w:rPr>
        <w:t>Imputed</w:t>
      </w:r>
    </w:p>
    <w:p w14:paraId="7D87FE33" w14:textId="327A08ED" w:rsidR="00041712" w:rsidRPr="0086214D" w:rsidRDefault="00041712" w:rsidP="00041712">
      <w:pPr>
        <w:rPr>
          <w:szCs w:val="20"/>
        </w:rPr>
      </w:pPr>
      <w:r w:rsidRPr="0086214D">
        <w:rPr>
          <w:szCs w:val="20"/>
        </w:rPr>
        <w:t>An estimated amount</w:t>
      </w:r>
      <w:r w:rsidR="00CB63F2">
        <w:rPr>
          <w:szCs w:val="20"/>
        </w:rPr>
        <w:t xml:space="preserve"> is</w:t>
      </w:r>
      <w:r w:rsidRPr="0086214D">
        <w:rPr>
          <w:szCs w:val="20"/>
        </w:rPr>
        <w:t xml:space="preserve"> introduced into economic management analysis to allow reasonable comparisons between years and between other businesses.</w:t>
      </w:r>
    </w:p>
    <w:p w14:paraId="652FD84C" w14:textId="77777777" w:rsidR="00041712" w:rsidRPr="0086214D" w:rsidRDefault="00041712" w:rsidP="00041712">
      <w:pPr>
        <w:spacing w:after="29"/>
        <w:rPr>
          <w:szCs w:val="20"/>
        </w:rPr>
      </w:pPr>
      <w:r w:rsidRPr="0086214D">
        <w:rPr>
          <w:b/>
          <w:szCs w:val="20"/>
        </w:rPr>
        <w:t>Interest and lease costs</w:t>
      </w:r>
    </w:p>
    <w:p w14:paraId="7789B97E" w14:textId="5C7899B0" w:rsidR="00041712" w:rsidRPr="0086214D" w:rsidRDefault="00041712" w:rsidP="00041712">
      <w:pPr>
        <w:spacing w:after="200"/>
        <w:rPr>
          <w:szCs w:val="20"/>
        </w:rPr>
      </w:pPr>
      <w:r w:rsidRPr="0086214D">
        <w:rPr>
          <w:szCs w:val="20"/>
        </w:rPr>
        <w:t xml:space="preserve">Total interest plus total lease costs paid. Also known as </w:t>
      </w:r>
      <w:r w:rsidR="0040067F">
        <w:rPr>
          <w:szCs w:val="20"/>
        </w:rPr>
        <w:t>‘</w:t>
      </w:r>
      <w:r w:rsidRPr="0086214D">
        <w:rPr>
          <w:szCs w:val="20"/>
        </w:rPr>
        <w:t xml:space="preserve">finance </w:t>
      </w:r>
      <w:proofErr w:type="gramStart"/>
      <w:r w:rsidRPr="0086214D">
        <w:rPr>
          <w:szCs w:val="20"/>
        </w:rPr>
        <w:t>cost</w:t>
      </w:r>
      <w:r w:rsidR="327C5DAF" w:rsidRPr="0086214D">
        <w:rPr>
          <w:szCs w:val="20"/>
        </w:rPr>
        <w:t>s</w:t>
      </w:r>
      <w:r w:rsidR="0024144A">
        <w:rPr>
          <w:szCs w:val="20"/>
        </w:rPr>
        <w:t>’</w:t>
      </w:r>
      <w:proofErr w:type="gramEnd"/>
      <w:r w:rsidR="007C5E5A">
        <w:rPr>
          <w:szCs w:val="20"/>
        </w:rPr>
        <w:t>.</w:t>
      </w:r>
    </w:p>
    <w:p w14:paraId="799E0776" w14:textId="77777777" w:rsidR="00041712" w:rsidRPr="0086214D" w:rsidRDefault="00041712" w:rsidP="00041712">
      <w:pPr>
        <w:spacing w:after="29"/>
        <w:rPr>
          <w:szCs w:val="20"/>
        </w:rPr>
      </w:pPr>
      <w:r w:rsidRPr="0086214D">
        <w:rPr>
          <w:b/>
          <w:szCs w:val="20"/>
        </w:rPr>
        <w:t>Liability</w:t>
      </w:r>
    </w:p>
    <w:p w14:paraId="4BBC5BD7" w14:textId="19ACE75B" w:rsidR="00BC6C55" w:rsidRPr="008E00AE" w:rsidRDefault="00041712" w:rsidP="008E00AE">
      <w:pPr>
        <w:spacing w:after="207"/>
        <w:rPr>
          <w:szCs w:val="20"/>
        </w:rPr>
      </w:pPr>
      <w:r w:rsidRPr="0086214D">
        <w:rPr>
          <w:szCs w:val="20"/>
        </w:rPr>
        <w:t xml:space="preserve">Money owed to someone else, </w:t>
      </w:r>
      <w:proofErr w:type="gramStart"/>
      <w:r w:rsidR="00F625C4" w:rsidRPr="0086214D">
        <w:rPr>
          <w:szCs w:val="20"/>
        </w:rPr>
        <w:t>e.g.</w:t>
      </w:r>
      <w:proofErr w:type="gramEnd"/>
      <w:r w:rsidRPr="0086214D">
        <w:rPr>
          <w:szCs w:val="20"/>
        </w:rPr>
        <w:t xml:space="preserve"> family or a financial institution. </w:t>
      </w:r>
    </w:p>
    <w:p w14:paraId="658189DE" w14:textId="54834A0B" w:rsidR="00041712" w:rsidRPr="0086214D" w:rsidRDefault="00041712" w:rsidP="00041712">
      <w:pPr>
        <w:spacing w:after="29"/>
        <w:rPr>
          <w:szCs w:val="20"/>
        </w:rPr>
      </w:pPr>
      <w:r w:rsidRPr="0086214D">
        <w:rPr>
          <w:b/>
          <w:szCs w:val="20"/>
        </w:rPr>
        <w:t>Livestock trading profit</w:t>
      </w:r>
    </w:p>
    <w:p w14:paraId="35930462" w14:textId="264DB018" w:rsidR="00041712" w:rsidRPr="0086214D" w:rsidRDefault="00041712" w:rsidP="00041712">
      <w:pPr>
        <w:spacing w:after="207"/>
        <w:rPr>
          <w:szCs w:val="20"/>
        </w:rPr>
      </w:pPr>
      <w:r w:rsidRPr="0086214D">
        <w:rPr>
          <w:szCs w:val="20"/>
        </w:rPr>
        <w:t xml:space="preserve">An estimate of the annual contribution to gross farm income by accounting for the changes in the number and value of livestock during the year. It is calculated as the trading income from sales minus purchases, plus changes in the value and number of livestock on hand at </w:t>
      </w:r>
      <w:r w:rsidRPr="0086214D">
        <w:rPr>
          <w:szCs w:val="20"/>
        </w:rPr>
        <w:lastRenderedPageBreak/>
        <w:t xml:space="preserve">the start and end of the year, and accounting for births and deaths. An increase in livestock trading indicates there was an appreciation </w:t>
      </w:r>
      <w:r w:rsidR="00F91275" w:rsidRPr="0086214D">
        <w:rPr>
          <w:szCs w:val="20"/>
        </w:rPr>
        <w:t xml:space="preserve">in the value </w:t>
      </w:r>
      <w:r w:rsidRPr="0086214D">
        <w:rPr>
          <w:szCs w:val="20"/>
        </w:rPr>
        <w:t xml:space="preserve">of livestock </w:t>
      </w:r>
      <w:r w:rsidR="00F91275" w:rsidRPr="0086214D">
        <w:rPr>
          <w:szCs w:val="20"/>
        </w:rPr>
        <w:t xml:space="preserve">per head </w:t>
      </w:r>
      <w:r w:rsidRPr="0086214D">
        <w:rPr>
          <w:szCs w:val="20"/>
        </w:rPr>
        <w:t>or an increase in livestock numbers over the year.</w:t>
      </w:r>
    </w:p>
    <w:p w14:paraId="641BEB4E" w14:textId="738E3A86" w:rsidR="00041712" w:rsidRPr="0086214D" w:rsidRDefault="00041712" w:rsidP="32BC08B8">
      <w:pPr>
        <w:spacing w:after="29"/>
        <w:rPr>
          <w:b/>
          <w:bCs/>
        </w:rPr>
      </w:pPr>
      <w:proofErr w:type="spellStart"/>
      <w:r w:rsidRPr="0086214D">
        <w:rPr>
          <w:b/>
          <w:bCs/>
        </w:rPr>
        <w:t>Me</w:t>
      </w:r>
      <w:r w:rsidR="00786081" w:rsidRPr="0086214D">
        <w:rPr>
          <w:b/>
          <w:bCs/>
        </w:rPr>
        <w:t>tabolis</w:t>
      </w:r>
      <w:r w:rsidR="38C13BDB" w:rsidRPr="0086214D">
        <w:rPr>
          <w:b/>
          <w:bCs/>
        </w:rPr>
        <w:t>a</w:t>
      </w:r>
      <w:r w:rsidR="00786081" w:rsidRPr="0086214D">
        <w:rPr>
          <w:b/>
          <w:bCs/>
        </w:rPr>
        <w:t>ble</w:t>
      </w:r>
      <w:proofErr w:type="spellEnd"/>
      <w:r w:rsidR="00786081" w:rsidRPr="0086214D">
        <w:rPr>
          <w:b/>
          <w:bCs/>
        </w:rPr>
        <w:t xml:space="preserve"> energy (MJ ME)</w:t>
      </w:r>
    </w:p>
    <w:p w14:paraId="27A9DE0F" w14:textId="5D281670" w:rsidR="00041712" w:rsidRPr="006E2A27" w:rsidRDefault="00786081" w:rsidP="006E2A27">
      <w:pPr>
        <w:spacing w:after="207"/>
        <w:rPr>
          <w:szCs w:val="20"/>
        </w:rPr>
      </w:pPr>
      <w:r w:rsidRPr="0086214D">
        <w:rPr>
          <w:bCs/>
          <w:szCs w:val="20"/>
        </w:rPr>
        <w:t xml:space="preserve">The energy available for use by the </w:t>
      </w:r>
      <w:r w:rsidR="000A15D9" w:rsidRPr="0086214D">
        <w:rPr>
          <w:bCs/>
          <w:szCs w:val="20"/>
        </w:rPr>
        <w:t>animal</w:t>
      </w:r>
      <w:r w:rsidR="00540905" w:rsidRPr="0086214D">
        <w:rPr>
          <w:bCs/>
          <w:szCs w:val="20"/>
        </w:rPr>
        <w:t>.</w:t>
      </w:r>
      <w:r w:rsidRPr="0086214D">
        <w:rPr>
          <w:bCs/>
          <w:szCs w:val="20"/>
        </w:rPr>
        <w:t xml:space="preserve"> </w:t>
      </w:r>
      <w:r w:rsidR="00540905" w:rsidRPr="0086214D">
        <w:rPr>
          <w:bCs/>
          <w:szCs w:val="20"/>
        </w:rPr>
        <w:t>I</w:t>
      </w:r>
      <w:r w:rsidRPr="0086214D">
        <w:rPr>
          <w:bCs/>
          <w:szCs w:val="20"/>
        </w:rPr>
        <w:t>t is the energy used for maintenance of body systems, activity, milk production, pregnancy and weight gain</w:t>
      </w:r>
      <w:r w:rsidR="00540905" w:rsidRPr="0086214D">
        <w:rPr>
          <w:bCs/>
          <w:szCs w:val="20"/>
        </w:rPr>
        <w:t xml:space="preserve">. </w:t>
      </w:r>
      <w:proofErr w:type="spellStart"/>
      <w:r w:rsidR="007E6F2C" w:rsidRPr="0086214D">
        <w:rPr>
          <w:bCs/>
          <w:szCs w:val="20"/>
        </w:rPr>
        <w:t>Metabolisable</w:t>
      </w:r>
      <w:proofErr w:type="spellEnd"/>
      <w:r w:rsidR="00540905" w:rsidRPr="0086214D">
        <w:rPr>
          <w:bCs/>
          <w:szCs w:val="20"/>
        </w:rPr>
        <w:t xml:space="preserve"> </w:t>
      </w:r>
      <w:r w:rsidR="007E6F2C" w:rsidRPr="0086214D">
        <w:rPr>
          <w:bCs/>
          <w:szCs w:val="20"/>
        </w:rPr>
        <w:t>is</w:t>
      </w:r>
      <w:r w:rsidR="00540905" w:rsidRPr="0086214D">
        <w:rPr>
          <w:bCs/>
          <w:szCs w:val="20"/>
        </w:rPr>
        <w:t xml:space="preserve"> net of</w:t>
      </w:r>
      <w:r w:rsidR="00C109B0" w:rsidRPr="0086214D">
        <w:rPr>
          <w:bCs/>
          <w:szCs w:val="20"/>
        </w:rPr>
        <w:t xml:space="preserve"> energy lost in the form of urine and methane gas </w:t>
      </w:r>
      <w:r w:rsidR="00C109B0" w:rsidRPr="006E2A27">
        <w:rPr>
          <w:szCs w:val="20"/>
        </w:rPr>
        <w:t>released by rumen and hind</w:t>
      </w:r>
      <w:r w:rsidR="00643F76" w:rsidRPr="006E2A27">
        <w:rPr>
          <w:szCs w:val="20"/>
        </w:rPr>
        <w:t>-</w:t>
      </w:r>
      <w:r w:rsidR="00C109B0" w:rsidRPr="006E2A27">
        <w:rPr>
          <w:szCs w:val="20"/>
        </w:rPr>
        <w:t>gut microbes</w:t>
      </w:r>
      <w:r w:rsidR="00A5146B" w:rsidRPr="006E2A27">
        <w:rPr>
          <w:szCs w:val="20"/>
        </w:rPr>
        <w:t>.</w:t>
      </w:r>
    </w:p>
    <w:p w14:paraId="3AB8A5BD" w14:textId="77777777" w:rsidR="00041712" w:rsidRPr="006E2A27" w:rsidRDefault="00041712" w:rsidP="006E2A27">
      <w:pPr>
        <w:spacing w:after="29"/>
        <w:rPr>
          <w:b/>
          <w:szCs w:val="20"/>
        </w:rPr>
      </w:pPr>
      <w:r w:rsidRPr="006E2A27">
        <w:rPr>
          <w:b/>
          <w:szCs w:val="20"/>
        </w:rPr>
        <w:t>Net farm income</w:t>
      </w:r>
    </w:p>
    <w:p w14:paraId="58BB17A7" w14:textId="77777777" w:rsidR="00041712" w:rsidRPr="0086214D" w:rsidRDefault="00041712" w:rsidP="00041712">
      <w:pPr>
        <w:spacing w:after="207"/>
        <w:rPr>
          <w:szCs w:val="20"/>
        </w:rPr>
      </w:pPr>
      <w:r w:rsidRPr="0086214D">
        <w:rPr>
          <w:szCs w:val="20"/>
        </w:rPr>
        <w:t xml:space="preserve">Earnings before interest and tax (EBIT) minus interest and lease costs. The amount of profit available for capital investment, loan principal repayments and tax. </w:t>
      </w:r>
    </w:p>
    <w:p w14:paraId="1C875343" w14:textId="77777777" w:rsidR="00041712" w:rsidRPr="0086214D" w:rsidRDefault="00041712" w:rsidP="00041712">
      <w:pPr>
        <w:spacing w:after="29"/>
        <w:rPr>
          <w:szCs w:val="20"/>
        </w:rPr>
      </w:pPr>
      <w:r w:rsidRPr="0086214D">
        <w:rPr>
          <w:b/>
          <w:szCs w:val="20"/>
        </w:rPr>
        <w:t>Nominal terms</w:t>
      </w:r>
    </w:p>
    <w:p w14:paraId="0E91F2E8" w14:textId="77777777" w:rsidR="00041712" w:rsidRPr="0086214D" w:rsidRDefault="00041712" w:rsidP="00041712">
      <w:pPr>
        <w:spacing w:after="207"/>
        <w:rPr>
          <w:szCs w:val="20"/>
        </w:rPr>
      </w:pPr>
      <w:r w:rsidRPr="0086214D">
        <w:rPr>
          <w:szCs w:val="20"/>
        </w:rPr>
        <w:t xml:space="preserve">Dollar values or interest rates that include an inflation component. </w:t>
      </w:r>
    </w:p>
    <w:p w14:paraId="206D26B5" w14:textId="77777777" w:rsidR="00B70C76" w:rsidRPr="0086214D" w:rsidRDefault="00B70C76" w:rsidP="00B70C76">
      <w:pPr>
        <w:spacing w:after="29"/>
        <w:rPr>
          <w:szCs w:val="20"/>
        </w:rPr>
      </w:pPr>
      <w:r w:rsidRPr="0086214D">
        <w:rPr>
          <w:b/>
          <w:szCs w:val="20"/>
        </w:rPr>
        <w:t>Livestock costs</w:t>
      </w:r>
    </w:p>
    <w:p w14:paraId="1672A61A" w14:textId="19344F8C" w:rsidR="00B70C76" w:rsidRPr="0086214D" w:rsidRDefault="00B70C76" w:rsidP="00B70C76">
      <w:pPr>
        <w:spacing w:after="207"/>
        <w:rPr>
          <w:szCs w:val="20"/>
        </w:rPr>
      </w:pPr>
      <w:r w:rsidRPr="0086214D">
        <w:rPr>
          <w:szCs w:val="20"/>
        </w:rPr>
        <w:t>All expenses relating to assisting with herd and flock management. Includes animal health costs and shearing contractors.</w:t>
      </w:r>
    </w:p>
    <w:p w14:paraId="08C39618" w14:textId="0409914D" w:rsidR="00B70C76" w:rsidRPr="0086214D" w:rsidRDefault="00B70C76" w:rsidP="00B70C76">
      <w:pPr>
        <w:spacing w:after="207"/>
        <w:rPr>
          <w:b/>
          <w:bCs/>
          <w:szCs w:val="20"/>
        </w:rPr>
      </w:pPr>
      <w:r w:rsidRPr="0086214D">
        <w:rPr>
          <w:b/>
          <w:bCs/>
          <w:szCs w:val="20"/>
        </w:rPr>
        <w:t xml:space="preserve">Livestock </w:t>
      </w:r>
      <w:r w:rsidR="00613D9F">
        <w:rPr>
          <w:b/>
          <w:bCs/>
          <w:szCs w:val="20"/>
        </w:rPr>
        <w:t>m</w:t>
      </w:r>
      <w:r w:rsidRPr="0086214D">
        <w:rPr>
          <w:b/>
          <w:bCs/>
          <w:szCs w:val="20"/>
        </w:rPr>
        <w:t xml:space="preserve">arketing </w:t>
      </w:r>
      <w:r w:rsidR="00613D9F">
        <w:rPr>
          <w:b/>
          <w:bCs/>
          <w:szCs w:val="20"/>
        </w:rPr>
        <w:t>c</w:t>
      </w:r>
      <w:r w:rsidRPr="0086214D">
        <w:rPr>
          <w:b/>
          <w:bCs/>
          <w:szCs w:val="20"/>
        </w:rPr>
        <w:t>osts</w:t>
      </w:r>
      <w:r w:rsidRPr="0086214D">
        <w:rPr>
          <w:b/>
          <w:bCs/>
          <w:szCs w:val="20"/>
        </w:rPr>
        <w:br/>
      </w:r>
      <w:r w:rsidRPr="0086214D">
        <w:rPr>
          <w:szCs w:val="20"/>
        </w:rPr>
        <w:t>All costs associated with buying and selling livestock including freight and cartage.</w:t>
      </w:r>
    </w:p>
    <w:p w14:paraId="66567040" w14:textId="06DC7E43" w:rsidR="00433C8A" w:rsidRPr="0086214D" w:rsidRDefault="00433C8A" w:rsidP="002C053D">
      <w:pPr>
        <w:spacing w:after="207"/>
        <w:rPr>
          <w:szCs w:val="20"/>
        </w:rPr>
      </w:pPr>
      <w:r w:rsidRPr="0086214D">
        <w:rPr>
          <w:b/>
          <w:bCs/>
          <w:szCs w:val="20"/>
        </w:rPr>
        <w:t>Operating costs</w:t>
      </w:r>
      <w:r w:rsidRPr="0086214D">
        <w:rPr>
          <w:b/>
          <w:bCs/>
          <w:szCs w:val="20"/>
        </w:rPr>
        <w:br/>
      </w:r>
      <w:r w:rsidR="00002BC6" w:rsidRPr="0086214D">
        <w:rPr>
          <w:szCs w:val="20"/>
        </w:rPr>
        <w:t xml:space="preserve">Overhead and </w:t>
      </w:r>
      <w:r w:rsidR="00667115" w:rsidRPr="0086214D">
        <w:rPr>
          <w:szCs w:val="20"/>
        </w:rPr>
        <w:t>v</w:t>
      </w:r>
      <w:r w:rsidR="00002BC6" w:rsidRPr="0086214D">
        <w:rPr>
          <w:szCs w:val="20"/>
        </w:rPr>
        <w:t>ariable costs</w:t>
      </w:r>
      <w:r w:rsidR="008B03D2">
        <w:rPr>
          <w:szCs w:val="20"/>
        </w:rPr>
        <w:t>,</w:t>
      </w:r>
      <w:r w:rsidR="00002BC6" w:rsidRPr="0086214D">
        <w:rPr>
          <w:szCs w:val="20"/>
        </w:rPr>
        <w:t xml:space="preserve"> </w:t>
      </w:r>
      <w:proofErr w:type="gramStart"/>
      <w:r w:rsidR="003D1339" w:rsidRPr="0086214D">
        <w:rPr>
          <w:szCs w:val="20"/>
        </w:rPr>
        <w:t>i.e</w:t>
      </w:r>
      <w:r w:rsidR="00667115" w:rsidRPr="0086214D">
        <w:rPr>
          <w:szCs w:val="20"/>
        </w:rPr>
        <w:t>.</w:t>
      </w:r>
      <w:proofErr w:type="gramEnd"/>
      <w:r w:rsidR="00667115" w:rsidRPr="0086214D">
        <w:rPr>
          <w:szCs w:val="20"/>
        </w:rPr>
        <w:t xml:space="preserve"> </w:t>
      </w:r>
      <w:r w:rsidR="008B03D2">
        <w:rPr>
          <w:szCs w:val="20"/>
        </w:rPr>
        <w:t>t</w:t>
      </w:r>
      <w:r w:rsidR="00667115" w:rsidRPr="0086214D">
        <w:rPr>
          <w:szCs w:val="20"/>
        </w:rPr>
        <w:t>he</w:t>
      </w:r>
      <w:r w:rsidR="003D1339" w:rsidRPr="0086214D">
        <w:rPr>
          <w:szCs w:val="20"/>
        </w:rPr>
        <w:t xml:space="preserve"> </w:t>
      </w:r>
      <w:r w:rsidR="00667115" w:rsidRPr="0086214D">
        <w:rPr>
          <w:szCs w:val="20"/>
        </w:rPr>
        <w:t>c</w:t>
      </w:r>
      <w:r w:rsidR="000A5B17" w:rsidRPr="0086214D">
        <w:rPr>
          <w:szCs w:val="20"/>
        </w:rPr>
        <w:t>osts associated with the</w:t>
      </w:r>
      <w:r w:rsidR="00667115" w:rsidRPr="0086214D">
        <w:rPr>
          <w:szCs w:val="20"/>
        </w:rPr>
        <w:t xml:space="preserve"> annual</w:t>
      </w:r>
      <w:r w:rsidR="000A5B17" w:rsidRPr="0086214D">
        <w:rPr>
          <w:szCs w:val="20"/>
        </w:rPr>
        <w:t xml:space="preserve"> operation of the</w:t>
      </w:r>
      <w:r w:rsidR="00002BC6" w:rsidRPr="0086214D">
        <w:rPr>
          <w:szCs w:val="20"/>
        </w:rPr>
        <w:t xml:space="preserve"> farm. </w:t>
      </w:r>
    </w:p>
    <w:p w14:paraId="6EAABE90" w14:textId="77777777" w:rsidR="000D6CFB" w:rsidRPr="0086214D" w:rsidRDefault="000D6CFB" w:rsidP="000D6CFB">
      <w:pPr>
        <w:spacing w:after="29"/>
        <w:rPr>
          <w:szCs w:val="20"/>
        </w:rPr>
      </w:pPr>
      <w:r w:rsidRPr="0086214D">
        <w:rPr>
          <w:b/>
          <w:szCs w:val="20"/>
        </w:rPr>
        <w:t>Overhead costs</w:t>
      </w:r>
    </w:p>
    <w:p w14:paraId="275D7B6C" w14:textId="3A3F6942" w:rsidR="000D6CFB" w:rsidRPr="0086214D" w:rsidRDefault="000D6CFB" w:rsidP="000D6CFB">
      <w:pPr>
        <w:spacing w:after="207"/>
        <w:rPr>
          <w:szCs w:val="20"/>
        </w:rPr>
      </w:pPr>
      <w:r w:rsidRPr="0086214D">
        <w:rPr>
          <w:szCs w:val="20"/>
        </w:rPr>
        <w:t>All fixed costs incurred by the farm business that do not vary with the level of production. These include cash overhead costs such as permanent labour and noncash costs such as owner-operator labour, family labour and depreciation of plant and equipment. It excludes interest, lease costs, capital expenditure, principal repayments, drawings</w:t>
      </w:r>
      <w:r w:rsidR="500FF8C0" w:rsidRPr="0086214D">
        <w:rPr>
          <w:szCs w:val="20"/>
        </w:rPr>
        <w:t>,</w:t>
      </w:r>
      <w:r w:rsidRPr="0086214D">
        <w:rPr>
          <w:szCs w:val="20"/>
        </w:rPr>
        <w:t xml:space="preserve"> and tax.</w:t>
      </w:r>
    </w:p>
    <w:p w14:paraId="15FF2C29" w14:textId="3C6594D4" w:rsidR="00101373" w:rsidRPr="0086214D" w:rsidRDefault="00101373" w:rsidP="00101373">
      <w:pPr>
        <w:spacing w:after="29"/>
        <w:rPr>
          <w:szCs w:val="20"/>
        </w:rPr>
      </w:pPr>
      <w:r w:rsidRPr="0086214D">
        <w:rPr>
          <w:b/>
          <w:szCs w:val="20"/>
        </w:rPr>
        <w:t>Owner/Operator labour</w:t>
      </w:r>
    </w:p>
    <w:p w14:paraId="794DE560" w14:textId="7D64AAC1" w:rsidR="00101373" w:rsidRPr="0086214D" w:rsidRDefault="00101373" w:rsidP="00101373">
      <w:pPr>
        <w:spacing w:after="207"/>
        <w:rPr>
          <w:szCs w:val="20"/>
        </w:rPr>
      </w:pPr>
      <w:r w:rsidRPr="0086214D">
        <w:rPr>
          <w:szCs w:val="20"/>
        </w:rPr>
        <w:t xml:space="preserve">Staff members (such as </w:t>
      </w:r>
      <w:r w:rsidR="003C7726">
        <w:rPr>
          <w:szCs w:val="20"/>
        </w:rPr>
        <w:t>f</w:t>
      </w:r>
      <w:r w:rsidRPr="0086214D">
        <w:rPr>
          <w:szCs w:val="20"/>
        </w:rPr>
        <w:t>amily) that take income from business drawings rather than wages. The operators</w:t>
      </w:r>
      <w:r w:rsidR="00545711">
        <w:rPr>
          <w:szCs w:val="20"/>
        </w:rPr>
        <w:t>’</w:t>
      </w:r>
      <w:r w:rsidRPr="0086214D">
        <w:rPr>
          <w:szCs w:val="20"/>
        </w:rPr>
        <w:t xml:space="preserve"> labour and management are an input to make a profit and so these must be costed and deducted to estimate the true profit and return to the capital in the business. </w:t>
      </w:r>
    </w:p>
    <w:p w14:paraId="1B3AA883" w14:textId="2F3EA26C" w:rsidR="00177EE7" w:rsidRPr="0086214D" w:rsidRDefault="002C053D" w:rsidP="00667115">
      <w:pPr>
        <w:spacing w:after="207"/>
        <w:rPr>
          <w:szCs w:val="20"/>
        </w:rPr>
      </w:pPr>
      <w:r w:rsidRPr="0086214D">
        <w:rPr>
          <w:b/>
          <w:bCs/>
          <w:szCs w:val="20"/>
        </w:rPr>
        <w:t>Pasture costs</w:t>
      </w:r>
      <w:r w:rsidRPr="0086214D">
        <w:rPr>
          <w:b/>
          <w:bCs/>
          <w:szCs w:val="20"/>
        </w:rPr>
        <w:br/>
      </w:r>
      <w:r w:rsidRPr="0086214D">
        <w:rPr>
          <w:szCs w:val="20"/>
        </w:rPr>
        <w:t>All costs associated with growing pasture including fertiliser, seed and chemical</w:t>
      </w:r>
      <w:r w:rsidR="00C8202A">
        <w:rPr>
          <w:szCs w:val="20"/>
        </w:rPr>
        <w:t>s</w:t>
      </w:r>
      <w:r w:rsidRPr="0086214D">
        <w:rPr>
          <w:szCs w:val="20"/>
        </w:rPr>
        <w:t>.</w:t>
      </w:r>
    </w:p>
    <w:p w14:paraId="68184E99" w14:textId="7E424AE7" w:rsidR="00113297" w:rsidRPr="0086214D" w:rsidRDefault="00113297" w:rsidP="00113297">
      <w:pPr>
        <w:spacing w:after="207"/>
        <w:rPr>
          <w:szCs w:val="20"/>
        </w:rPr>
      </w:pPr>
      <w:r w:rsidRPr="0086214D">
        <w:rPr>
          <w:b/>
          <w:bCs/>
          <w:szCs w:val="20"/>
        </w:rPr>
        <w:t xml:space="preserve">Permanent </w:t>
      </w:r>
      <w:r w:rsidR="00655FEF">
        <w:rPr>
          <w:b/>
          <w:bCs/>
          <w:szCs w:val="20"/>
        </w:rPr>
        <w:t>l</w:t>
      </w:r>
      <w:r w:rsidRPr="0086214D">
        <w:rPr>
          <w:b/>
          <w:bCs/>
          <w:szCs w:val="20"/>
        </w:rPr>
        <w:t>abour</w:t>
      </w:r>
      <w:r w:rsidRPr="0086214D">
        <w:rPr>
          <w:b/>
          <w:bCs/>
          <w:szCs w:val="20"/>
        </w:rPr>
        <w:br/>
      </w:r>
      <w:r w:rsidRPr="0086214D">
        <w:rPr>
          <w:szCs w:val="20"/>
        </w:rPr>
        <w:t xml:space="preserve">Farm staff who have an ongoing expectation of work, generally work standard or set hours, </w:t>
      </w:r>
      <w:r w:rsidR="00A90BA5">
        <w:rPr>
          <w:szCs w:val="20"/>
        </w:rPr>
        <w:t xml:space="preserve">are </w:t>
      </w:r>
      <w:r w:rsidRPr="0086214D">
        <w:rPr>
          <w:szCs w:val="20"/>
        </w:rPr>
        <w:t>entitled to paid leave and notice of termination</w:t>
      </w:r>
      <w:r w:rsidR="00E314B2">
        <w:rPr>
          <w:szCs w:val="20"/>
        </w:rPr>
        <w:t>.</w:t>
      </w:r>
    </w:p>
    <w:p w14:paraId="2BB18DD5" w14:textId="75EE377F" w:rsidR="00462A0A" w:rsidRPr="0086214D" w:rsidRDefault="00A403B2" w:rsidP="00113297">
      <w:pPr>
        <w:spacing w:after="207"/>
        <w:rPr>
          <w:b/>
          <w:bCs/>
          <w:szCs w:val="20"/>
        </w:rPr>
      </w:pPr>
      <w:r w:rsidRPr="0086214D">
        <w:rPr>
          <w:b/>
          <w:bCs/>
          <w:szCs w:val="20"/>
        </w:rPr>
        <w:t>Profit</w:t>
      </w:r>
      <w:r w:rsidR="00C8102E" w:rsidRPr="0086214D">
        <w:rPr>
          <w:b/>
          <w:bCs/>
          <w:szCs w:val="20"/>
        </w:rPr>
        <w:t xml:space="preserve"> </w:t>
      </w:r>
      <w:r w:rsidR="006D2E74" w:rsidRPr="0086214D">
        <w:rPr>
          <w:b/>
          <w:bCs/>
          <w:szCs w:val="20"/>
        </w:rPr>
        <w:t>(s)</w:t>
      </w:r>
      <w:r w:rsidR="00251117" w:rsidRPr="0086214D">
        <w:rPr>
          <w:b/>
          <w:bCs/>
          <w:szCs w:val="20"/>
        </w:rPr>
        <w:t xml:space="preserve"> </w:t>
      </w:r>
    </w:p>
    <w:p w14:paraId="702C7AF0" w14:textId="5A2E660B" w:rsidR="00221B7F" w:rsidRPr="0086214D" w:rsidRDefault="00221B7F" w:rsidP="00113297">
      <w:pPr>
        <w:spacing w:after="207"/>
        <w:rPr>
          <w:szCs w:val="20"/>
        </w:rPr>
      </w:pPr>
      <w:r w:rsidRPr="00161888">
        <w:rPr>
          <w:i/>
          <w:iCs/>
          <w:szCs w:val="20"/>
        </w:rPr>
        <w:t xml:space="preserve">See Earnings before interest </w:t>
      </w:r>
      <w:r w:rsidR="003C7726" w:rsidRPr="00161888">
        <w:rPr>
          <w:i/>
          <w:iCs/>
          <w:szCs w:val="20"/>
        </w:rPr>
        <w:t>and</w:t>
      </w:r>
      <w:r w:rsidRPr="00161888">
        <w:rPr>
          <w:i/>
          <w:iCs/>
          <w:szCs w:val="20"/>
        </w:rPr>
        <w:t xml:space="preserve"> tax (EBIT)</w:t>
      </w:r>
      <w:r w:rsidR="00BC6C55" w:rsidRPr="0086214D">
        <w:rPr>
          <w:szCs w:val="20"/>
        </w:rPr>
        <w:t>.</w:t>
      </w:r>
    </w:p>
    <w:p w14:paraId="418FDC4D" w14:textId="2590D18D" w:rsidR="00B70C76" w:rsidRPr="0086214D" w:rsidRDefault="00B70C76" w:rsidP="00B70C76">
      <w:pPr>
        <w:spacing w:after="29"/>
        <w:rPr>
          <w:szCs w:val="20"/>
        </w:rPr>
      </w:pPr>
      <w:r w:rsidRPr="0086214D">
        <w:rPr>
          <w:b/>
          <w:szCs w:val="20"/>
        </w:rPr>
        <w:t>Real terms</w:t>
      </w:r>
    </w:p>
    <w:p w14:paraId="4703549B" w14:textId="77777777" w:rsidR="00B70C76" w:rsidRPr="0086214D" w:rsidRDefault="00B70C76" w:rsidP="00B70C76">
      <w:pPr>
        <w:spacing w:after="207"/>
        <w:rPr>
          <w:szCs w:val="20"/>
        </w:rPr>
      </w:pPr>
      <w:r w:rsidRPr="0086214D">
        <w:rPr>
          <w:szCs w:val="20"/>
        </w:rPr>
        <w:t>Dollar values or interest rates that have no inflation component.</w:t>
      </w:r>
    </w:p>
    <w:p w14:paraId="65D1A7F5" w14:textId="77777777" w:rsidR="00B70C76" w:rsidRPr="0086214D" w:rsidRDefault="00B70C76" w:rsidP="00B70C76">
      <w:pPr>
        <w:spacing w:after="29"/>
        <w:rPr>
          <w:szCs w:val="20"/>
        </w:rPr>
      </w:pPr>
      <w:r w:rsidRPr="0086214D">
        <w:rPr>
          <w:b/>
          <w:szCs w:val="20"/>
        </w:rPr>
        <w:lastRenderedPageBreak/>
        <w:t xml:space="preserve">Return on equity (ROE) </w:t>
      </w:r>
    </w:p>
    <w:p w14:paraId="37254031" w14:textId="5F79408C" w:rsidR="00B70C76" w:rsidRPr="0086214D" w:rsidRDefault="00B70C76" w:rsidP="00B70C76">
      <w:pPr>
        <w:spacing w:after="200"/>
        <w:rPr>
          <w:szCs w:val="20"/>
        </w:rPr>
      </w:pPr>
      <w:r w:rsidRPr="0086214D">
        <w:rPr>
          <w:szCs w:val="20"/>
        </w:rPr>
        <w:t>Net farm income</w:t>
      </w:r>
      <w:r w:rsidR="00395FFC">
        <w:rPr>
          <w:szCs w:val="20"/>
        </w:rPr>
        <w:t xml:space="preserve"> </w:t>
      </w:r>
      <w:r w:rsidRPr="0086214D">
        <w:rPr>
          <w:szCs w:val="20"/>
        </w:rPr>
        <w:t>divided by the value of total equity.</w:t>
      </w:r>
    </w:p>
    <w:p w14:paraId="2B1C57A4" w14:textId="661A88F2" w:rsidR="00B70C76" w:rsidRPr="0086214D" w:rsidRDefault="00B70C76" w:rsidP="00B70C76">
      <w:pPr>
        <w:spacing w:after="29"/>
        <w:rPr>
          <w:szCs w:val="20"/>
        </w:rPr>
      </w:pPr>
      <w:r w:rsidRPr="0086214D">
        <w:rPr>
          <w:b/>
          <w:szCs w:val="20"/>
        </w:rPr>
        <w:t xml:space="preserve">Return on assets (ROA) </w:t>
      </w:r>
    </w:p>
    <w:p w14:paraId="795AFF1F" w14:textId="49AE1C58" w:rsidR="00B70C76" w:rsidRPr="0086214D" w:rsidRDefault="00B70C76" w:rsidP="00B70C76">
      <w:pPr>
        <w:spacing w:after="207"/>
        <w:rPr>
          <w:szCs w:val="20"/>
        </w:rPr>
      </w:pPr>
      <w:r w:rsidRPr="0086214D">
        <w:rPr>
          <w:szCs w:val="20"/>
        </w:rPr>
        <w:t>Earnings before interest and tax divided by the value of total assets under management, including owned and leased land.</w:t>
      </w:r>
    </w:p>
    <w:p w14:paraId="32FA5295" w14:textId="77777777" w:rsidR="00B70C76" w:rsidRPr="0086214D" w:rsidRDefault="00B70C76" w:rsidP="00B70C76">
      <w:pPr>
        <w:spacing w:after="29"/>
        <w:rPr>
          <w:b/>
          <w:szCs w:val="20"/>
        </w:rPr>
      </w:pPr>
      <w:r w:rsidRPr="0086214D">
        <w:rPr>
          <w:b/>
          <w:szCs w:val="20"/>
        </w:rPr>
        <w:t>Standard deviation</w:t>
      </w:r>
    </w:p>
    <w:p w14:paraId="483EDD98" w14:textId="32D6EC5D" w:rsidR="00B70C76" w:rsidRDefault="00B70C76" w:rsidP="00B70C76">
      <w:pPr>
        <w:spacing w:after="29"/>
        <w:rPr>
          <w:bCs/>
          <w:szCs w:val="20"/>
        </w:rPr>
      </w:pPr>
      <w:r w:rsidRPr="0086214D">
        <w:rPr>
          <w:bCs/>
          <w:szCs w:val="20"/>
        </w:rPr>
        <w:t>The standard deviation is a measure of how widely values are dispersed from the average value</w:t>
      </w:r>
      <w:r w:rsidR="00B30DB3">
        <w:rPr>
          <w:bCs/>
          <w:szCs w:val="20"/>
        </w:rPr>
        <w:t>.</w:t>
      </w:r>
    </w:p>
    <w:p w14:paraId="17554C73" w14:textId="77777777" w:rsidR="00B30DB3" w:rsidRDefault="00B30DB3" w:rsidP="00B70C76">
      <w:pPr>
        <w:spacing w:after="29"/>
        <w:rPr>
          <w:bCs/>
          <w:szCs w:val="20"/>
        </w:rPr>
      </w:pPr>
    </w:p>
    <w:p w14:paraId="59D20997" w14:textId="77777777" w:rsidR="006E2A27" w:rsidRDefault="006E2A27" w:rsidP="00B70C76">
      <w:pPr>
        <w:spacing w:after="29"/>
        <w:rPr>
          <w:bCs/>
          <w:szCs w:val="20"/>
        </w:rPr>
      </w:pPr>
    </w:p>
    <w:p w14:paraId="6573CF0F" w14:textId="77777777" w:rsidR="00B30DB3" w:rsidRPr="0086214D" w:rsidRDefault="00B30DB3" w:rsidP="00B70C76">
      <w:pPr>
        <w:spacing w:after="29"/>
        <w:rPr>
          <w:bCs/>
          <w:szCs w:val="20"/>
        </w:rPr>
      </w:pPr>
    </w:p>
    <w:p w14:paraId="458DBD14" w14:textId="0CAD467F" w:rsidR="00B70C76" w:rsidRPr="0086214D" w:rsidRDefault="00B70C76" w:rsidP="00B70C76">
      <w:pPr>
        <w:spacing w:after="29"/>
        <w:rPr>
          <w:szCs w:val="20"/>
        </w:rPr>
      </w:pPr>
      <w:r w:rsidRPr="0086214D">
        <w:rPr>
          <w:b/>
          <w:szCs w:val="20"/>
        </w:rPr>
        <w:t xml:space="preserve">Variable costs </w:t>
      </w:r>
    </w:p>
    <w:p w14:paraId="699B8C11" w14:textId="2B6B11C9" w:rsidR="00B70C76" w:rsidRPr="0086214D" w:rsidRDefault="00B70C76" w:rsidP="00B70C76">
      <w:pPr>
        <w:spacing w:after="207"/>
        <w:rPr>
          <w:szCs w:val="20"/>
        </w:rPr>
      </w:pPr>
      <w:r w:rsidRPr="0086214D">
        <w:rPr>
          <w:szCs w:val="20"/>
        </w:rPr>
        <w:t>Variable costs (sometimes called direct costs) vary directly as the output of an enterprise varies.</w:t>
      </w:r>
    </w:p>
    <w:p w14:paraId="02390C59" w14:textId="77777777" w:rsidR="00AE424E" w:rsidRPr="0086214D" w:rsidRDefault="00AE424E">
      <w:pPr>
        <w:rPr>
          <w:rFonts w:eastAsia="VIC" w:cstheme="majorBidi"/>
          <w:b/>
          <w:bCs/>
          <w:sz w:val="36"/>
          <w:szCs w:val="36"/>
          <w:lang w:eastAsia="en-AU"/>
        </w:rPr>
      </w:pPr>
      <w:r w:rsidRPr="0086214D">
        <w:rPr>
          <w:rFonts w:eastAsia="VIC" w:cstheme="majorBidi"/>
          <w:b/>
          <w:bCs/>
          <w:sz w:val="36"/>
          <w:szCs w:val="36"/>
          <w:lang w:eastAsia="en-AU"/>
        </w:rPr>
        <w:br w:type="page"/>
      </w:r>
    </w:p>
    <w:p w14:paraId="45961779" w14:textId="7F412BC4" w:rsidR="002A753B" w:rsidRPr="0064154B" w:rsidRDefault="002A753B" w:rsidP="00B70C76">
      <w:pPr>
        <w:spacing w:after="207"/>
        <w:rPr>
          <w:rFonts w:cs="VIC-SemiBold"/>
          <w:b/>
          <w:bCs/>
          <w:color w:val="4C7329"/>
          <w:sz w:val="28"/>
          <w:szCs w:val="18"/>
          <w:lang w:val="en-US"/>
        </w:rPr>
      </w:pPr>
      <w:r w:rsidRPr="0064154B">
        <w:rPr>
          <w:rFonts w:cs="VIC-SemiBold"/>
          <w:b/>
          <w:bCs/>
          <w:color w:val="4C7329"/>
          <w:sz w:val="28"/>
          <w:szCs w:val="18"/>
          <w:lang w:val="en-US"/>
        </w:rPr>
        <w:lastRenderedPageBreak/>
        <w:t>List of abbreviations</w:t>
      </w:r>
    </w:p>
    <w:tbl>
      <w:tblPr>
        <w:tblStyle w:val="TableGrid6"/>
        <w:tblpPr w:vertAnchor="text" w:horzAnchor="margin" w:tblpYSpec="center"/>
        <w:tblOverlap w:val="never"/>
        <w:tblW w:w="4711" w:type="dxa"/>
        <w:tblInd w:w="0" w:type="dxa"/>
        <w:tblLook w:val="04A0" w:firstRow="1" w:lastRow="0" w:firstColumn="1" w:lastColumn="0" w:noHBand="0" w:noVBand="1"/>
      </w:tblPr>
      <w:tblGrid>
        <w:gridCol w:w="1120"/>
        <w:gridCol w:w="3591"/>
      </w:tblGrid>
      <w:tr w:rsidR="0086214D" w:rsidRPr="0086214D" w14:paraId="2C4D61FF" w14:textId="77777777" w:rsidTr="0064154B">
        <w:trPr>
          <w:trHeight w:val="333"/>
        </w:trPr>
        <w:tc>
          <w:tcPr>
            <w:tcW w:w="1120" w:type="dxa"/>
          </w:tcPr>
          <w:p w14:paraId="63C95598" w14:textId="77777777" w:rsidR="00B70C76" w:rsidRPr="0086214D" w:rsidRDefault="00B70C76" w:rsidP="0064154B">
            <w:pPr>
              <w:spacing w:line="259" w:lineRule="auto"/>
              <w:rPr>
                <w:b/>
                <w:spacing w:val="-1"/>
              </w:rPr>
            </w:pPr>
            <w:r w:rsidRPr="0086214D">
              <w:rPr>
                <w:b/>
                <w:spacing w:val="-1"/>
              </w:rPr>
              <w:t>CWT</w:t>
            </w:r>
          </w:p>
        </w:tc>
        <w:tc>
          <w:tcPr>
            <w:tcW w:w="3591" w:type="dxa"/>
            <w:tcMar>
              <w:right w:w="170" w:type="dxa"/>
            </w:tcMar>
          </w:tcPr>
          <w:p w14:paraId="3DE599E3" w14:textId="77777777" w:rsidR="00B70C76" w:rsidRPr="0086214D" w:rsidRDefault="00B70C76" w:rsidP="00897BD7">
            <w:pPr>
              <w:spacing w:line="259" w:lineRule="auto"/>
              <w:rPr>
                <w:szCs w:val="20"/>
              </w:rPr>
            </w:pPr>
            <w:r w:rsidRPr="0086214D">
              <w:rPr>
                <w:szCs w:val="20"/>
              </w:rPr>
              <w:t>Carcass weight</w:t>
            </w:r>
          </w:p>
        </w:tc>
      </w:tr>
      <w:tr w:rsidR="0086214D" w:rsidRPr="0086214D" w14:paraId="6D330D48" w14:textId="77777777" w:rsidTr="0064154B">
        <w:trPr>
          <w:trHeight w:val="277"/>
        </w:trPr>
        <w:tc>
          <w:tcPr>
            <w:tcW w:w="1120" w:type="dxa"/>
          </w:tcPr>
          <w:p w14:paraId="2FB546E2" w14:textId="77777777" w:rsidR="00B70C76" w:rsidRPr="0086214D" w:rsidRDefault="00B70C76" w:rsidP="0064154B">
            <w:pPr>
              <w:spacing w:line="259" w:lineRule="auto"/>
              <w:rPr>
                <w:b/>
                <w:spacing w:val="-1"/>
              </w:rPr>
            </w:pPr>
            <w:r w:rsidRPr="0086214D">
              <w:rPr>
                <w:b/>
                <w:spacing w:val="-1"/>
              </w:rPr>
              <w:t>DJPR</w:t>
            </w:r>
          </w:p>
        </w:tc>
        <w:tc>
          <w:tcPr>
            <w:tcW w:w="3591" w:type="dxa"/>
            <w:tcMar>
              <w:right w:w="170" w:type="dxa"/>
            </w:tcMar>
          </w:tcPr>
          <w:p w14:paraId="586D1E5F" w14:textId="2D9DE8C1" w:rsidR="00B70C76" w:rsidRPr="0086214D" w:rsidRDefault="00B70C76" w:rsidP="00897BD7">
            <w:pPr>
              <w:spacing w:line="259" w:lineRule="auto"/>
              <w:rPr>
                <w:szCs w:val="20"/>
              </w:rPr>
            </w:pPr>
            <w:r w:rsidRPr="0086214D">
              <w:rPr>
                <w:szCs w:val="20"/>
              </w:rPr>
              <w:t>Department of Jobs, Precincts and Regions, Victoria</w:t>
            </w:r>
          </w:p>
        </w:tc>
      </w:tr>
      <w:tr w:rsidR="0086214D" w:rsidRPr="0086214D" w14:paraId="6CDF472E" w14:textId="77777777" w:rsidTr="0064154B">
        <w:trPr>
          <w:trHeight w:val="275"/>
        </w:trPr>
        <w:tc>
          <w:tcPr>
            <w:tcW w:w="1120" w:type="dxa"/>
          </w:tcPr>
          <w:p w14:paraId="5A917D23" w14:textId="77777777" w:rsidR="00B70C76" w:rsidRPr="0086214D" w:rsidRDefault="00B70C76" w:rsidP="0064154B">
            <w:pPr>
              <w:spacing w:line="259" w:lineRule="auto"/>
              <w:rPr>
                <w:b/>
                <w:spacing w:val="-1"/>
              </w:rPr>
            </w:pPr>
            <w:r w:rsidRPr="0086214D">
              <w:rPr>
                <w:b/>
                <w:spacing w:val="-1"/>
              </w:rPr>
              <w:t>DSE</w:t>
            </w:r>
          </w:p>
        </w:tc>
        <w:tc>
          <w:tcPr>
            <w:tcW w:w="3591" w:type="dxa"/>
            <w:tcMar>
              <w:right w:w="170" w:type="dxa"/>
            </w:tcMar>
          </w:tcPr>
          <w:p w14:paraId="1A7A9CD5" w14:textId="429C3EAB" w:rsidR="00B70C76" w:rsidRPr="0086214D" w:rsidRDefault="00B70C76" w:rsidP="00897BD7">
            <w:pPr>
              <w:spacing w:line="259" w:lineRule="auto"/>
              <w:rPr>
                <w:szCs w:val="20"/>
              </w:rPr>
            </w:pPr>
            <w:r w:rsidRPr="0086214D">
              <w:rPr>
                <w:szCs w:val="20"/>
              </w:rPr>
              <w:t xml:space="preserve">Dry </w:t>
            </w:r>
            <w:r w:rsidR="007D5D6D">
              <w:rPr>
                <w:szCs w:val="20"/>
              </w:rPr>
              <w:t>s</w:t>
            </w:r>
            <w:r w:rsidRPr="0086214D">
              <w:rPr>
                <w:szCs w:val="20"/>
              </w:rPr>
              <w:t xml:space="preserve">heep </w:t>
            </w:r>
            <w:r w:rsidR="007D5D6D">
              <w:rPr>
                <w:szCs w:val="20"/>
              </w:rPr>
              <w:t>e</w:t>
            </w:r>
            <w:r w:rsidRPr="0086214D">
              <w:rPr>
                <w:szCs w:val="20"/>
              </w:rPr>
              <w:t>quivalent</w:t>
            </w:r>
          </w:p>
        </w:tc>
      </w:tr>
      <w:tr w:rsidR="0086214D" w:rsidRPr="0086214D" w14:paraId="19E2576F" w14:textId="77777777" w:rsidTr="0064154B">
        <w:trPr>
          <w:trHeight w:val="333"/>
        </w:trPr>
        <w:tc>
          <w:tcPr>
            <w:tcW w:w="1120" w:type="dxa"/>
          </w:tcPr>
          <w:p w14:paraId="541BB94D" w14:textId="77777777" w:rsidR="00B70C76" w:rsidRPr="0086214D" w:rsidRDefault="00B70C76" w:rsidP="0064154B">
            <w:pPr>
              <w:spacing w:line="259" w:lineRule="auto"/>
              <w:rPr>
                <w:b/>
                <w:spacing w:val="-1"/>
              </w:rPr>
            </w:pPr>
            <w:r w:rsidRPr="0086214D">
              <w:rPr>
                <w:b/>
                <w:spacing w:val="-1"/>
              </w:rPr>
              <w:t>EBIT</w:t>
            </w:r>
          </w:p>
        </w:tc>
        <w:tc>
          <w:tcPr>
            <w:tcW w:w="3591" w:type="dxa"/>
            <w:tcMar>
              <w:right w:w="170" w:type="dxa"/>
            </w:tcMar>
          </w:tcPr>
          <w:p w14:paraId="46A0978A" w14:textId="77777777" w:rsidR="00B70C76" w:rsidRPr="0086214D" w:rsidRDefault="00B70C76" w:rsidP="00897BD7">
            <w:pPr>
              <w:spacing w:line="259" w:lineRule="auto"/>
              <w:rPr>
                <w:szCs w:val="20"/>
              </w:rPr>
            </w:pPr>
            <w:r w:rsidRPr="0086214D">
              <w:rPr>
                <w:szCs w:val="20"/>
              </w:rPr>
              <w:t>Earnings before interest and tax</w:t>
            </w:r>
          </w:p>
        </w:tc>
      </w:tr>
      <w:tr w:rsidR="0086214D" w:rsidRPr="0086214D" w14:paraId="783E733C" w14:textId="77777777" w:rsidTr="0064154B">
        <w:trPr>
          <w:trHeight w:val="333"/>
        </w:trPr>
        <w:tc>
          <w:tcPr>
            <w:tcW w:w="1120" w:type="dxa"/>
          </w:tcPr>
          <w:p w14:paraId="1B41100C" w14:textId="77777777" w:rsidR="00B70C76" w:rsidRPr="0086214D" w:rsidRDefault="00B70C76" w:rsidP="0064154B">
            <w:pPr>
              <w:spacing w:line="259" w:lineRule="auto"/>
              <w:rPr>
                <w:b/>
                <w:spacing w:val="-1"/>
              </w:rPr>
            </w:pPr>
            <w:r w:rsidRPr="0086214D">
              <w:rPr>
                <w:b/>
                <w:spacing w:val="-1"/>
              </w:rPr>
              <w:t>GM</w:t>
            </w:r>
          </w:p>
        </w:tc>
        <w:tc>
          <w:tcPr>
            <w:tcW w:w="3591" w:type="dxa"/>
            <w:tcMar>
              <w:right w:w="170" w:type="dxa"/>
            </w:tcMar>
          </w:tcPr>
          <w:p w14:paraId="2A116438" w14:textId="7F1D0ABF" w:rsidR="00B70C76" w:rsidRPr="0086214D" w:rsidRDefault="00B70C76" w:rsidP="00897BD7">
            <w:pPr>
              <w:spacing w:line="259" w:lineRule="auto"/>
              <w:rPr>
                <w:szCs w:val="20"/>
              </w:rPr>
            </w:pPr>
            <w:r w:rsidRPr="0086214D">
              <w:rPr>
                <w:szCs w:val="20"/>
              </w:rPr>
              <w:t xml:space="preserve">Gross </w:t>
            </w:r>
            <w:r w:rsidR="005873AD">
              <w:rPr>
                <w:szCs w:val="20"/>
              </w:rPr>
              <w:t>m</w:t>
            </w:r>
            <w:r w:rsidRPr="0086214D">
              <w:rPr>
                <w:szCs w:val="20"/>
              </w:rPr>
              <w:t>argin</w:t>
            </w:r>
          </w:p>
        </w:tc>
      </w:tr>
      <w:tr w:rsidR="0086214D" w:rsidRPr="0086214D" w14:paraId="703D4AA5" w14:textId="77777777" w:rsidTr="0064154B">
        <w:trPr>
          <w:trHeight w:val="333"/>
        </w:trPr>
        <w:tc>
          <w:tcPr>
            <w:tcW w:w="1120" w:type="dxa"/>
          </w:tcPr>
          <w:p w14:paraId="0ED7BC29" w14:textId="77777777" w:rsidR="00B70C76" w:rsidRPr="0086214D" w:rsidRDefault="00B70C76" w:rsidP="0064154B">
            <w:pPr>
              <w:spacing w:line="259" w:lineRule="auto"/>
              <w:rPr>
                <w:b/>
                <w:spacing w:val="-1"/>
              </w:rPr>
            </w:pPr>
            <w:r w:rsidRPr="0086214D">
              <w:rPr>
                <w:b/>
                <w:spacing w:val="-1"/>
              </w:rPr>
              <w:t>ha</w:t>
            </w:r>
          </w:p>
        </w:tc>
        <w:tc>
          <w:tcPr>
            <w:tcW w:w="3591" w:type="dxa"/>
            <w:tcMar>
              <w:right w:w="170" w:type="dxa"/>
            </w:tcMar>
          </w:tcPr>
          <w:p w14:paraId="055A3203" w14:textId="77777777" w:rsidR="00B70C76" w:rsidRPr="0086214D" w:rsidRDefault="00B70C76" w:rsidP="00897BD7">
            <w:pPr>
              <w:spacing w:line="259" w:lineRule="auto"/>
              <w:rPr>
                <w:szCs w:val="20"/>
              </w:rPr>
            </w:pPr>
            <w:r w:rsidRPr="0086214D">
              <w:rPr>
                <w:szCs w:val="20"/>
              </w:rPr>
              <w:t>Hectare(s)</w:t>
            </w:r>
          </w:p>
        </w:tc>
      </w:tr>
      <w:tr w:rsidR="0086214D" w:rsidRPr="0086214D" w14:paraId="1D4A365D" w14:textId="77777777" w:rsidTr="0064154B">
        <w:trPr>
          <w:trHeight w:val="333"/>
        </w:trPr>
        <w:tc>
          <w:tcPr>
            <w:tcW w:w="1120" w:type="dxa"/>
          </w:tcPr>
          <w:p w14:paraId="7A658690" w14:textId="77777777" w:rsidR="00B70C76" w:rsidRPr="0086214D" w:rsidRDefault="00B70C76" w:rsidP="0064154B">
            <w:pPr>
              <w:spacing w:line="259" w:lineRule="auto"/>
              <w:rPr>
                <w:b/>
                <w:spacing w:val="-1"/>
              </w:rPr>
            </w:pPr>
            <w:r w:rsidRPr="0086214D">
              <w:rPr>
                <w:b/>
                <w:spacing w:val="-1"/>
              </w:rPr>
              <w:t>kg</w:t>
            </w:r>
          </w:p>
        </w:tc>
        <w:tc>
          <w:tcPr>
            <w:tcW w:w="3591" w:type="dxa"/>
            <w:tcMar>
              <w:right w:w="170" w:type="dxa"/>
            </w:tcMar>
          </w:tcPr>
          <w:p w14:paraId="23E82E70" w14:textId="77777777" w:rsidR="00B70C76" w:rsidRPr="0086214D" w:rsidRDefault="00B70C76" w:rsidP="00897BD7">
            <w:pPr>
              <w:spacing w:line="259" w:lineRule="auto"/>
              <w:rPr>
                <w:szCs w:val="20"/>
              </w:rPr>
            </w:pPr>
            <w:r w:rsidRPr="0086214D">
              <w:rPr>
                <w:szCs w:val="20"/>
              </w:rPr>
              <w:t>Kilograms</w:t>
            </w:r>
          </w:p>
        </w:tc>
      </w:tr>
      <w:tr w:rsidR="0086214D" w:rsidRPr="0086214D" w14:paraId="0BF14C25" w14:textId="77777777" w:rsidTr="0064154B">
        <w:trPr>
          <w:trHeight w:val="333"/>
        </w:trPr>
        <w:tc>
          <w:tcPr>
            <w:tcW w:w="1120" w:type="dxa"/>
          </w:tcPr>
          <w:p w14:paraId="26031E89" w14:textId="2ED71459" w:rsidR="00ED644F" w:rsidRPr="0086214D" w:rsidRDefault="00ED644F" w:rsidP="0064154B">
            <w:pPr>
              <w:rPr>
                <w:b/>
                <w:spacing w:val="-1"/>
              </w:rPr>
            </w:pPr>
            <w:r w:rsidRPr="0086214D">
              <w:rPr>
                <w:b/>
                <w:spacing w:val="-1"/>
              </w:rPr>
              <w:t xml:space="preserve">Kg </w:t>
            </w:r>
            <w:r w:rsidR="005D41C3" w:rsidRPr="0086214D">
              <w:rPr>
                <w:b/>
                <w:spacing w:val="-1"/>
              </w:rPr>
              <w:t>Gr.</w:t>
            </w:r>
            <w:r w:rsidR="006C5BAB" w:rsidRPr="0086214D">
              <w:rPr>
                <w:b/>
                <w:spacing w:val="-1"/>
              </w:rPr>
              <w:t xml:space="preserve"> or</w:t>
            </w:r>
          </w:p>
          <w:p w14:paraId="04FA695E" w14:textId="2EB672DB" w:rsidR="005D41C3" w:rsidRPr="0086214D" w:rsidRDefault="005D41C3" w:rsidP="0064154B">
            <w:pPr>
              <w:rPr>
                <w:b/>
                <w:spacing w:val="-1"/>
              </w:rPr>
            </w:pPr>
            <w:r w:rsidRPr="0086214D">
              <w:rPr>
                <w:b/>
                <w:spacing w:val="-1"/>
              </w:rPr>
              <w:t xml:space="preserve">Gr. </w:t>
            </w:r>
            <w:r w:rsidR="00F2488A" w:rsidRPr="0086214D">
              <w:rPr>
                <w:b/>
                <w:spacing w:val="-1"/>
              </w:rPr>
              <w:t>kg</w:t>
            </w:r>
          </w:p>
        </w:tc>
        <w:tc>
          <w:tcPr>
            <w:tcW w:w="3591" w:type="dxa"/>
            <w:tcMar>
              <w:right w:w="170" w:type="dxa"/>
            </w:tcMar>
          </w:tcPr>
          <w:p w14:paraId="15A8E8A2" w14:textId="18323F6B" w:rsidR="00ED644F" w:rsidRPr="0086214D" w:rsidRDefault="005D41C3" w:rsidP="00897BD7">
            <w:pPr>
              <w:rPr>
                <w:szCs w:val="20"/>
              </w:rPr>
            </w:pPr>
            <w:r w:rsidRPr="0086214D">
              <w:rPr>
                <w:szCs w:val="20"/>
              </w:rPr>
              <w:t>Kilograms of greasy wool</w:t>
            </w:r>
          </w:p>
        </w:tc>
      </w:tr>
      <w:tr w:rsidR="0086214D" w:rsidRPr="0086214D" w14:paraId="1FE06A4F" w14:textId="77777777" w:rsidTr="0064154B">
        <w:trPr>
          <w:trHeight w:val="333"/>
        </w:trPr>
        <w:tc>
          <w:tcPr>
            <w:tcW w:w="1120" w:type="dxa"/>
          </w:tcPr>
          <w:p w14:paraId="00E92C5E" w14:textId="7F7FF94F" w:rsidR="0044253C" w:rsidRPr="0086214D" w:rsidRDefault="0044253C" w:rsidP="0064154B">
            <w:pPr>
              <w:rPr>
                <w:b/>
                <w:spacing w:val="-1"/>
              </w:rPr>
            </w:pPr>
            <w:r w:rsidRPr="0086214D">
              <w:rPr>
                <w:b/>
                <w:spacing w:val="-1"/>
              </w:rPr>
              <w:t>LFMP</w:t>
            </w:r>
          </w:p>
        </w:tc>
        <w:tc>
          <w:tcPr>
            <w:tcW w:w="3591" w:type="dxa"/>
            <w:tcMar>
              <w:right w:w="170" w:type="dxa"/>
            </w:tcMar>
          </w:tcPr>
          <w:p w14:paraId="0C57D058" w14:textId="6B8C568A" w:rsidR="0044253C" w:rsidRPr="0086214D" w:rsidRDefault="0044253C" w:rsidP="0044253C">
            <w:pPr>
              <w:rPr>
                <w:szCs w:val="20"/>
              </w:rPr>
            </w:pPr>
            <w:r w:rsidRPr="0086214D">
              <w:rPr>
                <w:szCs w:val="20"/>
              </w:rPr>
              <w:t>Livestock Farm Monitor Project</w:t>
            </w:r>
          </w:p>
        </w:tc>
      </w:tr>
      <w:tr w:rsidR="0086214D" w:rsidRPr="0086214D" w14:paraId="692091C6" w14:textId="77777777" w:rsidTr="0064154B">
        <w:trPr>
          <w:trHeight w:val="333"/>
        </w:trPr>
        <w:tc>
          <w:tcPr>
            <w:tcW w:w="1120" w:type="dxa"/>
          </w:tcPr>
          <w:p w14:paraId="43143FB0" w14:textId="77777777" w:rsidR="0044253C" w:rsidRPr="0086214D" w:rsidRDefault="0044253C" w:rsidP="0064154B">
            <w:pPr>
              <w:spacing w:line="259" w:lineRule="auto"/>
              <w:rPr>
                <w:b/>
                <w:spacing w:val="-1"/>
              </w:rPr>
            </w:pPr>
            <w:r w:rsidRPr="0086214D">
              <w:rPr>
                <w:b/>
                <w:spacing w:val="-1"/>
              </w:rPr>
              <w:t>LWT</w:t>
            </w:r>
          </w:p>
        </w:tc>
        <w:tc>
          <w:tcPr>
            <w:tcW w:w="3591" w:type="dxa"/>
            <w:tcMar>
              <w:right w:w="170" w:type="dxa"/>
            </w:tcMar>
          </w:tcPr>
          <w:p w14:paraId="7ADC1BB9" w14:textId="77777777" w:rsidR="0044253C" w:rsidRPr="0086214D" w:rsidRDefault="0044253C" w:rsidP="0044253C">
            <w:pPr>
              <w:spacing w:line="259" w:lineRule="auto"/>
              <w:rPr>
                <w:szCs w:val="20"/>
              </w:rPr>
            </w:pPr>
            <w:r w:rsidRPr="0086214D">
              <w:rPr>
                <w:szCs w:val="20"/>
              </w:rPr>
              <w:t>Live weight</w:t>
            </w:r>
          </w:p>
        </w:tc>
      </w:tr>
      <w:tr w:rsidR="0086214D" w:rsidRPr="0086214D" w14:paraId="453016FF" w14:textId="77777777" w:rsidTr="0064154B">
        <w:trPr>
          <w:trHeight w:val="333"/>
        </w:trPr>
        <w:tc>
          <w:tcPr>
            <w:tcW w:w="1120" w:type="dxa"/>
          </w:tcPr>
          <w:p w14:paraId="04436662" w14:textId="6CA8CD63" w:rsidR="0044253C" w:rsidRPr="0086214D" w:rsidRDefault="0044253C" w:rsidP="0064154B">
            <w:pPr>
              <w:spacing w:line="259" w:lineRule="auto"/>
              <w:rPr>
                <w:b/>
                <w:spacing w:val="-1"/>
              </w:rPr>
            </w:pPr>
            <w:r w:rsidRPr="0086214D">
              <w:rPr>
                <w:b/>
                <w:spacing w:val="-1"/>
              </w:rPr>
              <w:t>ME</w:t>
            </w:r>
            <w:r w:rsidR="006C5BAB" w:rsidRPr="0086214D">
              <w:rPr>
                <w:b/>
                <w:spacing w:val="-1"/>
              </w:rPr>
              <w:t xml:space="preserve"> or</w:t>
            </w:r>
          </w:p>
          <w:p w14:paraId="218545A7" w14:textId="58A78268" w:rsidR="006C5BAB" w:rsidRPr="0086214D" w:rsidRDefault="006C5BAB" w:rsidP="0064154B">
            <w:pPr>
              <w:spacing w:line="259" w:lineRule="auto"/>
              <w:rPr>
                <w:b/>
                <w:spacing w:val="-1"/>
              </w:rPr>
            </w:pPr>
            <w:r w:rsidRPr="0086214D">
              <w:rPr>
                <w:b/>
                <w:spacing w:val="-1"/>
              </w:rPr>
              <w:t>MJ ME</w:t>
            </w:r>
          </w:p>
        </w:tc>
        <w:tc>
          <w:tcPr>
            <w:tcW w:w="3591" w:type="dxa"/>
            <w:tcMar>
              <w:right w:w="170" w:type="dxa"/>
            </w:tcMar>
          </w:tcPr>
          <w:p w14:paraId="10CDE0A7" w14:textId="7103818D" w:rsidR="0044253C" w:rsidRPr="0086214D" w:rsidRDefault="00805D56" w:rsidP="0044253C">
            <w:pPr>
              <w:spacing w:line="259" w:lineRule="auto"/>
              <w:rPr>
                <w:szCs w:val="20"/>
              </w:rPr>
            </w:pPr>
            <w:r w:rsidRPr="0086214D">
              <w:rPr>
                <w:szCs w:val="20"/>
              </w:rPr>
              <w:t xml:space="preserve">Megajoules of </w:t>
            </w:r>
            <w:proofErr w:type="spellStart"/>
            <w:r w:rsidR="0044253C" w:rsidRPr="0086214D">
              <w:rPr>
                <w:szCs w:val="20"/>
              </w:rPr>
              <w:t>Metabolisable</w:t>
            </w:r>
            <w:proofErr w:type="spellEnd"/>
            <w:r w:rsidR="0044253C" w:rsidRPr="0086214D">
              <w:rPr>
                <w:szCs w:val="20"/>
              </w:rPr>
              <w:t xml:space="preserve"> energy</w:t>
            </w:r>
          </w:p>
        </w:tc>
      </w:tr>
      <w:tr w:rsidR="0086214D" w:rsidRPr="0086214D" w14:paraId="02847DD0" w14:textId="77777777" w:rsidTr="0064154B">
        <w:trPr>
          <w:trHeight w:val="333"/>
        </w:trPr>
        <w:tc>
          <w:tcPr>
            <w:tcW w:w="1120" w:type="dxa"/>
          </w:tcPr>
          <w:p w14:paraId="60EF148B" w14:textId="77777777" w:rsidR="0044253C" w:rsidRPr="0086214D" w:rsidRDefault="0044253C" w:rsidP="0064154B">
            <w:pPr>
              <w:spacing w:line="259" w:lineRule="auto"/>
              <w:rPr>
                <w:b/>
                <w:spacing w:val="-1"/>
              </w:rPr>
            </w:pPr>
            <w:r w:rsidRPr="0086214D">
              <w:rPr>
                <w:b/>
                <w:spacing w:val="-1"/>
              </w:rPr>
              <w:t>ML</w:t>
            </w:r>
          </w:p>
        </w:tc>
        <w:tc>
          <w:tcPr>
            <w:tcW w:w="3591" w:type="dxa"/>
            <w:tcMar>
              <w:right w:w="170" w:type="dxa"/>
            </w:tcMar>
          </w:tcPr>
          <w:p w14:paraId="4EF40584" w14:textId="77777777" w:rsidR="0044253C" w:rsidRPr="0086214D" w:rsidRDefault="0044253C" w:rsidP="0044253C">
            <w:pPr>
              <w:spacing w:line="259" w:lineRule="auto"/>
              <w:rPr>
                <w:szCs w:val="20"/>
              </w:rPr>
            </w:pPr>
            <w:r w:rsidRPr="0086214D">
              <w:rPr>
                <w:szCs w:val="20"/>
              </w:rPr>
              <w:t>Megalitre</w:t>
            </w:r>
          </w:p>
        </w:tc>
      </w:tr>
      <w:tr w:rsidR="0086214D" w:rsidRPr="0086214D" w14:paraId="6295365F" w14:textId="77777777" w:rsidTr="0064154B">
        <w:trPr>
          <w:trHeight w:val="333"/>
        </w:trPr>
        <w:tc>
          <w:tcPr>
            <w:tcW w:w="1120" w:type="dxa"/>
          </w:tcPr>
          <w:p w14:paraId="2FDB3469" w14:textId="77777777" w:rsidR="0044253C" w:rsidRPr="0086214D" w:rsidRDefault="0044253C" w:rsidP="0064154B">
            <w:pPr>
              <w:spacing w:line="259" w:lineRule="auto"/>
              <w:rPr>
                <w:b/>
                <w:spacing w:val="-1"/>
              </w:rPr>
            </w:pPr>
            <w:r w:rsidRPr="0086214D">
              <w:rPr>
                <w:b/>
                <w:spacing w:val="-1"/>
              </w:rPr>
              <w:t>mm</w:t>
            </w:r>
          </w:p>
        </w:tc>
        <w:tc>
          <w:tcPr>
            <w:tcW w:w="3591" w:type="dxa"/>
            <w:tcMar>
              <w:right w:w="170" w:type="dxa"/>
            </w:tcMar>
          </w:tcPr>
          <w:p w14:paraId="07765B32" w14:textId="37822925" w:rsidR="0044253C" w:rsidRPr="0086214D" w:rsidRDefault="0044253C" w:rsidP="0044253C">
            <w:pPr>
              <w:spacing w:line="259" w:lineRule="auto"/>
              <w:rPr>
                <w:szCs w:val="20"/>
              </w:rPr>
            </w:pPr>
            <w:r w:rsidRPr="0086214D">
              <w:rPr>
                <w:szCs w:val="20"/>
              </w:rPr>
              <w:t>Millimetres</w:t>
            </w:r>
          </w:p>
        </w:tc>
      </w:tr>
      <w:tr w:rsidR="0086214D" w:rsidRPr="0086214D" w14:paraId="10ECB307" w14:textId="77777777" w:rsidTr="0064154B">
        <w:trPr>
          <w:trHeight w:val="277"/>
        </w:trPr>
        <w:tc>
          <w:tcPr>
            <w:tcW w:w="1120" w:type="dxa"/>
          </w:tcPr>
          <w:p w14:paraId="1153D6F9" w14:textId="77777777" w:rsidR="0044253C" w:rsidRPr="0086214D" w:rsidRDefault="0044253C" w:rsidP="0064154B">
            <w:pPr>
              <w:spacing w:line="259" w:lineRule="auto"/>
              <w:rPr>
                <w:b/>
                <w:spacing w:val="-1"/>
              </w:rPr>
            </w:pPr>
            <w:r w:rsidRPr="0086214D">
              <w:rPr>
                <w:b/>
                <w:spacing w:val="-1"/>
              </w:rPr>
              <w:t>NFI</w:t>
            </w:r>
          </w:p>
        </w:tc>
        <w:tc>
          <w:tcPr>
            <w:tcW w:w="3591" w:type="dxa"/>
            <w:tcMar>
              <w:right w:w="170" w:type="dxa"/>
            </w:tcMar>
          </w:tcPr>
          <w:p w14:paraId="586AB69E" w14:textId="17714DBB" w:rsidR="0044253C" w:rsidRPr="0086214D" w:rsidRDefault="0044253C" w:rsidP="0044253C">
            <w:pPr>
              <w:spacing w:line="259" w:lineRule="auto"/>
              <w:rPr>
                <w:szCs w:val="20"/>
              </w:rPr>
            </w:pPr>
            <w:r w:rsidRPr="0086214D">
              <w:rPr>
                <w:szCs w:val="20"/>
              </w:rPr>
              <w:t xml:space="preserve">Net </w:t>
            </w:r>
            <w:r w:rsidR="005873AD">
              <w:rPr>
                <w:szCs w:val="20"/>
              </w:rPr>
              <w:t>F</w:t>
            </w:r>
            <w:r w:rsidRPr="0086214D">
              <w:rPr>
                <w:szCs w:val="20"/>
              </w:rPr>
              <w:t xml:space="preserve">arm </w:t>
            </w:r>
            <w:r w:rsidR="006C4095">
              <w:rPr>
                <w:szCs w:val="20"/>
              </w:rPr>
              <w:t>I</w:t>
            </w:r>
            <w:r w:rsidRPr="0086214D">
              <w:rPr>
                <w:szCs w:val="20"/>
              </w:rPr>
              <w:t>ncome</w:t>
            </w:r>
          </w:p>
        </w:tc>
      </w:tr>
      <w:tr w:rsidR="0086214D" w:rsidRPr="0086214D" w14:paraId="7804C319" w14:textId="77777777" w:rsidTr="0064154B">
        <w:trPr>
          <w:trHeight w:val="275"/>
        </w:trPr>
        <w:tc>
          <w:tcPr>
            <w:tcW w:w="1120" w:type="dxa"/>
          </w:tcPr>
          <w:p w14:paraId="639CCF09" w14:textId="77777777" w:rsidR="0044253C" w:rsidRPr="0086214D" w:rsidRDefault="0044253C" w:rsidP="0064154B">
            <w:pPr>
              <w:spacing w:line="259" w:lineRule="auto"/>
              <w:rPr>
                <w:b/>
                <w:spacing w:val="-1"/>
              </w:rPr>
            </w:pPr>
            <w:r w:rsidRPr="0086214D">
              <w:rPr>
                <w:b/>
                <w:spacing w:val="-1"/>
              </w:rPr>
              <w:t>ROA</w:t>
            </w:r>
          </w:p>
        </w:tc>
        <w:tc>
          <w:tcPr>
            <w:tcW w:w="3591" w:type="dxa"/>
            <w:tcMar>
              <w:right w:w="170" w:type="dxa"/>
            </w:tcMar>
          </w:tcPr>
          <w:p w14:paraId="11BF6EA7" w14:textId="70BFB7E0" w:rsidR="0044253C" w:rsidRPr="0086214D" w:rsidRDefault="0044253C" w:rsidP="0044253C">
            <w:pPr>
              <w:spacing w:line="259" w:lineRule="auto"/>
              <w:rPr>
                <w:szCs w:val="20"/>
              </w:rPr>
            </w:pPr>
            <w:r w:rsidRPr="0086214D">
              <w:rPr>
                <w:szCs w:val="20"/>
              </w:rPr>
              <w:t xml:space="preserve">Return on </w:t>
            </w:r>
            <w:r w:rsidR="009C7664">
              <w:rPr>
                <w:szCs w:val="20"/>
              </w:rPr>
              <w:t>A</w:t>
            </w:r>
            <w:r w:rsidRPr="0086214D">
              <w:rPr>
                <w:szCs w:val="20"/>
              </w:rPr>
              <w:t>ssets</w:t>
            </w:r>
          </w:p>
        </w:tc>
      </w:tr>
      <w:tr w:rsidR="0086214D" w:rsidRPr="0086214D" w14:paraId="04CEB77F" w14:textId="77777777" w:rsidTr="0064154B">
        <w:trPr>
          <w:trHeight w:val="335"/>
        </w:trPr>
        <w:tc>
          <w:tcPr>
            <w:tcW w:w="1120" w:type="dxa"/>
          </w:tcPr>
          <w:p w14:paraId="69BD8C64" w14:textId="77777777" w:rsidR="0044253C" w:rsidRPr="0086214D" w:rsidRDefault="0044253C" w:rsidP="0064154B">
            <w:pPr>
              <w:spacing w:line="259" w:lineRule="auto"/>
              <w:rPr>
                <w:b/>
                <w:spacing w:val="-1"/>
              </w:rPr>
            </w:pPr>
            <w:r w:rsidRPr="0086214D">
              <w:rPr>
                <w:b/>
                <w:spacing w:val="-1"/>
              </w:rPr>
              <w:t>ROE</w:t>
            </w:r>
          </w:p>
        </w:tc>
        <w:tc>
          <w:tcPr>
            <w:tcW w:w="3591" w:type="dxa"/>
            <w:tcMar>
              <w:right w:w="170" w:type="dxa"/>
            </w:tcMar>
          </w:tcPr>
          <w:p w14:paraId="27BFD157" w14:textId="05FE0E61" w:rsidR="0044253C" w:rsidRPr="0086214D" w:rsidRDefault="0044253C" w:rsidP="0044253C">
            <w:pPr>
              <w:spacing w:line="259" w:lineRule="auto"/>
              <w:rPr>
                <w:szCs w:val="20"/>
              </w:rPr>
            </w:pPr>
            <w:r w:rsidRPr="0086214D">
              <w:rPr>
                <w:szCs w:val="20"/>
              </w:rPr>
              <w:t xml:space="preserve">Return on </w:t>
            </w:r>
            <w:r w:rsidR="009C7664">
              <w:rPr>
                <w:szCs w:val="20"/>
              </w:rPr>
              <w:t>E</w:t>
            </w:r>
            <w:r w:rsidRPr="0086214D">
              <w:rPr>
                <w:szCs w:val="20"/>
              </w:rPr>
              <w:t>quity</w:t>
            </w:r>
          </w:p>
        </w:tc>
      </w:tr>
      <w:tr w:rsidR="0086214D" w:rsidRPr="0086214D" w14:paraId="5CC20A4E" w14:textId="77777777" w:rsidTr="0064154B">
        <w:trPr>
          <w:trHeight w:val="354"/>
        </w:trPr>
        <w:tc>
          <w:tcPr>
            <w:tcW w:w="1120" w:type="dxa"/>
          </w:tcPr>
          <w:p w14:paraId="09624228" w14:textId="77777777" w:rsidR="0044253C" w:rsidRPr="0086214D" w:rsidRDefault="0044253C" w:rsidP="0064154B">
            <w:pPr>
              <w:spacing w:line="259" w:lineRule="auto"/>
              <w:rPr>
                <w:b/>
                <w:spacing w:val="-1"/>
              </w:rPr>
            </w:pPr>
            <w:r w:rsidRPr="0086214D">
              <w:rPr>
                <w:b/>
                <w:spacing w:val="-1"/>
              </w:rPr>
              <w:t>t</w:t>
            </w:r>
          </w:p>
        </w:tc>
        <w:tc>
          <w:tcPr>
            <w:tcW w:w="3591" w:type="dxa"/>
            <w:tcMar>
              <w:right w:w="170" w:type="dxa"/>
            </w:tcMar>
          </w:tcPr>
          <w:p w14:paraId="1990A2CB" w14:textId="77777777" w:rsidR="0044253C" w:rsidRPr="0086214D" w:rsidRDefault="0044253C" w:rsidP="0044253C">
            <w:pPr>
              <w:spacing w:line="259" w:lineRule="auto"/>
              <w:rPr>
                <w:szCs w:val="20"/>
              </w:rPr>
            </w:pPr>
            <w:r w:rsidRPr="0086214D">
              <w:rPr>
                <w:szCs w:val="20"/>
              </w:rPr>
              <w:t>Tonne = 1,000 kg</w:t>
            </w:r>
          </w:p>
        </w:tc>
      </w:tr>
      <w:tr w:rsidR="0086214D" w:rsidRPr="0086214D" w14:paraId="369E0FF2" w14:textId="77777777" w:rsidTr="0064154B">
        <w:trPr>
          <w:trHeight w:val="354"/>
        </w:trPr>
        <w:tc>
          <w:tcPr>
            <w:tcW w:w="1120" w:type="dxa"/>
          </w:tcPr>
          <w:p w14:paraId="1B1233E5" w14:textId="77777777" w:rsidR="0044253C" w:rsidRPr="0086214D" w:rsidRDefault="0044253C" w:rsidP="0064154B">
            <w:pPr>
              <w:spacing w:line="259" w:lineRule="auto"/>
              <w:rPr>
                <w:b/>
                <w:spacing w:val="-1"/>
              </w:rPr>
            </w:pPr>
            <w:proofErr w:type="spellStart"/>
            <w:r w:rsidRPr="0086214D">
              <w:rPr>
                <w:b/>
                <w:spacing w:val="-1"/>
              </w:rPr>
              <w:t>tDM</w:t>
            </w:r>
            <w:proofErr w:type="spellEnd"/>
          </w:p>
        </w:tc>
        <w:tc>
          <w:tcPr>
            <w:tcW w:w="3591" w:type="dxa"/>
            <w:tcMar>
              <w:right w:w="170" w:type="dxa"/>
            </w:tcMar>
          </w:tcPr>
          <w:p w14:paraId="245D9EB3" w14:textId="5736F7CA" w:rsidR="0044253C" w:rsidRPr="0086214D" w:rsidRDefault="0044253C" w:rsidP="0044253C">
            <w:pPr>
              <w:spacing w:line="259" w:lineRule="auto"/>
              <w:rPr>
                <w:szCs w:val="20"/>
              </w:rPr>
            </w:pPr>
            <w:r w:rsidRPr="0086214D">
              <w:rPr>
                <w:szCs w:val="20"/>
              </w:rPr>
              <w:t>Dry matter of feed stuffs measured in tonnes</w:t>
            </w:r>
          </w:p>
        </w:tc>
      </w:tr>
      <w:tr w:rsidR="0086214D" w:rsidRPr="0086214D" w14:paraId="5A5AD207" w14:textId="77777777" w:rsidTr="0064154B">
        <w:trPr>
          <w:trHeight w:val="220"/>
        </w:trPr>
        <w:tc>
          <w:tcPr>
            <w:tcW w:w="1120" w:type="dxa"/>
          </w:tcPr>
          <w:p w14:paraId="68D6855D" w14:textId="77777777" w:rsidR="0044253C" w:rsidRPr="0086214D" w:rsidRDefault="0044253C" w:rsidP="0064154B">
            <w:pPr>
              <w:spacing w:line="259" w:lineRule="auto"/>
              <w:rPr>
                <w:b/>
                <w:spacing w:val="-1"/>
              </w:rPr>
            </w:pPr>
            <w:proofErr w:type="spellStart"/>
            <w:r w:rsidRPr="0086214D">
              <w:rPr>
                <w:b/>
                <w:spacing w:val="-1"/>
              </w:rPr>
              <w:t>yrs</w:t>
            </w:r>
            <w:proofErr w:type="spellEnd"/>
          </w:p>
        </w:tc>
        <w:tc>
          <w:tcPr>
            <w:tcW w:w="3591" w:type="dxa"/>
          </w:tcPr>
          <w:p w14:paraId="08C72172" w14:textId="77777777" w:rsidR="0044253C" w:rsidRPr="0086214D" w:rsidRDefault="0044253C" w:rsidP="0044253C">
            <w:pPr>
              <w:spacing w:line="259" w:lineRule="auto"/>
              <w:rPr>
                <w:szCs w:val="20"/>
              </w:rPr>
            </w:pPr>
            <w:r w:rsidRPr="0086214D">
              <w:rPr>
                <w:szCs w:val="20"/>
              </w:rPr>
              <w:t>Years old</w:t>
            </w:r>
          </w:p>
        </w:tc>
      </w:tr>
    </w:tbl>
    <w:p w14:paraId="6938388C" w14:textId="57BC15BA" w:rsidR="00B70C76" w:rsidRPr="0086214D" w:rsidRDefault="00B70C76" w:rsidP="00B70C76">
      <w:pPr>
        <w:rPr>
          <w:highlight w:val="yellow"/>
        </w:rPr>
      </w:pPr>
    </w:p>
    <w:p w14:paraId="4F0915B3" w14:textId="2A9246C0" w:rsidR="00B70C76" w:rsidRPr="0086214D" w:rsidRDefault="00B70C76" w:rsidP="00B70C76">
      <w:pPr>
        <w:rPr>
          <w:highlight w:val="yellow"/>
        </w:rPr>
      </w:pPr>
    </w:p>
    <w:p w14:paraId="2CDE432E" w14:textId="77777777" w:rsidR="00B70C76" w:rsidRPr="0064154B" w:rsidRDefault="00B70C76" w:rsidP="00B70C76">
      <w:pPr>
        <w:pStyle w:val="Heading3"/>
        <w:rPr>
          <w:rFonts w:ascii="VIC" w:eastAsiaTheme="minorHAnsi" w:hAnsi="VIC" w:cs="VIC-SemiBold"/>
          <w:b/>
          <w:bCs/>
          <w:color w:val="4C7329"/>
          <w:sz w:val="28"/>
          <w:szCs w:val="18"/>
          <w:lang w:val="en-US"/>
        </w:rPr>
      </w:pPr>
      <w:r w:rsidRPr="0064154B">
        <w:rPr>
          <w:rFonts w:ascii="VIC" w:eastAsiaTheme="minorHAnsi" w:hAnsi="VIC" w:cs="VIC-SemiBold"/>
          <w:b/>
          <w:bCs/>
          <w:color w:val="4C7329"/>
          <w:sz w:val="28"/>
          <w:szCs w:val="18"/>
          <w:lang w:val="en-US"/>
        </w:rPr>
        <w:t>References</w:t>
      </w:r>
    </w:p>
    <w:p w14:paraId="65C3F9E6" w14:textId="77777777" w:rsidR="00B70C76" w:rsidRPr="0086214D" w:rsidRDefault="00B70C76" w:rsidP="003B0D69">
      <w:pPr>
        <w:spacing w:before="240" w:after="29"/>
        <w:rPr>
          <w:bCs/>
          <w:szCs w:val="20"/>
        </w:rPr>
      </w:pPr>
      <w:r w:rsidRPr="0086214D">
        <w:rPr>
          <w:bCs/>
          <w:szCs w:val="20"/>
        </w:rPr>
        <w:t>Kay RD, Edwards WM, Duffy PA  'Farm Management' (</w:t>
      </w:r>
      <w:proofErr w:type="spellStart"/>
      <w:r w:rsidRPr="0086214D">
        <w:rPr>
          <w:bCs/>
          <w:szCs w:val="20"/>
        </w:rPr>
        <w:t>Mcgraw-Hill</w:t>
      </w:r>
      <w:proofErr w:type="spellEnd"/>
      <w:r w:rsidRPr="0086214D">
        <w:rPr>
          <w:bCs/>
          <w:szCs w:val="20"/>
        </w:rPr>
        <w:t xml:space="preserve"> Companies)</w:t>
      </w:r>
    </w:p>
    <w:p w14:paraId="2A56E39E" w14:textId="77777777" w:rsidR="00B70C76" w:rsidRPr="0086214D" w:rsidRDefault="00B70C76" w:rsidP="003B0D69">
      <w:pPr>
        <w:spacing w:before="240" w:after="29"/>
        <w:rPr>
          <w:bCs/>
          <w:szCs w:val="20"/>
        </w:rPr>
      </w:pPr>
      <w:r w:rsidRPr="0086214D">
        <w:rPr>
          <w:bCs/>
          <w:szCs w:val="20"/>
        </w:rPr>
        <w:t xml:space="preserve">Malcolm B, </w:t>
      </w:r>
      <w:proofErr w:type="spellStart"/>
      <w:r w:rsidRPr="0086214D">
        <w:rPr>
          <w:bCs/>
          <w:szCs w:val="20"/>
        </w:rPr>
        <w:t>Makeham</w:t>
      </w:r>
      <w:proofErr w:type="spellEnd"/>
      <w:r w:rsidRPr="0086214D">
        <w:rPr>
          <w:bCs/>
          <w:szCs w:val="20"/>
        </w:rPr>
        <w:t xml:space="preserve"> J, Wright V 'The Farming Game - Agricultural Management and Marketing.' (Cambridge University Press: Melbourne)</w:t>
      </w:r>
    </w:p>
    <w:p w14:paraId="6266EFED" w14:textId="77777777" w:rsidR="00B70C76" w:rsidRPr="0086214D" w:rsidRDefault="00B70C76" w:rsidP="003B0D69">
      <w:pPr>
        <w:spacing w:before="240" w:after="29"/>
        <w:rPr>
          <w:bCs/>
          <w:szCs w:val="20"/>
        </w:rPr>
      </w:pPr>
      <w:proofErr w:type="spellStart"/>
      <w:r w:rsidRPr="0086214D">
        <w:rPr>
          <w:bCs/>
          <w:szCs w:val="20"/>
        </w:rPr>
        <w:t>Nuthall</w:t>
      </w:r>
      <w:proofErr w:type="spellEnd"/>
      <w:r w:rsidRPr="0086214D">
        <w:rPr>
          <w:bCs/>
          <w:szCs w:val="20"/>
        </w:rPr>
        <w:t xml:space="preserve"> P ‘Farm Business Management: Analysis of Farming Systems ‘ (CAB international)</w:t>
      </w:r>
    </w:p>
    <w:p w14:paraId="35E33AC5" w14:textId="23310279" w:rsidR="00E827F7" w:rsidRPr="0086214D" w:rsidRDefault="00E827F7" w:rsidP="003B049E">
      <w:pPr>
        <w:rPr>
          <w:b/>
          <w:bCs/>
          <w:szCs w:val="20"/>
        </w:rPr>
      </w:pPr>
    </w:p>
    <w:sectPr w:rsidR="00E827F7" w:rsidRPr="0086214D" w:rsidSect="00614166">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B0DC0" w14:textId="77777777" w:rsidR="0086759B" w:rsidRDefault="0086759B" w:rsidP="00D62269">
      <w:pPr>
        <w:spacing w:after="0" w:line="240" w:lineRule="auto"/>
      </w:pPr>
      <w:r>
        <w:separator/>
      </w:r>
    </w:p>
  </w:endnote>
  <w:endnote w:type="continuationSeparator" w:id="0">
    <w:p w14:paraId="259BC8BC" w14:textId="77777777" w:rsidR="0086759B" w:rsidRDefault="0086759B" w:rsidP="00D62269">
      <w:pPr>
        <w:spacing w:after="0" w:line="240" w:lineRule="auto"/>
      </w:pPr>
      <w:r>
        <w:continuationSeparator/>
      </w:r>
    </w:p>
  </w:endnote>
  <w:endnote w:type="continuationNotice" w:id="1">
    <w:p w14:paraId="4FDE3D05" w14:textId="77777777" w:rsidR="0086759B" w:rsidRDefault="00867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SemiBold">
    <w:altName w:val="Cambria"/>
    <w:panose1 w:val="00000000000000000000"/>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DDFB" w14:textId="65DC6EA9" w:rsidR="000C20E1" w:rsidRDefault="000C20E1">
    <w:pPr>
      <w:pStyle w:val="Footer"/>
    </w:pPr>
    <w:r>
      <w:rPr>
        <w:noProof/>
      </w:rPr>
      <mc:AlternateContent>
        <mc:Choice Requires="wps">
          <w:drawing>
            <wp:inline distT="0" distB="0" distL="0" distR="0" wp14:anchorId="548E4134" wp14:editId="292E5E13">
              <wp:extent cx="7560310" cy="252095"/>
              <wp:effectExtent l="0" t="0" r="0" b="14605"/>
              <wp:docPr id="4" name="MSIPCMdbfa4b77906cd759ed1fbdf4"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F9A3A" w14:textId="47C740BA"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548E4134" id="_x0000_t202" coordsize="21600,21600" o:spt="202" path="m,l,21600r21600,l21600,xe">
              <v:stroke joinstyle="miter"/>
              <v:path gradientshapeok="t" o:connecttype="rect"/>
            </v:shapetype>
            <v:shape id="MSIPCMdbfa4b77906cd759ed1fbdf4" o:spid="_x0000_s1031" type="#_x0000_t202" alt="{&quot;HashCode&quot;:376260202,&quot;Height&quot;:841.0,&quot;Width&quot;:595.0,&quot;Placement&quot;:&quot;Footer&quot;,&quot;Index&quot;:&quot;Primary&quot;,&quot;Section&quot;:1,&quot;Top&quot;:0.0,&quot;Left&quot;:0.0}" style="width:595.3pt;height:19.8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" filled="f" stroked="f" strokeweight=".5pt">
              <v:textbox inset=",0,,0">
                <w:txbxContent>
                  <w:p w14:paraId="595F9A3A" w14:textId="47C740BA"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F87C" w14:textId="77777777" w:rsidR="0086759B" w:rsidRDefault="0086759B" w:rsidP="00D62269">
      <w:pPr>
        <w:spacing w:after="0" w:line="240" w:lineRule="auto"/>
      </w:pPr>
      <w:r>
        <w:separator/>
      </w:r>
    </w:p>
  </w:footnote>
  <w:footnote w:type="continuationSeparator" w:id="0">
    <w:p w14:paraId="14DEC38D" w14:textId="77777777" w:rsidR="0086759B" w:rsidRDefault="0086759B" w:rsidP="00D62269">
      <w:pPr>
        <w:spacing w:after="0" w:line="240" w:lineRule="auto"/>
      </w:pPr>
      <w:r>
        <w:continuationSeparator/>
      </w:r>
    </w:p>
  </w:footnote>
  <w:footnote w:type="continuationNotice" w:id="1">
    <w:p w14:paraId="546B454F" w14:textId="77777777" w:rsidR="0086759B" w:rsidRDefault="008675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48F8" w14:textId="4D94E35B" w:rsidR="000C20E1" w:rsidRDefault="000C20E1">
    <w:pPr>
      <w:pStyle w:val="Header"/>
    </w:pPr>
    <w:r>
      <w:rPr>
        <w:noProof/>
      </w:rPr>
      <mc:AlternateContent>
        <mc:Choice Requires="wps">
          <w:drawing>
            <wp:inline distT="0" distB="0" distL="0" distR="0" wp14:anchorId="63E2FCF6" wp14:editId="3EC5D0AB">
              <wp:extent cx="7560310" cy="252095"/>
              <wp:effectExtent l="0" t="0" r="0" b="14605"/>
              <wp:docPr id="6" name="MSIPCMece9408dae9869abb0e84309"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B97A0" w14:textId="725821CE"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63E2FCF6" id="_x0000_t202" coordsize="21600,21600" o:spt="202" path="m,l,21600r21600,l21600,xe">
              <v:stroke joinstyle="miter"/>
              <v:path gradientshapeok="t" o:connecttype="rect"/>
            </v:shapetype>
            <v:shape id="MSIPCMece9408dae9869abb0e84309" o:spid="_x0000_s1030" type="#_x0000_t202" alt="{&quot;HashCode&quot;:352122633,&quot;Height&quot;:841.0,&quot;Width&quot;:595.0,&quot;Placement&quot;:&quot;Header&quot;,&quot;Index&quot;:&quot;Primary&quot;,&quot;Section&quot;:1,&quot;Top&quot;:0.0,&quot;Left&quot;:0.0}" style="width:595.3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" filled="f" stroked="f" strokeweight=".5pt">
              <v:textbox inset=",0,,0">
                <w:txbxContent>
                  <w:p w14:paraId="75CB97A0" w14:textId="725821CE" w:rsidR="000C20E1" w:rsidRPr="000C20E1" w:rsidRDefault="000C20E1" w:rsidP="000C20E1">
                    <w:pPr>
                      <w:spacing w:after="0"/>
                      <w:jc w:val="center"/>
                      <w:rPr>
                        <w:rFonts w:ascii="Arial" w:hAnsi="Arial" w:cs="Arial"/>
                        <w:color w:val="000000"/>
                        <w:sz w:val="24"/>
                      </w:rPr>
                    </w:pPr>
                    <w:r w:rsidRPr="000C20E1">
                      <w:rPr>
                        <w:rFonts w:ascii="Arial" w:hAnsi="Arial" w:cs="Arial"/>
                        <w:color w:val="000000"/>
                        <w:sz w:val="24"/>
                      </w:rPr>
                      <w:t>OFFICIAL</w:t>
                    </w:r>
                  </w:p>
                </w:txbxContent>
              </v:textbox>
              <w10:anchorlock/>
            </v:shape>
          </w:pict>
        </mc:Fallback>
      </mc:AlternateContent>
    </w:r>
  </w:p>
</w:hdr>
</file>

<file path=word/intelligence.xml><?xml version="1.0" encoding="utf-8"?>
<int:Intelligence xmlns:int="http://schemas.microsoft.com/office/intelligence/2019/intelligence">
  <int:IntelligenceSettings/>
  <int:Manifest>
    <int:WordHash hashCode="GodVyhi+po+kPi" id="KxuGbUNl"/>
    <int:WordHash hashCode="3QWm+MyH19Pf9Y" id="EHz3Ewok"/>
    <int:ParagraphRange paragraphId="1758889309" textId="2004318071" start="0" length="3" invalidationStart="0" invalidationLength="3" id="jBognnnS"/>
    <int:ParagraphRange paragraphId="1707342310" textId="2004318071" start="49" length="11" invalidationStart="49" invalidationLength="11" id="hmE5zScL"/>
    <int:ParagraphRange paragraphId="710337438" textId="2004318071" start="11" length="7" invalidationStart="11" invalidationLength="7" id="KseC55bG"/>
    <int:ParagraphRange paragraphId="1650913261" textId="2004318071" start="0" length="7" invalidationStart="0" invalidationLength="7" id="IJ3JjcnB"/>
    <int:WordHash hashCode="EOK2dUQ+H01/Sp" id="BUwE0EqY"/>
    <int:WordHash hashCode="EiQMiSsIs6wPXs" id="KgX0qE/0"/>
    <int:ParagraphRange paragraphId="580923284" textId="1641525791" start="0" length="10" invalidationStart="0" invalidationLength="10" id="J4rSl552"/>
    <int:ParagraphRange paragraphId="1475571601" textId="1978222774" start="0" length="10" invalidationStart="0" invalidationLength="10" id="8aQdiCOM"/>
    <int:ParagraphRange paragraphId="82362172" textId="946511229" start="335" length="10" invalidationStart="335" invalidationLength="10" id="QCJSaeC7"/>
    <int:ParagraphRange paragraphId="710595436" textId="1993063402" start="0" length="10" invalidationStart="0" invalidationLength="10" id="8/M0ZQQi"/>
    <int:ParagraphRange paragraphId="295284369" textId="1808181860" start="18" length="13" invalidationStart="18" invalidationLength="13" id="6TDzAwqW"/>
    <int:ParagraphRange paragraphId="295284369" textId="1400999228" start="517" length="9" invalidationStart="517" invalidationLength="9" id="zfcSnYZJ"/>
    <int:ParagraphRange paragraphId="969658608" textId="252408988" start="88" length="10" invalidationStart="88" invalidationLength="10" id="tdkJEKQk"/>
    <int:ParagraphRange paragraphId="969658608" textId="252408988" start="304" length="10" invalidationStart="304" invalidationLength="10" id="YqZm4rhy"/>
    <int:ParagraphRange paragraphId="969658608" textId="252408988" start="460" length="10" invalidationStart="460" invalidationLength="10" id="LHbAjNF2"/>
    <int:ParagraphRange paragraphId="1565680559" textId="200087333" start="59" length="10" invalidationStart="59" invalidationLength="10" id="yNjbuVbF"/>
    <int:ParagraphRange paragraphId="117378555" textId="995538502" start="38" length="10" invalidationStart="38" invalidationLength="10" id="nfUQmiNB"/>
    <int:ParagraphRange paragraphId="227704730" textId="487278806" start="43" length="10" invalidationStart="43" invalidationLength="10" id="vhr6bvVK"/>
    <int:ParagraphRange paragraphId="435253322" textId="406583826" start="51" length="10" invalidationStart="51" invalidationLength="10" id="v6kw+Nnf"/>
    <int:ParagraphRange paragraphId="242956091" textId="1854742848" start="55" length="10" invalidationStart="55" invalidationLength="10" id="SzRPLzG6"/>
    <int:ParagraphRange paragraphId="1769905343" textId="77442657" start="45" length="10" invalidationStart="45" invalidationLength="10" id="S3PMt+xd"/>
    <int:ParagraphRange paragraphId="1707342310" textId="2004318071" start="26" length="5" invalidationStart="26" invalidationLength="5" id="XJ0eAe74"/>
    <int:ParagraphRange paragraphId="1650913261" textId="2004318071" start="65" length="3" invalidationStart="65" invalidationLength="3" id="Wv5x7T3C"/>
    <int:ParagraphRange paragraphId="373666749" textId="1602568310" start="475" length="10" invalidationStart="475" invalidationLength="10" id="XoV0HkB8"/>
    <int:ParagraphRange paragraphId="373666749" textId="1602568310" start="377" length="10" invalidationStart="377" invalidationLength="10" id="UhXEQO/D"/>
    <int:ParagraphRange paragraphId="700215350" textId="710580056" start="104" length="10" invalidationStart="104" invalidationLength="10" id="AWNIO/uP"/>
    <int:ParagraphRange paragraphId="1974339943" textId="1142100443" start="89" length="10" invalidationStart="89" invalidationLength="10" id="Fmr3BYbI"/>
    <int:WordHash hashCode="EfatjsUqKYSrqv" id="xMybvhAI"/>
    <int:WordHash hashCode="zNHh1JJ3Wjq1kG" id="Hcl0jpWH"/>
    <int:WordHash hashCode="igXZWEBAnfBjtM" id="Tv8vY58j"/>
    <int:WordHash hashCode="yl7TYsfLveKqaK" id="jF3Dzl9Z"/>
    <int:WordHash hashCode="QuJyQSw0O+W4ZN" id="Q+eqVl/j"/>
    <int:WordHash hashCode="0V/BIrLOvvP5Xc" id="82XuR7E6"/>
    <int:WordHash hashCode="fV7iOu05ZrRImQ" id="3zQZ4Ho3"/>
    <int:WordHash hashCode="E5evpY6D0xoZkk" id="xuWP4yhG"/>
    <int:WordHash hashCode="OaDzGyp0RuAEHA" id="Kkap1KWy"/>
    <int:WordHash hashCode="6M26fTkkwtCevU" id="7zciPYfA"/>
    <int:WordHash hashCode="cFiEnU/w4xULJH" id="l6t2/HXy"/>
    <int:WordHash hashCode="pmhk9FpaEkZEmb" id="ospeC4RG"/>
    <int:WordHash hashCode="tNNiz891W4EbMF" id="71b0zMZd"/>
    <int:WordHash hashCode="ZGiF2xBzVmYk4i" id="ZKCgrxic"/>
    <int:WordHash hashCode="RoHRJMxsS3O6q/" id="5Xct9Gke"/>
    <int:WordHash hashCode="lcsL/Sl3x2EpjZ" id="5gPUpfAu"/>
  </int:Manifest>
  <int:Observations>
    <int:Content id="KxuGbUNl">
      <int:Rejection type="LegacyProofing"/>
    </int:Content>
    <int:Content id="EHz3Ewok">
      <int:Rejection type="LegacyProofing"/>
    </int:Content>
    <int:Content id="jBognnnS">
      <int:Rejection type="LegacyProofing"/>
    </int:Content>
    <int:Content id="hmE5zScL">
      <int:Rejection type="LegacyProofing"/>
    </int:Content>
    <int:Content id="KseC55bG">
      <int:Rejection type="LegacyProofing"/>
    </int:Content>
    <int:Content id="IJ3JjcnB">
      <int:Rejection type="LegacyProofing"/>
    </int:Content>
    <int:Content id="BUwE0EqY">
      <int:Rejection type="LegacyProofing"/>
    </int:Content>
    <int:Content id="KgX0qE/0">
      <int:Rejection type="LegacyProofing"/>
    </int:Content>
    <int:Content id="J4rSl552">
      <int:Rejection type="LegacyProofing"/>
    </int:Content>
    <int:Content id="8aQdiCOM">
      <int:Rejection type="LegacyProofing"/>
    </int:Content>
    <int:Content id="QCJSaeC7">
      <int:Rejection type="LegacyProofing"/>
    </int:Content>
    <int:Content id="8/M0ZQQi">
      <int:Rejection type="LegacyProofing"/>
    </int:Content>
    <int:Content id="6TDzAwqW">
      <int:Rejection type="LegacyProofing"/>
    </int:Content>
    <int:Content id="zfcSnYZJ">
      <int:Rejection type="LegacyProofing"/>
    </int:Content>
    <int:Content id="tdkJEKQk">
      <int:Rejection type="LegacyProofing"/>
    </int:Content>
    <int:Content id="YqZm4rhy">
      <int:Rejection type="LegacyProofing"/>
    </int:Content>
    <int:Content id="LHbAjNF2">
      <int:Rejection type="LegacyProofing"/>
    </int:Content>
    <int:Content id="yNjbuVbF">
      <int:Rejection type="LegacyProofing"/>
    </int:Content>
    <int:Content id="nfUQmiNB">
      <int:Rejection type="LegacyProofing"/>
    </int:Content>
    <int:Content id="vhr6bvVK">
      <int:Rejection type="LegacyProofing"/>
    </int:Content>
    <int:Content id="v6kw+Nnf">
      <int:Rejection type="LegacyProofing"/>
    </int:Content>
    <int:Content id="SzRPLzG6">
      <int:Rejection type="LegacyProofing"/>
    </int:Content>
    <int:Content id="S3PMt+xd">
      <int:Rejection type="LegacyProofing"/>
    </int:Content>
    <int:Content id="XJ0eAe74">
      <int:Rejection type="LegacyProofing"/>
    </int:Content>
    <int:Content id="Wv5x7T3C">
      <int:Rejection type="LegacyProofing"/>
    </int:Content>
    <int:Content id="XoV0HkB8">
      <int:Rejection type="LegacyProofing"/>
    </int:Content>
    <int:Content id="UhXEQO/D">
      <int:Rejection type="LegacyProofing"/>
    </int:Content>
    <int:Content id="AWNIO/uP">
      <int:Rejection type="LegacyProofing"/>
    </int:Content>
    <int:Content id="Fmr3BYbI">
      <int:Rejection type="LegacyProofing"/>
    </int:Content>
    <int:Content id="xMybvhAI">
      <int:Rejection type="AugLoop_Text_Critique"/>
    </int:Content>
    <int:Content id="Hcl0jpWH">
      <int:Rejection type="LegacyProofing"/>
    </int:Content>
    <int:Content id="Tv8vY58j">
      <int:Rejection type="LegacyProofing"/>
    </int:Content>
    <int:Content id="jF3Dzl9Z">
      <int:Rejection type="LegacyProofing"/>
    </int:Content>
    <int:Content id="Q+eqVl/j">
      <int:Rejection type="LegacyProofing"/>
    </int:Content>
    <int:Content id="82XuR7E6">
      <int:Rejection type="LegacyProofing"/>
    </int:Content>
    <int:Content id="3zQZ4Ho3">
      <int:Rejection type="LegacyProofing"/>
    </int:Content>
    <int:Content id="xuWP4yhG">
      <int:Rejection type="AugLoop_Acronyms_AcronymsCritique"/>
    </int:Content>
    <int:Content id="Kkap1KWy">
      <int:Rejection type="AugLoop_Acronyms_AcronymsCritique"/>
    </int:Content>
    <int:Content id="7zciPYfA">
      <int:Rejection type="AugLoop_Acronyms_AcronymsCritique"/>
    </int:Content>
    <int:Content id="l6t2/HXy">
      <int:Rejection type="AugLoop_Acronyms_AcronymsCritique"/>
    </int:Content>
    <int:Content id="ospeC4RG">
      <int:Rejection type="AugLoop_Acronyms_AcronymsCritique"/>
    </int:Content>
    <int:Content id="71b0zMZd">
      <int:Rejection type="AugLoop_Acronyms_AcronymsCritique"/>
    </int:Content>
    <int:Content id="ZKCgrxic">
      <int:Rejection type="AugLoop_Text_Critique"/>
    </int:Content>
    <int:Content id="5Xct9Gke">
      <int:Rejection type="AugLoop_Text_Critique"/>
    </int:Content>
    <int:Content id="5gPUpfAu">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2EB"/>
    <w:multiLevelType w:val="hybridMultilevel"/>
    <w:tmpl w:val="82902E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5AD710A"/>
    <w:multiLevelType w:val="multilevel"/>
    <w:tmpl w:val="978C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B4978"/>
    <w:multiLevelType w:val="hybridMultilevel"/>
    <w:tmpl w:val="9CB2F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A307C6"/>
    <w:multiLevelType w:val="hybridMultilevel"/>
    <w:tmpl w:val="B7CA7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81095"/>
    <w:multiLevelType w:val="hybridMultilevel"/>
    <w:tmpl w:val="7312EA40"/>
    <w:lvl w:ilvl="0" w:tplc="96EEA1D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D2216F"/>
    <w:multiLevelType w:val="hybridMultilevel"/>
    <w:tmpl w:val="817CD1C2"/>
    <w:lvl w:ilvl="0" w:tplc="B69CF0E8">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431BC3"/>
    <w:multiLevelType w:val="hybridMultilevel"/>
    <w:tmpl w:val="654EBE30"/>
    <w:lvl w:ilvl="0" w:tplc="9BEC19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AA2CC9"/>
    <w:multiLevelType w:val="hybridMultilevel"/>
    <w:tmpl w:val="BB8C8ADE"/>
    <w:lvl w:ilvl="0" w:tplc="EDBA8E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0A705F"/>
    <w:multiLevelType w:val="hybridMultilevel"/>
    <w:tmpl w:val="9404F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265EB2"/>
    <w:multiLevelType w:val="hybridMultilevel"/>
    <w:tmpl w:val="23E0B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5"/>
  </w:num>
  <w:num w:numId="5">
    <w:abstractNumId w:val="1"/>
  </w:num>
  <w:num w:numId="6">
    <w:abstractNumId w:val="2"/>
  </w:num>
  <w:num w:numId="7">
    <w:abstractNumId w:val="3"/>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89"/>
    <w:rsid w:val="0000138D"/>
    <w:rsid w:val="000018D6"/>
    <w:rsid w:val="0000190D"/>
    <w:rsid w:val="00002085"/>
    <w:rsid w:val="00002088"/>
    <w:rsid w:val="00002137"/>
    <w:rsid w:val="00002BC6"/>
    <w:rsid w:val="00002C43"/>
    <w:rsid w:val="000031BC"/>
    <w:rsid w:val="000031E7"/>
    <w:rsid w:val="00004126"/>
    <w:rsid w:val="00005138"/>
    <w:rsid w:val="000066B0"/>
    <w:rsid w:val="00006F8B"/>
    <w:rsid w:val="00007857"/>
    <w:rsid w:val="00010A09"/>
    <w:rsid w:val="00010C6F"/>
    <w:rsid w:val="00011183"/>
    <w:rsid w:val="000116E8"/>
    <w:rsid w:val="00011705"/>
    <w:rsid w:val="00011FEE"/>
    <w:rsid w:val="0001211E"/>
    <w:rsid w:val="00012C9A"/>
    <w:rsid w:val="000141CB"/>
    <w:rsid w:val="00015080"/>
    <w:rsid w:val="00015FCF"/>
    <w:rsid w:val="000160C3"/>
    <w:rsid w:val="00017128"/>
    <w:rsid w:val="000175F2"/>
    <w:rsid w:val="0001779D"/>
    <w:rsid w:val="00020146"/>
    <w:rsid w:val="00020BB3"/>
    <w:rsid w:val="000214CB"/>
    <w:rsid w:val="000217F0"/>
    <w:rsid w:val="00022486"/>
    <w:rsid w:val="00023D0B"/>
    <w:rsid w:val="0002464C"/>
    <w:rsid w:val="000250D3"/>
    <w:rsid w:val="0002521D"/>
    <w:rsid w:val="00025272"/>
    <w:rsid w:val="000256DD"/>
    <w:rsid w:val="0002588A"/>
    <w:rsid w:val="00025C5A"/>
    <w:rsid w:val="0002609E"/>
    <w:rsid w:val="000260D7"/>
    <w:rsid w:val="000260E0"/>
    <w:rsid w:val="000262B6"/>
    <w:rsid w:val="0002694D"/>
    <w:rsid w:val="00026A47"/>
    <w:rsid w:val="000271A4"/>
    <w:rsid w:val="0002785A"/>
    <w:rsid w:val="00027A3E"/>
    <w:rsid w:val="00030C4C"/>
    <w:rsid w:val="000325CB"/>
    <w:rsid w:val="000327E7"/>
    <w:rsid w:val="00032922"/>
    <w:rsid w:val="000332E0"/>
    <w:rsid w:val="00033BA0"/>
    <w:rsid w:val="00034AEB"/>
    <w:rsid w:val="000354AE"/>
    <w:rsid w:val="00035894"/>
    <w:rsid w:val="000358DA"/>
    <w:rsid w:val="00035B06"/>
    <w:rsid w:val="00036BA7"/>
    <w:rsid w:val="00036BD5"/>
    <w:rsid w:val="00036FEC"/>
    <w:rsid w:val="000408E0"/>
    <w:rsid w:val="00041555"/>
    <w:rsid w:val="00041712"/>
    <w:rsid w:val="0004239E"/>
    <w:rsid w:val="00042445"/>
    <w:rsid w:val="00043504"/>
    <w:rsid w:val="0004354C"/>
    <w:rsid w:val="00044B34"/>
    <w:rsid w:val="00047881"/>
    <w:rsid w:val="00047DAA"/>
    <w:rsid w:val="00050CDB"/>
    <w:rsid w:val="00051500"/>
    <w:rsid w:val="0005187C"/>
    <w:rsid w:val="00052092"/>
    <w:rsid w:val="00052563"/>
    <w:rsid w:val="00052F3E"/>
    <w:rsid w:val="00052F4D"/>
    <w:rsid w:val="00053A23"/>
    <w:rsid w:val="00053B2B"/>
    <w:rsid w:val="00054801"/>
    <w:rsid w:val="000548E4"/>
    <w:rsid w:val="0005491C"/>
    <w:rsid w:val="00055C54"/>
    <w:rsid w:val="00056579"/>
    <w:rsid w:val="00056CF2"/>
    <w:rsid w:val="00056D9C"/>
    <w:rsid w:val="0005783D"/>
    <w:rsid w:val="0006010B"/>
    <w:rsid w:val="0006023A"/>
    <w:rsid w:val="00060516"/>
    <w:rsid w:val="00060A2E"/>
    <w:rsid w:val="00060B13"/>
    <w:rsid w:val="00060B2E"/>
    <w:rsid w:val="00061577"/>
    <w:rsid w:val="00061582"/>
    <w:rsid w:val="00061A0B"/>
    <w:rsid w:val="00061DE6"/>
    <w:rsid w:val="0006427C"/>
    <w:rsid w:val="000667CB"/>
    <w:rsid w:val="00066C63"/>
    <w:rsid w:val="00067841"/>
    <w:rsid w:val="00067EE2"/>
    <w:rsid w:val="00070B2A"/>
    <w:rsid w:val="00071786"/>
    <w:rsid w:val="000722B7"/>
    <w:rsid w:val="000724B5"/>
    <w:rsid w:val="00073B93"/>
    <w:rsid w:val="00074500"/>
    <w:rsid w:val="00074638"/>
    <w:rsid w:val="00076EA1"/>
    <w:rsid w:val="00076EBE"/>
    <w:rsid w:val="000772A9"/>
    <w:rsid w:val="0008035B"/>
    <w:rsid w:val="000806DF"/>
    <w:rsid w:val="0008092F"/>
    <w:rsid w:val="0008123E"/>
    <w:rsid w:val="00081679"/>
    <w:rsid w:val="00081C15"/>
    <w:rsid w:val="00082165"/>
    <w:rsid w:val="00083AFD"/>
    <w:rsid w:val="00086314"/>
    <w:rsid w:val="00086D5A"/>
    <w:rsid w:val="00087149"/>
    <w:rsid w:val="00087546"/>
    <w:rsid w:val="00087731"/>
    <w:rsid w:val="00090BC1"/>
    <w:rsid w:val="00091708"/>
    <w:rsid w:val="00091A76"/>
    <w:rsid w:val="0009212F"/>
    <w:rsid w:val="000926E5"/>
    <w:rsid w:val="00092C9B"/>
    <w:rsid w:val="000936E5"/>
    <w:rsid w:val="00093A66"/>
    <w:rsid w:val="00093BE6"/>
    <w:rsid w:val="00093DE6"/>
    <w:rsid w:val="00093ECB"/>
    <w:rsid w:val="00094DE0"/>
    <w:rsid w:val="0009508D"/>
    <w:rsid w:val="00095C94"/>
    <w:rsid w:val="0009649B"/>
    <w:rsid w:val="00097A28"/>
    <w:rsid w:val="00097CA0"/>
    <w:rsid w:val="000A01DD"/>
    <w:rsid w:val="000A0CEC"/>
    <w:rsid w:val="000A0F27"/>
    <w:rsid w:val="000A0F4E"/>
    <w:rsid w:val="000A1020"/>
    <w:rsid w:val="000A15D9"/>
    <w:rsid w:val="000A1650"/>
    <w:rsid w:val="000A16C6"/>
    <w:rsid w:val="000A17E1"/>
    <w:rsid w:val="000A1ADD"/>
    <w:rsid w:val="000A2012"/>
    <w:rsid w:val="000A2081"/>
    <w:rsid w:val="000A2690"/>
    <w:rsid w:val="000A2DAA"/>
    <w:rsid w:val="000A36B0"/>
    <w:rsid w:val="000A3827"/>
    <w:rsid w:val="000A3CB4"/>
    <w:rsid w:val="000A4EB9"/>
    <w:rsid w:val="000A5B17"/>
    <w:rsid w:val="000A6AD7"/>
    <w:rsid w:val="000A6D1A"/>
    <w:rsid w:val="000A754E"/>
    <w:rsid w:val="000A78F5"/>
    <w:rsid w:val="000B0196"/>
    <w:rsid w:val="000B0C9A"/>
    <w:rsid w:val="000B0EEF"/>
    <w:rsid w:val="000B0FF1"/>
    <w:rsid w:val="000B12AE"/>
    <w:rsid w:val="000B25F4"/>
    <w:rsid w:val="000B2FA2"/>
    <w:rsid w:val="000B4648"/>
    <w:rsid w:val="000B47A2"/>
    <w:rsid w:val="000B4E73"/>
    <w:rsid w:val="000B51DF"/>
    <w:rsid w:val="000B59C8"/>
    <w:rsid w:val="000B5EB4"/>
    <w:rsid w:val="000B60DB"/>
    <w:rsid w:val="000B62FA"/>
    <w:rsid w:val="000B6939"/>
    <w:rsid w:val="000B6D59"/>
    <w:rsid w:val="000B6FD2"/>
    <w:rsid w:val="000B78F5"/>
    <w:rsid w:val="000B7BE1"/>
    <w:rsid w:val="000C0C8E"/>
    <w:rsid w:val="000C1125"/>
    <w:rsid w:val="000C129A"/>
    <w:rsid w:val="000C1B7A"/>
    <w:rsid w:val="000C1F40"/>
    <w:rsid w:val="000C1FD8"/>
    <w:rsid w:val="000C2028"/>
    <w:rsid w:val="000C20E1"/>
    <w:rsid w:val="000C2156"/>
    <w:rsid w:val="000C2590"/>
    <w:rsid w:val="000C2A6B"/>
    <w:rsid w:val="000C3C8D"/>
    <w:rsid w:val="000C4474"/>
    <w:rsid w:val="000C4B45"/>
    <w:rsid w:val="000C5984"/>
    <w:rsid w:val="000C67F0"/>
    <w:rsid w:val="000C7D09"/>
    <w:rsid w:val="000D02F0"/>
    <w:rsid w:val="000D05FF"/>
    <w:rsid w:val="000D0CBF"/>
    <w:rsid w:val="000D153C"/>
    <w:rsid w:val="000D1ABD"/>
    <w:rsid w:val="000D1C05"/>
    <w:rsid w:val="000D4B32"/>
    <w:rsid w:val="000D611B"/>
    <w:rsid w:val="000D67BF"/>
    <w:rsid w:val="000D6CFB"/>
    <w:rsid w:val="000D6F05"/>
    <w:rsid w:val="000D70A6"/>
    <w:rsid w:val="000E0698"/>
    <w:rsid w:val="000E098C"/>
    <w:rsid w:val="000E1302"/>
    <w:rsid w:val="000E2C20"/>
    <w:rsid w:val="000E4070"/>
    <w:rsid w:val="000E4576"/>
    <w:rsid w:val="000E59CA"/>
    <w:rsid w:val="000E5D3A"/>
    <w:rsid w:val="000E65DA"/>
    <w:rsid w:val="000E7496"/>
    <w:rsid w:val="000E7ADB"/>
    <w:rsid w:val="000F06FF"/>
    <w:rsid w:val="000F0B5C"/>
    <w:rsid w:val="000F0BB9"/>
    <w:rsid w:val="000F117D"/>
    <w:rsid w:val="000F2534"/>
    <w:rsid w:val="000F334D"/>
    <w:rsid w:val="000F4F43"/>
    <w:rsid w:val="000F4F88"/>
    <w:rsid w:val="000F5844"/>
    <w:rsid w:val="000F5A27"/>
    <w:rsid w:val="000F5BAA"/>
    <w:rsid w:val="000F6146"/>
    <w:rsid w:val="000F7484"/>
    <w:rsid w:val="000F7E08"/>
    <w:rsid w:val="001006E9"/>
    <w:rsid w:val="001011DE"/>
    <w:rsid w:val="00101373"/>
    <w:rsid w:val="00101CD6"/>
    <w:rsid w:val="00102A79"/>
    <w:rsid w:val="00103584"/>
    <w:rsid w:val="001040FE"/>
    <w:rsid w:val="0010434F"/>
    <w:rsid w:val="001048C2"/>
    <w:rsid w:val="0010506F"/>
    <w:rsid w:val="00105BA3"/>
    <w:rsid w:val="00105DF5"/>
    <w:rsid w:val="0010616E"/>
    <w:rsid w:val="00106329"/>
    <w:rsid w:val="00106F8B"/>
    <w:rsid w:val="001070A5"/>
    <w:rsid w:val="00110208"/>
    <w:rsid w:val="00110413"/>
    <w:rsid w:val="001105FF"/>
    <w:rsid w:val="001107B5"/>
    <w:rsid w:val="00110A00"/>
    <w:rsid w:val="00110BCF"/>
    <w:rsid w:val="0011151A"/>
    <w:rsid w:val="001115BF"/>
    <w:rsid w:val="0011261C"/>
    <w:rsid w:val="001129EC"/>
    <w:rsid w:val="00113281"/>
    <w:rsid w:val="00113297"/>
    <w:rsid w:val="0011504F"/>
    <w:rsid w:val="00115081"/>
    <w:rsid w:val="00115877"/>
    <w:rsid w:val="00116509"/>
    <w:rsid w:val="0011756F"/>
    <w:rsid w:val="001179E3"/>
    <w:rsid w:val="00117BEA"/>
    <w:rsid w:val="001216FD"/>
    <w:rsid w:val="00121CCE"/>
    <w:rsid w:val="00122136"/>
    <w:rsid w:val="001223F6"/>
    <w:rsid w:val="0012295B"/>
    <w:rsid w:val="00122C67"/>
    <w:rsid w:val="001230DC"/>
    <w:rsid w:val="00123C75"/>
    <w:rsid w:val="001244AC"/>
    <w:rsid w:val="001254CA"/>
    <w:rsid w:val="001254ED"/>
    <w:rsid w:val="0012575F"/>
    <w:rsid w:val="00125858"/>
    <w:rsid w:val="00125C05"/>
    <w:rsid w:val="00125CD4"/>
    <w:rsid w:val="00125DF6"/>
    <w:rsid w:val="00126016"/>
    <w:rsid w:val="00126A67"/>
    <w:rsid w:val="00126B7B"/>
    <w:rsid w:val="001276D6"/>
    <w:rsid w:val="001279CD"/>
    <w:rsid w:val="00130797"/>
    <w:rsid w:val="00130FC6"/>
    <w:rsid w:val="00132228"/>
    <w:rsid w:val="00132A78"/>
    <w:rsid w:val="00133543"/>
    <w:rsid w:val="00133564"/>
    <w:rsid w:val="00133640"/>
    <w:rsid w:val="00133B08"/>
    <w:rsid w:val="00134549"/>
    <w:rsid w:val="001346C6"/>
    <w:rsid w:val="0013579A"/>
    <w:rsid w:val="0013594D"/>
    <w:rsid w:val="00135B58"/>
    <w:rsid w:val="00135D46"/>
    <w:rsid w:val="00136F1D"/>
    <w:rsid w:val="00137033"/>
    <w:rsid w:val="001370DC"/>
    <w:rsid w:val="00137648"/>
    <w:rsid w:val="001376C0"/>
    <w:rsid w:val="00137F59"/>
    <w:rsid w:val="001403E7"/>
    <w:rsid w:val="00140A2E"/>
    <w:rsid w:val="00140C74"/>
    <w:rsid w:val="00140C83"/>
    <w:rsid w:val="00141562"/>
    <w:rsid w:val="00142137"/>
    <w:rsid w:val="00142403"/>
    <w:rsid w:val="00143173"/>
    <w:rsid w:val="00144619"/>
    <w:rsid w:val="00144915"/>
    <w:rsid w:val="00145235"/>
    <w:rsid w:val="00145A4F"/>
    <w:rsid w:val="00145A8A"/>
    <w:rsid w:val="0014611C"/>
    <w:rsid w:val="00146224"/>
    <w:rsid w:val="0014683C"/>
    <w:rsid w:val="00146F61"/>
    <w:rsid w:val="001472D6"/>
    <w:rsid w:val="001473BF"/>
    <w:rsid w:val="0014773A"/>
    <w:rsid w:val="00147F2E"/>
    <w:rsid w:val="00150D9E"/>
    <w:rsid w:val="00150EEA"/>
    <w:rsid w:val="00151876"/>
    <w:rsid w:val="001520B0"/>
    <w:rsid w:val="001535FC"/>
    <w:rsid w:val="00153815"/>
    <w:rsid w:val="00153A0D"/>
    <w:rsid w:val="00153E21"/>
    <w:rsid w:val="001543E6"/>
    <w:rsid w:val="00154C51"/>
    <w:rsid w:val="00154E68"/>
    <w:rsid w:val="00155D46"/>
    <w:rsid w:val="00156434"/>
    <w:rsid w:val="001572F8"/>
    <w:rsid w:val="0015769C"/>
    <w:rsid w:val="00161165"/>
    <w:rsid w:val="0016117A"/>
    <w:rsid w:val="00161266"/>
    <w:rsid w:val="00161888"/>
    <w:rsid w:val="00161C15"/>
    <w:rsid w:val="00162155"/>
    <w:rsid w:val="001625F7"/>
    <w:rsid w:val="00162754"/>
    <w:rsid w:val="00162A9B"/>
    <w:rsid w:val="001634F0"/>
    <w:rsid w:val="00164371"/>
    <w:rsid w:val="001643F6"/>
    <w:rsid w:val="00165569"/>
    <w:rsid w:val="001655BB"/>
    <w:rsid w:val="001658AD"/>
    <w:rsid w:val="001658C4"/>
    <w:rsid w:val="001659D2"/>
    <w:rsid w:val="00165C78"/>
    <w:rsid w:val="00166041"/>
    <w:rsid w:val="0016674D"/>
    <w:rsid w:val="00167226"/>
    <w:rsid w:val="00167B38"/>
    <w:rsid w:val="00170C42"/>
    <w:rsid w:val="00171322"/>
    <w:rsid w:val="00171968"/>
    <w:rsid w:val="001729CE"/>
    <w:rsid w:val="00172FFC"/>
    <w:rsid w:val="00173B10"/>
    <w:rsid w:val="001740D5"/>
    <w:rsid w:val="00174376"/>
    <w:rsid w:val="00175707"/>
    <w:rsid w:val="00175A00"/>
    <w:rsid w:val="00176898"/>
    <w:rsid w:val="00176AE7"/>
    <w:rsid w:val="00177EE7"/>
    <w:rsid w:val="0018003E"/>
    <w:rsid w:val="001800C0"/>
    <w:rsid w:val="00180434"/>
    <w:rsid w:val="00180977"/>
    <w:rsid w:val="00181AC2"/>
    <w:rsid w:val="00181D9D"/>
    <w:rsid w:val="00181EC3"/>
    <w:rsid w:val="00182734"/>
    <w:rsid w:val="00182ADA"/>
    <w:rsid w:val="00183897"/>
    <w:rsid w:val="00183B34"/>
    <w:rsid w:val="001843A0"/>
    <w:rsid w:val="00184786"/>
    <w:rsid w:val="00184E2D"/>
    <w:rsid w:val="00185266"/>
    <w:rsid w:val="001860FB"/>
    <w:rsid w:val="00186AC3"/>
    <w:rsid w:val="0018761A"/>
    <w:rsid w:val="00187E17"/>
    <w:rsid w:val="00190055"/>
    <w:rsid w:val="001902CA"/>
    <w:rsid w:val="00190B8F"/>
    <w:rsid w:val="00191CB0"/>
    <w:rsid w:val="001923E2"/>
    <w:rsid w:val="00192582"/>
    <w:rsid w:val="00192EE9"/>
    <w:rsid w:val="0019347A"/>
    <w:rsid w:val="001938F0"/>
    <w:rsid w:val="001943A8"/>
    <w:rsid w:val="001945C0"/>
    <w:rsid w:val="001949A6"/>
    <w:rsid w:val="00196311"/>
    <w:rsid w:val="0019698F"/>
    <w:rsid w:val="00196C1B"/>
    <w:rsid w:val="00196C4C"/>
    <w:rsid w:val="0019704C"/>
    <w:rsid w:val="00197E4A"/>
    <w:rsid w:val="00197E86"/>
    <w:rsid w:val="001A0C00"/>
    <w:rsid w:val="001A0F50"/>
    <w:rsid w:val="001A17AC"/>
    <w:rsid w:val="001A4425"/>
    <w:rsid w:val="001A55EB"/>
    <w:rsid w:val="001A58BD"/>
    <w:rsid w:val="001A5A52"/>
    <w:rsid w:val="001A5ACB"/>
    <w:rsid w:val="001A5BF7"/>
    <w:rsid w:val="001A62A3"/>
    <w:rsid w:val="001A6BED"/>
    <w:rsid w:val="001A7670"/>
    <w:rsid w:val="001A76EB"/>
    <w:rsid w:val="001B030D"/>
    <w:rsid w:val="001B0318"/>
    <w:rsid w:val="001B0DC5"/>
    <w:rsid w:val="001B1437"/>
    <w:rsid w:val="001B14B1"/>
    <w:rsid w:val="001B18C8"/>
    <w:rsid w:val="001B1B23"/>
    <w:rsid w:val="001B1C61"/>
    <w:rsid w:val="001B22CE"/>
    <w:rsid w:val="001B26A5"/>
    <w:rsid w:val="001B2D87"/>
    <w:rsid w:val="001B3450"/>
    <w:rsid w:val="001B3C38"/>
    <w:rsid w:val="001B4A28"/>
    <w:rsid w:val="001B4C3D"/>
    <w:rsid w:val="001B55A5"/>
    <w:rsid w:val="001B5E52"/>
    <w:rsid w:val="001B6A77"/>
    <w:rsid w:val="001B6C9F"/>
    <w:rsid w:val="001B7420"/>
    <w:rsid w:val="001B7A69"/>
    <w:rsid w:val="001B7C63"/>
    <w:rsid w:val="001C1C6A"/>
    <w:rsid w:val="001C2643"/>
    <w:rsid w:val="001C292D"/>
    <w:rsid w:val="001C295A"/>
    <w:rsid w:val="001C4210"/>
    <w:rsid w:val="001C43EF"/>
    <w:rsid w:val="001C4A02"/>
    <w:rsid w:val="001C5BF5"/>
    <w:rsid w:val="001C5F34"/>
    <w:rsid w:val="001C6187"/>
    <w:rsid w:val="001C6412"/>
    <w:rsid w:val="001C6579"/>
    <w:rsid w:val="001C6B21"/>
    <w:rsid w:val="001C74D6"/>
    <w:rsid w:val="001C78A4"/>
    <w:rsid w:val="001D0E4B"/>
    <w:rsid w:val="001D0EC5"/>
    <w:rsid w:val="001D136C"/>
    <w:rsid w:val="001D1680"/>
    <w:rsid w:val="001D1F34"/>
    <w:rsid w:val="001D25A2"/>
    <w:rsid w:val="001D4F82"/>
    <w:rsid w:val="001D517C"/>
    <w:rsid w:val="001D5342"/>
    <w:rsid w:val="001D55E5"/>
    <w:rsid w:val="001D56AB"/>
    <w:rsid w:val="001D57EA"/>
    <w:rsid w:val="001D580F"/>
    <w:rsid w:val="001D58D0"/>
    <w:rsid w:val="001D60E2"/>
    <w:rsid w:val="001D7C57"/>
    <w:rsid w:val="001D7E69"/>
    <w:rsid w:val="001D7F0A"/>
    <w:rsid w:val="001E02CA"/>
    <w:rsid w:val="001E05C3"/>
    <w:rsid w:val="001E0B34"/>
    <w:rsid w:val="001E0E35"/>
    <w:rsid w:val="001E0F3A"/>
    <w:rsid w:val="001E1439"/>
    <w:rsid w:val="001E1669"/>
    <w:rsid w:val="001E16C8"/>
    <w:rsid w:val="001E297D"/>
    <w:rsid w:val="001E29C3"/>
    <w:rsid w:val="001E488F"/>
    <w:rsid w:val="001E66F6"/>
    <w:rsid w:val="001E6ACE"/>
    <w:rsid w:val="001E6BE7"/>
    <w:rsid w:val="001E71EB"/>
    <w:rsid w:val="001E76EF"/>
    <w:rsid w:val="001E78EC"/>
    <w:rsid w:val="001E791D"/>
    <w:rsid w:val="001F056E"/>
    <w:rsid w:val="001F137B"/>
    <w:rsid w:val="001F205F"/>
    <w:rsid w:val="001F2943"/>
    <w:rsid w:val="001F35FF"/>
    <w:rsid w:val="001F37D5"/>
    <w:rsid w:val="001F44F9"/>
    <w:rsid w:val="001F4646"/>
    <w:rsid w:val="001F4914"/>
    <w:rsid w:val="001F50F2"/>
    <w:rsid w:val="001F60BC"/>
    <w:rsid w:val="001F6B9F"/>
    <w:rsid w:val="001F73E2"/>
    <w:rsid w:val="001F787C"/>
    <w:rsid w:val="002002FE"/>
    <w:rsid w:val="00200522"/>
    <w:rsid w:val="00200A70"/>
    <w:rsid w:val="00200CAE"/>
    <w:rsid w:val="00201857"/>
    <w:rsid w:val="002022E8"/>
    <w:rsid w:val="00203110"/>
    <w:rsid w:val="00203637"/>
    <w:rsid w:val="00203C7C"/>
    <w:rsid w:val="00203F75"/>
    <w:rsid w:val="00204809"/>
    <w:rsid w:val="00204D1C"/>
    <w:rsid w:val="00204FFE"/>
    <w:rsid w:val="00205307"/>
    <w:rsid w:val="002055B6"/>
    <w:rsid w:val="0020654D"/>
    <w:rsid w:val="00207996"/>
    <w:rsid w:val="00207E3B"/>
    <w:rsid w:val="00210390"/>
    <w:rsid w:val="00210F87"/>
    <w:rsid w:val="0021151F"/>
    <w:rsid w:val="00211B1B"/>
    <w:rsid w:val="00211B3D"/>
    <w:rsid w:val="00211E91"/>
    <w:rsid w:val="002121E9"/>
    <w:rsid w:val="00212669"/>
    <w:rsid w:val="00212D37"/>
    <w:rsid w:val="002130EC"/>
    <w:rsid w:val="00213EA2"/>
    <w:rsid w:val="00214B10"/>
    <w:rsid w:val="002157E8"/>
    <w:rsid w:val="00215F4D"/>
    <w:rsid w:val="00216C77"/>
    <w:rsid w:val="00217787"/>
    <w:rsid w:val="00217CAB"/>
    <w:rsid w:val="002201F3"/>
    <w:rsid w:val="00220418"/>
    <w:rsid w:val="0022078C"/>
    <w:rsid w:val="00221B7F"/>
    <w:rsid w:val="00222F41"/>
    <w:rsid w:val="0022305D"/>
    <w:rsid w:val="002231ED"/>
    <w:rsid w:val="002234D4"/>
    <w:rsid w:val="00223727"/>
    <w:rsid w:val="00223880"/>
    <w:rsid w:val="00223BEB"/>
    <w:rsid w:val="00224D0F"/>
    <w:rsid w:val="00225521"/>
    <w:rsid w:val="00225E87"/>
    <w:rsid w:val="002272FE"/>
    <w:rsid w:val="00227AC1"/>
    <w:rsid w:val="00227B8D"/>
    <w:rsid w:val="00230523"/>
    <w:rsid w:val="0023144E"/>
    <w:rsid w:val="00231CA6"/>
    <w:rsid w:val="00232510"/>
    <w:rsid w:val="00232675"/>
    <w:rsid w:val="00233741"/>
    <w:rsid w:val="002337B8"/>
    <w:rsid w:val="002337EC"/>
    <w:rsid w:val="002339E4"/>
    <w:rsid w:val="002346BF"/>
    <w:rsid w:val="00235794"/>
    <w:rsid w:val="002411AF"/>
    <w:rsid w:val="0024144A"/>
    <w:rsid w:val="002415E9"/>
    <w:rsid w:val="002415F2"/>
    <w:rsid w:val="00241BB2"/>
    <w:rsid w:val="00241FEB"/>
    <w:rsid w:val="0024497D"/>
    <w:rsid w:val="00244BA6"/>
    <w:rsid w:val="00245AC7"/>
    <w:rsid w:val="00246675"/>
    <w:rsid w:val="00247539"/>
    <w:rsid w:val="00247854"/>
    <w:rsid w:val="00247906"/>
    <w:rsid w:val="00247FDC"/>
    <w:rsid w:val="00250F7F"/>
    <w:rsid w:val="0025105B"/>
    <w:rsid w:val="002510DF"/>
    <w:rsid w:val="00251117"/>
    <w:rsid w:val="002515C4"/>
    <w:rsid w:val="00251966"/>
    <w:rsid w:val="00252E1A"/>
    <w:rsid w:val="00253F8A"/>
    <w:rsid w:val="00255015"/>
    <w:rsid w:val="00255B7E"/>
    <w:rsid w:val="00256DAD"/>
    <w:rsid w:val="0025720C"/>
    <w:rsid w:val="00257571"/>
    <w:rsid w:val="00257A22"/>
    <w:rsid w:val="002601CA"/>
    <w:rsid w:val="002613A0"/>
    <w:rsid w:val="002613BD"/>
    <w:rsid w:val="002614FA"/>
    <w:rsid w:val="002615C8"/>
    <w:rsid w:val="0026168E"/>
    <w:rsid w:val="00263B07"/>
    <w:rsid w:val="00263E1B"/>
    <w:rsid w:val="00263FC1"/>
    <w:rsid w:val="00264AEE"/>
    <w:rsid w:val="00265DD2"/>
    <w:rsid w:val="00266530"/>
    <w:rsid w:val="0026663A"/>
    <w:rsid w:val="002666E2"/>
    <w:rsid w:val="00266CFD"/>
    <w:rsid w:val="002672A8"/>
    <w:rsid w:val="002676E5"/>
    <w:rsid w:val="00267871"/>
    <w:rsid w:val="00267C2F"/>
    <w:rsid w:val="00267E83"/>
    <w:rsid w:val="00267EAD"/>
    <w:rsid w:val="00270005"/>
    <w:rsid w:val="002701A3"/>
    <w:rsid w:val="002702F5"/>
    <w:rsid w:val="002716C8"/>
    <w:rsid w:val="00271956"/>
    <w:rsid w:val="002721C5"/>
    <w:rsid w:val="00273BB0"/>
    <w:rsid w:val="00274925"/>
    <w:rsid w:val="0027524C"/>
    <w:rsid w:val="002752A4"/>
    <w:rsid w:val="002758D2"/>
    <w:rsid w:val="00275FA4"/>
    <w:rsid w:val="00276575"/>
    <w:rsid w:val="00276C99"/>
    <w:rsid w:val="0027729D"/>
    <w:rsid w:val="002772E1"/>
    <w:rsid w:val="00277D85"/>
    <w:rsid w:val="0028033F"/>
    <w:rsid w:val="0028044B"/>
    <w:rsid w:val="002813F3"/>
    <w:rsid w:val="0028151D"/>
    <w:rsid w:val="00282258"/>
    <w:rsid w:val="00283270"/>
    <w:rsid w:val="002834D0"/>
    <w:rsid w:val="00285275"/>
    <w:rsid w:val="002854AF"/>
    <w:rsid w:val="002857C4"/>
    <w:rsid w:val="0028620C"/>
    <w:rsid w:val="0028643F"/>
    <w:rsid w:val="002864A8"/>
    <w:rsid w:val="00286C45"/>
    <w:rsid w:val="00287EC4"/>
    <w:rsid w:val="002908E5"/>
    <w:rsid w:val="0029097E"/>
    <w:rsid w:val="00290C8F"/>
    <w:rsid w:val="00290EBE"/>
    <w:rsid w:val="00291591"/>
    <w:rsid w:val="00291FB1"/>
    <w:rsid w:val="002921E5"/>
    <w:rsid w:val="002926BA"/>
    <w:rsid w:val="00293CFE"/>
    <w:rsid w:val="00293D77"/>
    <w:rsid w:val="00294058"/>
    <w:rsid w:val="0029470F"/>
    <w:rsid w:val="002953A4"/>
    <w:rsid w:val="00295661"/>
    <w:rsid w:val="00295AE8"/>
    <w:rsid w:val="002963F7"/>
    <w:rsid w:val="002968F6"/>
    <w:rsid w:val="00297ADB"/>
    <w:rsid w:val="002A060C"/>
    <w:rsid w:val="002A0C46"/>
    <w:rsid w:val="002A11AA"/>
    <w:rsid w:val="002A1B56"/>
    <w:rsid w:val="002A1F14"/>
    <w:rsid w:val="002A206B"/>
    <w:rsid w:val="002A2413"/>
    <w:rsid w:val="002A27C2"/>
    <w:rsid w:val="002A2C7D"/>
    <w:rsid w:val="002A3819"/>
    <w:rsid w:val="002A4A51"/>
    <w:rsid w:val="002A4FBC"/>
    <w:rsid w:val="002A56B4"/>
    <w:rsid w:val="002A5937"/>
    <w:rsid w:val="002A61B6"/>
    <w:rsid w:val="002A6759"/>
    <w:rsid w:val="002A6B59"/>
    <w:rsid w:val="002A753B"/>
    <w:rsid w:val="002B17A9"/>
    <w:rsid w:val="002B17E7"/>
    <w:rsid w:val="002B20D9"/>
    <w:rsid w:val="002B228D"/>
    <w:rsid w:val="002B2B96"/>
    <w:rsid w:val="002B2D15"/>
    <w:rsid w:val="002B353B"/>
    <w:rsid w:val="002B40BA"/>
    <w:rsid w:val="002B44B1"/>
    <w:rsid w:val="002B465B"/>
    <w:rsid w:val="002B49CC"/>
    <w:rsid w:val="002B5D06"/>
    <w:rsid w:val="002B61EA"/>
    <w:rsid w:val="002B62CB"/>
    <w:rsid w:val="002B6ADF"/>
    <w:rsid w:val="002B6E55"/>
    <w:rsid w:val="002B730D"/>
    <w:rsid w:val="002B77D3"/>
    <w:rsid w:val="002C053D"/>
    <w:rsid w:val="002C078D"/>
    <w:rsid w:val="002C1199"/>
    <w:rsid w:val="002C1C07"/>
    <w:rsid w:val="002C2EC5"/>
    <w:rsid w:val="002C34DF"/>
    <w:rsid w:val="002C36CC"/>
    <w:rsid w:val="002C3B06"/>
    <w:rsid w:val="002C4701"/>
    <w:rsid w:val="002C47D5"/>
    <w:rsid w:val="002C4B80"/>
    <w:rsid w:val="002C5D32"/>
    <w:rsid w:val="002C608E"/>
    <w:rsid w:val="002C61E0"/>
    <w:rsid w:val="002C790C"/>
    <w:rsid w:val="002D026E"/>
    <w:rsid w:val="002D1E9E"/>
    <w:rsid w:val="002D2A68"/>
    <w:rsid w:val="002D2C88"/>
    <w:rsid w:val="002D30C8"/>
    <w:rsid w:val="002D39E1"/>
    <w:rsid w:val="002D4882"/>
    <w:rsid w:val="002D575F"/>
    <w:rsid w:val="002D60A0"/>
    <w:rsid w:val="002D635D"/>
    <w:rsid w:val="002D66FE"/>
    <w:rsid w:val="002D7275"/>
    <w:rsid w:val="002D78B1"/>
    <w:rsid w:val="002E0529"/>
    <w:rsid w:val="002E11A7"/>
    <w:rsid w:val="002E1F82"/>
    <w:rsid w:val="002E2BD6"/>
    <w:rsid w:val="002E2BE7"/>
    <w:rsid w:val="002E2E3C"/>
    <w:rsid w:val="002E3243"/>
    <w:rsid w:val="002E46C7"/>
    <w:rsid w:val="002E4A40"/>
    <w:rsid w:val="002E58A3"/>
    <w:rsid w:val="002E6141"/>
    <w:rsid w:val="002E6963"/>
    <w:rsid w:val="002E6F68"/>
    <w:rsid w:val="002E7027"/>
    <w:rsid w:val="002E7456"/>
    <w:rsid w:val="002F0BC7"/>
    <w:rsid w:val="002F12B2"/>
    <w:rsid w:val="002F13A3"/>
    <w:rsid w:val="002F1556"/>
    <w:rsid w:val="002F1CE0"/>
    <w:rsid w:val="002F2776"/>
    <w:rsid w:val="002F2AC7"/>
    <w:rsid w:val="002F355C"/>
    <w:rsid w:val="002F56FF"/>
    <w:rsid w:val="002F59C0"/>
    <w:rsid w:val="002F6057"/>
    <w:rsid w:val="002F6673"/>
    <w:rsid w:val="002F6C6B"/>
    <w:rsid w:val="002F7468"/>
    <w:rsid w:val="00300BC7"/>
    <w:rsid w:val="003018FA"/>
    <w:rsid w:val="00302B1F"/>
    <w:rsid w:val="00303217"/>
    <w:rsid w:val="00303D31"/>
    <w:rsid w:val="00304271"/>
    <w:rsid w:val="00304311"/>
    <w:rsid w:val="00304AE6"/>
    <w:rsid w:val="00304DB1"/>
    <w:rsid w:val="00304FE0"/>
    <w:rsid w:val="0030539A"/>
    <w:rsid w:val="003054DA"/>
    <w:rsid w:val="0030584A"/>
    <w:rsid w:val="003064A8"/>
    <w:rsid w:val="003068A3"/>
    <w:rsid w:val="00307607"/>
    <w:rsid w:val="00307CD8"/>
    <w:rsid w:val="00310974"/>
    <w:rsid w:val="003112C1"/>
    <w:rsid w:val="00311645"/>
    <w:rsid w:val="00311C2C"/>
    <w:rsid w:val="00312CE4"/>
    <w:rsid w:val="00313201"/>
    <w:rsid w:val="003144F8"/>
    <w:rsid w:val="00314712"/>
    <w:rsid w:val="00314D98"/>
    <w:rsid w:val="003154AC"/>
    <w:rsid w:val="00316731"/>
    <w:rsid w:val="003168B9"/>
    <w:rsid w:val="00316B57"/>
    <w:rsid w:val="00317528"/>
    <w:rsid w:val="003178BC"/>
    <w:rsid w:val="00320E01"/>
    <w:rsid w:val="00321AAB"/>
    <w:rsid w:val="00322782"/>
    <w:rsid w:val="00322BA9"/>
    <w:rsid w:val="00323EDA"/>
    <w:rsid w:val="003252DE"/>
    <w:rsid w:val="003253F8"/>
    <w:rsid w:val="00326754"/>
    <w:rsid w:val="00326AE0"/>
    <w:rsid w:val="00330BDA"/>
    <w:rsid w:val="00330ED4"/>
    <w:rsid w:val="00331518"/>
    <w:rsid w:val="00331562"/>
    <w:rsid w:val="00331712"/>
    <w:rsid w:val="00331BC0"/>
    <w:rsid w:val="00331BF4"/>
    <w:rsid w:val="00331F2D"/>
    <w:rsid w:val="003322FD"/>
    <w:rsid w:val="0033379C"/>
    <w:rsid w:val="003337D2"/>
    <w:rsid w:val="00333A6E"/>
    <w:rsid w:val="00333C7B"/>
    <w:rsid w:val="003341A7"/>
    <w:rsid w:val="003344C5"/>
    <w:rsid w:val="003346AB"/>
    <w:rsid w:val="00334EC6"/>
    <w:rsid w:val="00335CFB"/>
    <w:rsid w:val="00335D55"/>
    <w:rsid w:val="003368C6"/>
    <w:rsid w:val="003369B1"/>
    <w:rsid w:val="003369BC"/>
    <w:rsid w:val="00336FA0"/>
    <w:rsid w:val="00337773"/>
    <w:rsid w:val="003407EE"/>
    <w:rsid w:val="0034161C"/>
    <w:rsid w:val="003416D7"/>
    <w:rsid w:val="0034227D"/>
    <w:rsid w:val="00342B61"/>
    <w:rsid w:val="003436AD"/>
    <w:rsid w:val="00343F75"/>
    <w:rsid w:val="003446AB"/>
    <w:rsid w:val="00344B47"/>
    <w:rsid w:val="0034538E"/>
    <w:rsid w:val="00345713"/>
    <w:rsid w:val="00345730"/>
    <w:rsid w:val="00345E92"/>
    <w:rsid w:val="003462C2"/>
    <w:rsid w:val="0034725A"/>
    <w:rsid w:val="003473A4"/>
    <w:rsid w:val="003506CA"/>
    <w:rsid w:val="00350974"/>
    <w:rsid w:val="003509A2"/>
    <w:rsid w:val="003516C2"/>
    <w:rsid w:val="00351E1A"/>
    <w:rsid w:val="00352A80"/>
    <w:rsid w:val="00352DD0"/>
    <w:rsid w:val="00353297"/>
    <w:rsid w:val="003535F8"/>
    <w:rsid w:val="00353B50"/>
    <w:rsid w:val="00353B5D"/>
    <w:rsid w:val="003551EE"/>
    <w:rsid w:val="00356420"/>
    <w:rsid w:val="00356FE3"/>
    <w:rsid w:val="003607A1"/>
    <w:rsid w:val="003612F9"/>
    <w:rsid w:val="00361368"/>
    <w:rsid w:val="0036147B"/>
    <w:rsid w:val="0036325C"/>
    <w:rsid w:val="00365D68"/>
    <w:rsid w:val="003660E9"/>
    <w:rsid w:val="00366444"/>
    <w:rsid w:val="0036692A"/>
    <w:rsid w:val="00366EF0"/>
    <w:rsid w:val="00367869"/>
    <w:rsid w:val="00367951"/>
    <w:rsid w:val="00370976"/>
    <w:rsid w:val="0037132B"/>
    <w:rsid w:val="0037141C"/>
    <w:rsid w:val="0037176F"/>
    <w:rsid w:val="003718F2"/>
    <w:rsid w:val="0037243B"/>
    <w:rsid w:val="003731F7"/>
    <w:rsid w:val="003737DA"/>
    <w:rsid w:val="0037392B"/>
    <w:rsid w:val="0037398D"/>
    <w:rsid w:val="00373B05"/>
    <w:rsid w:val="00373E8A"/>
    <w:rsid w:val="00374781"/>
    <w:rsid w:val="00374EF9"/>
    <w:rsid w:val="00375206"/>
    <w:rsid w:val="00375F42"/>
    <w:rsid w:val="00377567"/>
    <w:rsid w:val="0037762B"/>
    <w:rsid w:val="003778A7"/>
    <w:rsid w:val="003779E8"/>
    <w:rsid w:val="00380CC7"/>
    <w:rsid w:val="003811E2"/>
    <w:rsid w:val="0038299D"/>
    <w:rsid w:val="003829A2"/>
    <w:rsid w:val="003829AA"/>
    <w:rsid w:val="00383701"/>
    <w:rsid w:val="00383737"/>
    <w:rsid w:val="00383A30"/>
    <w:rsid w:val="00383AAC"/>
    <w:rsid w:val="00383BEF"/>
    <w:rsid w:val="003843C6"/>
    <w:rsid w:val="00384451"/>
    <w:rsid w:val="00384DF2"/>
    <w:rsid w:val="00384F71"/>
    <w:rsid w:val="003853A9"/>
    <w:rsid w:val="003857D3"/>
    <w:rsid w:val="003857FF"/>
    <w:rsid w:val="00385E67"/>
    <w:rsid w:val="00386AFA"/>
    <w:rsid w:val="00387722"/>
    <w:rsid w:val="0039010B"/>
    <w:rsid w:val="003902FD"/>
    <w:rsid w:val="00390746"/>
    <w:rsid w:val="00390A9B"/>
    <w:rsid w:val="0039100D"/>
    <w:rsid w:val="003910BE"/>
    <w:rsid w:val="0039113D"/>
    <w:rsid w:val="003913B8"/>
    <w:rsid w:val="00391BAE"/>
    <w:rsid w:val="003921E0"/>
    <w:rsid w:val="00392249"/>
    <w:rsid w:val="003922E9"/>
    <w:rsid w:val="00392379"/>
    <w:rsid w:val="0039294A"/>
    <w:rsid w:val="00392CA6"/>
    <w:rsid w:val="003935FE"/>
    <w:rsid w:val="00393FED"/>
    <w:rsid w:val="00394577"/>
    <w:rsid w:val="00394BC9"/>
    <w:rsid w:val="00395028"/>
    <w:rsid w:val="0039580C"/>
    <w:rsid w:val="00395EA9"/>
    <w:rsid w:val="00395FCD"/>
    <w:rsid w:val="00395FFC"/>
    <w:rsid w:val="003960C2"/>
    <w:rsid w:val="003976B5"/>
    <w:rsid w:val="00397FD4"/>
    <w:rsid w:val="00397FF2"/>
    <w:rsid w:val="003A0569"/>
    <w:rsid w:val="003A25C1"/>
    <w:rsid w:val="003A2A8E"/>
    <w:rsid w:val="003A3212"/>
    <w:rsid w:val="003A3422"/>
    <w:rsid w:val="003A37F5"/>
    <w:rsid w:val="003A3C53"/>
    <w:rsid w:val="003A3E02"/>
    <w:rsid w:val="003A41C0"/>
    <w:rsid w:val="003A4FE2"/>
    <w:rsid w:val="003A5A0D"/>
    <w:rsid w:val="003A6138"/>
    <w:rsid w:val="003A6646"/>
    <w:rsid w:val="003A70A9"/>
    <w:rsid w:val="003B004F"/>
    <w:rsid w:val="003B015D"/>
    <w:rsid w:val="003B049E"/>
    <w:rsid w:val="003B065D"/>
    <w:rsid w:val="003B084D"/>
    <w:rsid w:val="003B0D30"/>
    <w:rsid w:val="003B0D69"/>
    <w:rsid w:val="003B112C"/>
    <w:rsid w:val="003B130A"/>
    <w:rsid w:val="003B148E"/>
    <w:rsid w:val="003B14CD"/>
    <w:rsid w:val="003B150B"/>
    <w:rsid w:val="003B2A01"/>
    <w:rsid w:val="003B2F1D"/>
    <w:rsid w:val="003B2FC9"/>
    <w:rsid w:val="003B330A"/>
    <w:rsid w:val="003B3661"/>
    <w:rsid w:val="003B4710"/>
    <w:rsid w:val="003B538C"/>
    <w:rsid w:val="003B58C8"/>
    <w:rsid w:val="003B6F33"/>
    <w:rsid w:val="003B757C"/>
    <w:rsid w:val="003B7CFF"/>
    <w:rsid w:val="003C0324"/>
    <w:rsid w:val="003C0430"/>
    <w:rsid w:val="003C0872"/>
    <w:rsid w:val="003C0FDB"/>
    <w:rsid w:val="003C1984"/>
    <w:rsid w:val="003C20B9"/>
    <w:rsid w:val="003C2142"/>
    <w:rsid w:val="003C22E3"/>
    <w:rsid w:val="003C3AA6"/>
    <w:rsid w:val="003C3EEA"/>
    <w:rsid w:val="003C3F81"/>
    <w:rsid w:val="003C4BE8"/>
    <w:rsid w:val="003C4E5D"/>
    <w:rsid w:val="003C5254"/>
    <w:rsid w:val="003C5916"/>
    <w:rsid w:val="003C5AA1"/>
    <w:rsid w:val="003C5DAC"/>
    <w:rsid w:val="003C5FD7"/>
    <w:rsid w:val="003C609C"/>
    <w:rsid w:val="003C74DF"/>
    <w:rsid w:val="003C7726"/>
    <w:rsid w:val="003C795E"/>
    <w:rsid w:val="003D06F7"/>
    <w:rsid w:val="003D0FA3"/>
    <w:rsid w:val="003D1025"/>
    <w:rsid w:val="003D1339"/>
    <w:rsid w:val="003D4B6A"/>
    <w:rsid w:val="003D547D"/>
    <w:rsid w:val="003D701B"/>
    <w:rsid w:val="003E06E3"/>
    <w:rsid w:val="003E1575"/>
    <w:rsid w:val="003E2433"/>
    <w:rsid w:val="003E2435"/>
    <w:rsid w:val="003E24E9"/>
    <w:rsid w:val="003E2A5D"/>
    <w:rsid w:val="003E34EB"/>
    <w:rsid w:val="003E3C65"/>
    <w:rsid w:val="003E4888"/>
    <w:rsid w:val="003E55C4"/>
    <w:rsid w:val="003E569B"/>
    <w:rsid w:val="003E59E3"/>
    <w:rsid w:val="003E63A0"/>
    <w:rsid w:val="003E766A"/>
    <w:rsid w:val="003E7829"/>
    <w:rsid w:val="003E7894"/>
    <w:rsid w:val="003E790E"/>
    <w:rsid w:val="003F0180"/>
    <w:rsid w:val="003F0357"/>
    <w:rsid w:val="003F14CB"/>
    <w:rsid w:val="003F1E5C"/>
    <w:rsid w:val="003F265A"/>
    <w:rsid w:val="003F2AB9"/>
    <w:rsid w:val="003F3206"/>
    <w:rsid w:val="003F3A18"/>
    <w:rsid w:val="003F3D68"/>
    <w:rsid w:val="003F4765"/>
    <w:rsid w:val="003F4B0F"/>
    <w:rsid w:val="003F5061"/>
    <w:rsid w:val="003F5484"/>
    <w:rsid w:val="003F5B2F"/>
    <w:rsid w:val="003F5CC3"/>
    <w:rsid w:val="003F5DC1"/>
    <w:rsid w:val="003F614E"/>
    <w:rsid w:val="003F6773"/>
    <w:rsid w:val="003F7E95"/>
    <w:rsid w:val="0040067F"/>
    <w:rsid w:val="004006BF"/>
    <w:rsid w:val="00401044"/>
    <w:rsid w:val="0040170C"/>
    <w:rsid w:val="00401918"/>
    <w:rsid w:val="00401B7E"/>
    <w:rsid w:val="00401D4A"/>
    <w:rsid w:val="004022B6"/>
    <w:rsid w:val="00402C89"/>
    <w:rsid w:val="00402DE7"/>
    <w:rsid w:val="0040415B"/>
    <w:rsid w:val="00404185"/>
    <w:rsid w:val="00405A90"/>
    <w:rsid w:val="00405DE3"/>
    <w:rsid w:val="004060D4"/>
    <w:rsid w:val="0040632E"/>
    <w:rsid w:val="00407FFC"/>
    <w:rsid w:val="00410493"/>
    <w:rsid w:val="00410940"/>
    <w:rsid w:val="004117D3"/>
    <w:rsid w:val="00412BE6"/>
    <w:rsid w:val="00413257"/>
    <w:rsid w:val="0041430F"/>
    <w:rsid w:val="00415847"/>
    <w:rsid w:val="00415AE9"/>
    <w:rsid w:val="00415E92"/>
    <w:rsid w:val="00416522"/>
    <w:rsid w:val="004168CF"/>
    <w:rsid w:val="00420932"/>
    <w:rsid w:val="004209D9"/>
    <w:rsid w:val="00421080"/>
    <w:rsid w:val="004211F0"/>
    <w:rsid w:val="0042166D"/>
    <w:rsid w:val="004219F6"/>
    <w:rsid w:val="00421BDC"/>
    <w:rsid w:val="00421F2B"/>
    <w:rsid w:val="00423105"/>
    <w:rsid w:val="0042373D"/>
    <w:rsid w:val="00423C07"/>
    <w:rsid w:val="00423C9D"/>
    <w:rsid w:val="004244FE"/>
    <w:rsid w:val="004245A1"/>
    <w:rsid w:val="00424629"/>
    <w:rsid w:val="00424F6D"/>
    <w:rsid w:val="00426F37"/>
    <w:rsid w:val="00426F47"/>
    <w:rsid w:val="00427048"/>
    <w:rsid w:val="004278A5"/>
    <w:rsid w:val="004300C4"/>
    <w:rsid w:val="00430297"/>
    <w:rsid w:val="0043138F"/>
    <w:rsid w:val="00431DBB"/>
    <w:rsid w:val="00432590"/>
    <w:rsid w:val="00432F7D"/>
    <w:rsid w:val="004331E4"/>
    <w:rsid w:val="004337D5"/>
    <w:rsid w:val="00433C8A"/>
    <w:rsid w:val="0043450D"/>
    <w:rsid w:val="004347E7"/>
    <w:rsid w:val="004349B5"/>
    <w:rsid w:val="00436B1A"/>
    <w:rsid w:val="00436E87"/>
    <w:rsid w:val="004373BA"/>
    <w:rsid w:val="00437408"/>
    <w:rsid w:val="00437BF4"/>
    <w:rsid w:val="00440402"/>
    <w:rsid w:val="00440D18"/>
    <w:rsid w:val="004416AC"/>
    <w:rsid w:val="00441A39"/>
    <w:rsid w:val="0044253C"/>
    <w:rsid w:val="00443122"/>
    <w:rsid w:val="004436C7"/>
    <w:rsid w:val="00444670"/>
    <w:rsid w:val="00444972"/>
    <w:rsid w:val="004452FF"/>
    <w:rsid w:val="00445776"/>
    <w:rsid w:val="00445E2D"/>
    <w:rsid w:val="00446AF7"/>
    <w:rsid w:val="00446EFC"/>
    <w:rsid w:val="004476CB"/>
    <w:rsid w:val="004477CE"/>
    <w:rsid w:val="00447A28"/>
    <w:rsid w:val="00447E97"/>
    <w:rsid w:val="00450372"/>
    <w:rsid w:val="0045041D"/>
    <w:rsid w:val="00450539"/>
    <w:rsid w:val="00450895"/>
    <w:rsid w:val="00450D41"/>
    <w:rsid w:val="00450E6C"/>
    <w:rsid w:val="004516CD"/>
    <w:rsid w:val="00451A78"/>
    <w:rsid w:val="00451C21"/>
    <w:rsid w:val="004529BC"/>
    <w:rsid w:val="00452BB2"/>
    <w:rsid w:val="00452C70"/>
    <w:rsid w:val="00452C77"/>
    <w:rsid w:val="00452D6D"/>
    <w:rsid w:val="00452E63"/>
    <w:rsid w:val="00454223"/>
    <w:rsid w:val="004544E5"/>
    <w:rsid w:val="00454742"/>
    <w:rsid w:val="00454CE9"/>
    <w:rsid w:val="00455236"/>
    <w:rsid w:val="00455C7B"/>
    <w:rsid w:val="00455DB5"/>
    <w:rsid w:val="004560EE"/>
    <w:rsid w:val="00457333"/>
    <w:rsid w:val="004606BF"/>
    <w:rsid w:val="00460FB6"/>
    <w:rsid w:val="00461D07"/>
    <w:rsid w:val="00461F56"/>
    <w:rsid w:val="00462323"/>
    <w:rsid w:val="0046271A"/>
    <w:rsid w:val="00462A0A"/>
    <w:rsid w:val="00462B70"/>
    <w:rsid w:val="00462CD9"/>
    <w:rsid w:val="00462E33"/>
    <w:rsid w:val="004633A2"/>
    <w:rsid w:val="00463586"/>
    <w:rsid w:val="004637D9"/>
    <w:rsid w:val="00463C38"/>
    <w:rsid w:val="00464236"/>
    <w:rsid w:val="0046476D"/>
    <w:rsid w:val="0046477E"/>
    <w:rsid w:val="0046478E"/>
    <w:rsid w:val="00464DA2"/>
    <w:rsid w:val="00465D17"/>
    <w:rsid w:val="00466187"/>
    <w:rsid w:val="004668F2"/>
    <w:rsid w:val="00466B28"/>
    <w:rsid w:val="0046706E"/>
    <w:rsid w:val="00467AC4"/>
    <w:rsid w:val="00467D40"/>
    <w:rsid w:val="00467ECC"/>
    <w:rsid w:val="00470425"/>
    <w:rsid w:val="00470961"/>
    <w:rsid w:val="00470A79"/>
    <w:rsid w:val="00470C67"/>
    <w:rsid w:val="0047183A"/>
    <w:rsid w:val="004722C0"/>
    <w:rsid w:val="00472A40"/>
    <w:rsid w:val="00472E08"/>
    <w:rsid w:val="004731D9"/>
    <w:rsid w:val="004731F9"/>
    <w:rsid w:val="0047369A"/>
    <w:rsid w:val="004740BC"/>
    <w:rsid w:val="004746D4"/>
    <w:rsid w:val="00474793"/>
    <w:rsid w:val="00474B91"/>
    <w:rsid w:val="004760C9"/>
    <w:rsid w:val="004760DC"/>
    <w:rsid w:val="00477710"/>
    <w:rsid w:val="004802B7"/>
    <w:rsid w:val="00481049"/>
    <w:rsid w:val="00482A0A"/>
    <w:rsid w:val="00482B8F"/>
    <w:rsid w:val="004831E6"/>
    <w:rsid w:val="004834F8"/>
    <w:rsid w:val="004838A1"/>
    <w:rsid w:val="004843E9"/>
    <w:rsid w:val="0048492A"/>
    <w:rsid w:val="00484B66"/>
    <w:rsid w:val="004850E3"/>
    <w:rsid w:val="00485311"/>
    <w:rsid w:val="004858AF"/>
    <w:rsid w:val="00485D0D"/>
    <w:rsid w:val="00486407"/>
    <w:rsid w:val="00486808"/>
    <w:rsid w:val="00486859"/>
    <w:rsid w:val="00486867"/>
    <w:rsid w:val="00486CCC"/>
    <w:rsid w:val="00487923"/>
    <w:rsid w:val="00490849"/>
    <w:rsid w:val="00490B5F"/>
    <w:rsid w:val="00490D7D"/>
    <w:rsid w:val="00490F0B"/>
    <w:rsid w:val="004914B4"/>
    <w:rsid w:val="004915E4"/>
    <w:rsid w:val="00491946"/>
    <w:rsid w:val="00492500"/>
    <w:rsid w:val="00492E75"/>
    <w:rsid w:val="00493B2F"/>
    <w:rsid w:val="00493EA8"/>
    <w:rsid w:val="00494180"/>
    <w:rsid w:val="00494AAF"/>
    <w:rsid w:val="00494E90"/>
    <w:rsid w:val="00495654"/>
    <w:rsid w:val="00496149"/>
    <w:rsid w:val="0049634A"/>
    <w:rsid w:val="0049683C"/>
    <w:rsid w:val="004A0303"/>
    <w:rsid w:val="004A0520"/>
    <w:rsid w:val="004A0D4E"/>
    <w:rsid w:val="004A0D70"/>
    <w:rsid w:val="004A0FF2"/>
    <w:rsid w:val="004A1010"/>
    <w:rsid w:val="004A1402"/>
    <w:rsid w:val="004A1741"/>
    <w:rsid w:val="004A1AEC"/>
    <w:rsid w:val="004A2B9B"/>
    <w:rsid w:val="004A2E82"/>
    <w:rsid w:val="004A331B"/>
    <w:rsid w:val="004A33F1"/>
    <w:rsid w:val="004A3F98"/>
    <w:rsid w:val="004A4C5D"/>
    <w:rsid w:val="004A541B"/>
    <w:rsid w:val="004A56EA"/>
    <w:rsid w:val="004A5F54"/>
    <w:rsid w:val="004A6220"/>
    <w:rsid w:val="004B0CBD"/>
    <w:rsid w:val="004B13DC"/>
    <w:rsid w:val="004B1628"/>
    <w:rsid w:val="004B16AC"/>
    <w:rsid w:val="004B2035"/>
    <w:rsid w:val="004B23AB"/>
    <w:rsid w:val="004B25F5"/>
    <w:rsid w:val="004B261A"/>
    <w:rsid w:val="004B2D7D"/>
    <w:rsid w:val="004B407A"/>
    <w:rsid w:val="004B434B"/>
    <w:rsid w:val="004B4BE4"/>
    <w:rsid w:val="004B54E9"/>
    <w:rsid w:val="004B5FB7"/>
    <w:rsid w:val="004B776F"/>
    <w:rsid w:val="004C0BB9"/>
    <w:rsid w:val="004C1AEB"/>
    <w:rsid w:val="004C1AED"/>
    <w:rsid w:val="004C1D92"/>
    <w:rsid w:val="004C1F6E"/>
    <w:rsid w:val="004C1FEA"/>
    <w:rsid w:val="004C36BB"/>
    <w:rsid w:val="004C395C"/>
    <w:rsid w:val="004C4BB5"/>
    <w:rsid w:val="004C4D03"/>
    <w:rsid w:val="004C577B"/>
    <w:rsid w:val="004C580F"/>
    <w:rsid w:val="004C5CFF"/>
    <w:rsid w:val="004D0124"/>
    <w:rsid w:val="004D0951"/>
    <w:rsid w:val="004D0B6C"/>
    <w:rsid w:val="004D1395"/>
    <w:rsid w:val="004D1829"/>
    <w:rsid w:val="004D2B61"/>
    <w:rsid w:val="004D2FFB"/>
    <w:rsid w:val="004D375F"/>
    <w:rsid w:val="004D3A7D"/>
    <w:rsid w:val="004D44F6"/>
    <w:rsid w:val="004D4B77"/>
    <w:rsid w:val="004D51D8"/>
    <w:rsid w:val="004D5569"/>
    <w:rsid w:val="004D556D"/>
    <w:rsid w:val="004D5C3F"/>
    <w:rsid w:val="004D60B5"/>
    <w:rsid w:val="004D6432"/>
    <w:rsid w:val="004D64E6"/>
    <w:rsid w:val="004D6C50"/>
    <w:rsid w:val="004D741B"/>
    <w:rsid w:val="004D7625"/>
    <w:rsid w:val="004E02A7"/>
    <w:rsid w:val="004E0C03"/>
    <w:rsid w:val="004E14D5"/>
    <w:rsid w:val="004E1D5D"/>
    <w:rsid w:val="004E1F3E"/>
    <w:rsid w:val="004E293C"/>
    <w:rsid w:val="004E320D"/>
    <w:rsid w:val="004E465F"/>
    <w:rsid w:val="004E47B3"/>
    <w:rsid w:val="004E4C7B"/>
    <w:rsid w:val="004E5110"/>
    <w:rsid w:val="004E634E"/>
    <w:rsid w:val="004E7456"/>
    <w:rsid w:val="004E7A26"/>
    <w:rsid w:val="004E7B5C"/>
    <w:rsid w:val="004F00E9"/>
    <w:rsid w:val="004F015F"/>
    <w:rsid w:val="004F01E9"/>
    <w:rsid w:val="004F01EB"/>
    <w:rsid w:val="004F06F4"/>
    <w:rsid w:val="004F097B"/>
    <w:rsid w:val="004F1A10"/>
    <w:rsid w:val="004F2242"/>
    <w:rsid w:val="004F2D2D"/>
    <w:rsid w:val="004F36CF"/>
    <w:rsid w:val="004F3936"/>
    <w:rsid w:val="004F3C20"/>
    <w:rsid w:val="004F4082"/>
    <w:rsid w:val="004F580C"/>
    <w:rsid w:val="004F5A2D"/>
    <w:rsid w:val="004F5E3E"/>
    <w:rsid w:val="004F6F30"/>
    <w:rsid w:val="004F738F"/>
    <w:rsid w:val="004F7838"/>
    <w:rsid w:val="004F78A1"/>
    <w:rsid w:val="004F7B73"/>
    <w:rsid w:val="0050041E"/>
    <w:rsid w:val="005006A1"/>
    <w:rsid w:val="005010E0"/>
    <w:rsid w:val="0050153F"/>
    <w:rsid w:val="0050157E"/>
    <w:rsid w:val="00501A2D"/>
    <w:rsid w:val="005022AC"/>
    <w:rsid w:val="0050379A"/>
    <w:rsid w:val="00503CC8"/>
    <w:rsid w:val="00503D07"/>
    <w:rsid w:val="005043EB"/>
    <w:rsid w:val="00504C8F"/>
    <w:rsid w:val="00505C30"/>
    <w:rsid w:val="00505DB4"/>
    <w:rsid w:val="00505EE2"/>
    <w:rsid w:val="00505F1B"/>
    <w:rsid w:val="0050604B"/>
    <w:rsid w:val="0050633E"/>
    <w:rsid w:val="005065B5"/>
    <w:rsid w:val="005073CF"/>
    <w:rsid w:val="00510DD1"/>
    <w:rsid w:val="00510E87"/>
    <w:rsid w:val="00511654"/>
    <w:rsid w:val="00511EF6"/>
    <w:rsid w:val="005123D9"/>
    <w:rsid w:val="00512D2B"/>
    <w:rsid w:val="00513A79"/>
    <w:rsid w:val="005152A0"/>
    <w:rsid w:val="00515658"/>
    <w:rsid w:val="00516604"/>
    <w:rsid w:val="00516959"/>
    <w:rsid w:val="00516DFC"/>
    <w:rsid w:val="00516F9E"/>
    <w:rsid w:val="00517AC5"/>
    <w:rsid w:val="005215F2"/>
    <w:rsid w:val="00521833"/>
    <w:rsid w:val="0052183D"/>
    <w:rsid w:val="00521CC6"/>
    <w:rsid w:val="0052295A"/>
    <w:rsid w:val="00522B12"/>
    <w:rsid w:val="0052325A"/>
    <w:rsid w:val="005235F0"/>
    <w:rsid w:val="005238C9"/>
    <w:rsid w:val="0052676C"/>
    <w:rsid w:val="00527D07"/>
    <w:rsid w:val="00531017"/>
    <w:rsid w:val="00531391"/>
    <w:rsid w:val="00531F60"/>
    <w:rsid w:val="00532808"/>
    <w:rsid w:val="00532D76"/>
    <w:rsid w:val="005339A1"/>
    <w:rsid w:val="00533B6E"/>
    <w:rsid w:val="00533F95"/>
    <w:rsid w:val="005342AD"/>
    <w:rsid w:val="005348A8"/>
    <w:rsid w:val="005349AA"/>
    <w:rsid w:val="0053596D"/>
    <w:rsid w:val="00535974"/>
    <w:rsid w:val="00537301"/>
    <w:rsid w:val="00537737"/>
    <w:rsid w:val="005378CE"/>
    <w:rsid w:val="00537A82"/>
    <w:rsid w:val="005405F2"/>
    <w:rsid w:val="0054062D"/>
    <w:rsid w:val="005408EE"/>
    <w:rsid w:val="00540905"/>
    <w:rsid w:val="005409FB"/>
    <w:rsid w:val="00540DBA"/>
    <w:rsid w:val="00540EA6"/>
    <w:rsid w:val="005414BB"/>
    <w:rsid w:val="00542455"/>
    <w:rsid w:val="00542596"/>
    <w:rsid w:val="0054274A"/>
    <w:rsid w:val="00542DE3"/>
    <w:rsid w:val="005431C4"/>
    <w:rsid w:val="0054331F"/>
    <w:rsid w:val="00543F20"/>
    <w:rsid w:val="00544EE5"/>
    <w:rsid w:val="005451D0"/>
    <w:rsid w:val="00545711"/>
    <w:rsid w:val="005466AD"/>
    <w:rsid w:val="005476F1"/>
    <w:rsid w:val="00547A73"/>
    <w:rsid w:val="0055088B"/>
    <w:rsid w:val="00550A2E"/>
    <w:rsid w:val="00550E0F"/>
    <w:rsid w:val="005517BE"/>
    <w:rsid w:val="005520FF"/>
    <w:rsid w:val="0055286C"/>
    <w:rsid w:val="00552AA8"/>
    <w:rsid w:val="00552BAB"/>
    <w:rsid w:val="005537A2"/>
    <w:rsid w:val="0055640C"/>
    <w:rsid w:val="00556928"/>
    <w:rsid w:val="00556D6A"/>
    <w:rsid w:val="00560230"/>
    <w:rsid w:val="005602E6"/>
    <w:rsid w:val="00560976"/>
    <w:rsid w:val="00560BD4"/>
    <w:rsid w:val="00560D67"/>
    <w:rsid w:val="00560FE2"/>
    <w:rsid w:val="00561403"/>
    <w:rsid w:val="005616B0"/>
    <w:rsid w:val="005630BE"/>
    <w:rsid w:val="005631E3"/>
    <w:rsid w:val="005646C0"/>
    <w:rsid w:val="00564720"/>
    <w:rsid w:val="00564B13"/>
    <w:rsid w:val="00565416"/>
    <w:rsid w:val="005662C7"/>
    <w:rsid w:val="00566F29"/>
    <w:rsid w:val="00567286"/>
    <w:rsid w:val="005679BB"/>
    <w:rsid w:val="00567ED4"/>
    <w:rsid w:val="00570CD5"/>
    <w:rsid w:val="0057153D"/>
    <w:rsid w:val="00571CFB"/>
    <w:rsid w:val="00572B33"/>
    <w:rsid w:val="005732E0"/>
    <w:rsid w:val="00573E3E"/>
    <w:rsid w:val="00574016"/>
    <w:rsid w:val="0057438B"/>
    <w:rsid w:val="0057459D"/>
    <w:rsid w:val="0057571F"/>
    <w:rsid w:val="00575D6C"/>
    <w:rsid w:val="00576EF0"/>
    <w:rsid w:val="00577198"/>
    <w:rsid w:val="0058076C"/>
    <w:rsid w:val="005808F9"/>
    <w:rsid w:val="00580CCF"/>
    <w:rsid w:val="00580E0C"/>
    <w:rsid w:val="00581EBC"/>
    <w:rsid w:val="0058232C"/>
    <w:rsid w:val="005827E0"/>
    <w:rsid w:val="00583243"/>
    <w:rsid w:val="005838FC"/>
    <w:rsid w:val="00583F53"/>
    <w:rsid w:val="00583FBE"/>
    <w:rsid w:val="00584B2B"/>
    <w:rsid w:val="00585C8B"/>
    <w:rsid w:val="00585C91"/>
    <w:rsid w:val="00586681"/>
    <w:rsid w:val="00586F6D"/>
    <w:rsid w:val="00587273"/>
    <w:rsid w:val="005873AD"/>
    <w:rsid w:val="00587787"/>
    <w:rsid w:val="00587E74"/>
    <w:rsid w:val="00590CAA"/>
    <w:rsid w:val="00591516"/>
    <w:rsid w:val="005917D7"/>
    <w:rsid w:val="00593AC6"/>
    <w:rsid w:val="00593B02"/>
    <w:rsid w:val="0059513D"/>
    <w:rsid w:val="005954B9"/>
    <w:rsid w:val="00595A9A"/>
    <w:rsid w:val="005967F1"/>
    <w:rsid w:val="00596A6F"/>
    <w:rsid w:val="0059718A"/>
    <w:rsid w:val="00597405"/>
    <w:rsid w:val="00597742"/>
    <w:rsid w:val="00597F51"/>
    <w:rsid w:val="005A056E"/>
    <w:rsid w:val="005A100D"/>
    <w:rsid w:val="005A3684"/>
    <w:rsid w:val="005A3A98"/>
    <w:rsid w:val="005A4956"/>
    <w:rsid w:val="005A4B7C"/>
    <w:rsid w:val="005A4D75"/>
    <w:rsid w:val="005A54A1"/>
    <w:rsid w:val="005A68BB"/>
    <w:rsid w:val="005A69CC"/>
    <w:rsid w:val="005A7DED"/>
    <w:rsid w:val="005A7FBC"/>
    <w:rsid w:val="005B07A0"/>
    <w:rsid w:val="005B08FD"/>
    <w:rsid w:val="005B1102"/>
    <w:rsid w:val="005B148F"/>
    <w:rsid w:val="005B1760"/>
    <w:rsid w:val="005B202F"/>
    <w:rsid w:val="005B289F"/>
    <w:rsid w:val="005B32F8"/>
    <w:rsid w:val="005B3584"/>
    <w:rsid w:val="005B3668"/>
    <w:rsid w:val="005B445D"/>
    <w:rsid w:val="005B4810"/>
    <w:rsid w:val="005B503B"/>
    <w:rsid w:val="005B5802"/>
    <w:rsid w:val="005B59B7"/>
    <w:rsid w:val="005B5B9E"/>
    <w:rsid w:val="005B5CF0"/>
    <w:rsid w:val="005B72FB"/>
    <w:rsid w:val="005B7330"/>
    <w:rsid w:val="005C0B69"/>
    <w:rsid w:val="005C0CCE"/>
    <w:rsid w:val="005C1569"/>
    <w:rsid w:val="005C1796"/>
    <w:rsid w:val="005C1B18"/>
    <w:rsid w:val="005C200C"/>
    <w:rsid w:val="005C22C7"/>
    <w:rsid w:val="005C2407"/>
    <w:rsid w:val="005C28C9"/>
    <w:rsid w:val="005C33CF"/>
    <w:rsid w:val="005C37E0"/>
    <w:rsid w:val="005C38E7"/>
    <w:rsid w:val="005C3EB7"/>
    <w:rsid w:val="005C4D8D"/>
    <w:rsid w:val="005C53FD"/>
    <w:rsid w:val="005C5EB1"/>
    <w:rsid w:val="005C6946"/>
    <w:rsid w:val="005C6F28"/>
    <w:rsid w:val="005C72BA"/>
    <w:rsid w:val="005C73D2"/>
    <w:rsid w:val="005D0169"/>
    <w:rsid w:val="005D02DB"/>
    <w:rsid w:val="005D0622"/>
    <w:rsid w:val="005D09F3"/>
    <w:rsid w:val="005D0CCD"/>
    <w:rsid w:val="005D0FDC"/>
    <w:rsid w:val="005D145C"/>
    <w:rsid w:val="005D22E0"/>
    <w:rsid w:val="005D2968"/>
    <w:rsid w:val="005D29D6"/>
    <w:rsid w:val="005D2F53"/>
    <w:rsid w:val="005D3025"/>
    <w:rsid w:val="005D306D"/>
    <w:rsid w:val="005D328B"/>
    <w:rsid w:val="005D35F4"/>
    <w:rsid w:val="005D41C3"/>
    <w:rsid w:val="005D4344"/>
    <w:rsid w:val="005D4D74"/>
    <w:rsid w:val="005D51DB"/>
    <w:rsid w:val="005D620C"/>
    <w:rsid w:val="005D7A0E"/>
    <w:rsid w:val="005E02DF"/>
    <w:rsid w:val="005E0628"/>
    <w:rsid w:val="005E07EB"/>
    <w:rsid w:val="005E0B6F"/>
    <w:rsid w:val="005E0F15"/>
    <w:rsid w:val="005E1F2A"/>
    <w:rsid w:val="005E2224"/>
    <w:rsid w:val="005E22E4"/>
    <w:rsid w:val="005E2C3B"/>
    <w:rsid w:val="005E3B38"/>
    <w:rsid w:val="005E5DA5"/>
    <w:rsid w:val="005E662D"/>
    <w:rsid w:val="005E69B5"/>
    <w:rsid w:val="005E6CE6"/>
    <w:rsid w:val="005E77E0"/>
    <w:rsid w:val="005E7F0A"/>
    <w:rsid w:val="005F0234"/>
    <w:rsid w:val="005F0734"/>
    <w:rsid w:val="005F0D3D"/>
    <w:rsid w:val="005F124B"/>
    <w:rsid w:val="005F1579"/>
    <w:rsid w:val="005F2225"/>
    <w:rsid w:val="005F29D3"/>
    <w:rsid w:val="005F2C26"/>
    <w:rsid w:val="005F2C71"/>
    <w:rsid w:val="005F30B5"/>
    <w:rsid w:val="005F408D"/>
    <w:rsid w:val="005F439F"/>
    <w:rsid w:val="005F486E"/>
    <w:rsid w:val="005F4CAE"/>
    <w:rsid w:val="005F4D2B"/>
    <w:rsid w:val="005F4D60"/>
    <w:rsid w:val="005F53DA"/>
    <w:rsid w:val="005F5658"/>
    <w:rsid w:val="005F5BE3"/>
    <w:rsid w:val="005F61C7"/>
    <w:rsid w:val="005F64EB"/>
    <w:rsid w:val="005F69F3"/>
    <w:rsid w:val="005F6A2A"/>
    <w:rsid w:val="00600456"/>
    <w:rsid w:val="00601E8D"/>
    <w:rsid w:val="00603477"/>
    <w:rsid w:val="00603ED3"/>
    <w:rsid w:val="0060596E"/>
    <w:rsid w:val="00606935"/>
    <w:rsid w:val="00606EA5"/>
    <w:rsid w:val="00606FB1"/>
    <w:rsid w:val="0060708B"/>
    <w:rsid w:val="00607149"/>
    <w:rsid w:val="0060727F"/>
    <w:rsid w:val="0060742B"/>
    <w:rsid w:val="006074BA"/>
    <w:rsid w:val="00607871"/>
    <w:rsid w:val="00607A28"/>
    <w:rsid w:val="00607B14"/>
    <w:rsid w:val="00607C67"/>
    <w:rsid w:val="00611E2C"/>
    <w:rsid w:val="006126C1"/>
    <w:rsid w:val="00613D9F"/>
    <w:rsid w:val="00614166"/>
    <w:rsid w:val="00614181"/>
    <w:rsid w:val="00614876"/>
    <w:rsid w:val="00615F8B"/>
    <w:rsid w:val="00616873"/>
    <w:rsid w:val="006173E7"/>
    <w:rsid w:val="00620709"/>
    <w:rsid w:val="006208BA"/>
    <w:rsid w:val="00620C5C"/>
    <w:rsid w:val="006210D7"/>
    <w:rsid w:val="00621BCE"/>
    <w:rsid w:val="00621DFD"/>
    <w:rsid w:val="00622569"/>
    <w:rsid w:val="006225D4"/>
    <w:rsid w:val="00622754"/>
    <w:rsid w:val="00622B7A"/>
    <w:rsid w:val="00622D80"/>
    <w:rsid w:val="006234AB"/>
    <w:rsid w:val="006238DC"/>
    <w:rsid w:val="00623961"/>
    <w:rsid w:val="00623E18"/>
    <w:rsid w:val="00624C9F"/>
    <w:rsid w:val="00625229"/>
    <w:rsid w:val="00626991"/>
    <w:rsid w:val="00626AC6"/>
    <w:rsid w:val="00626CEF"/>
    <w:rsid w:val="00626CF3"/>
    <w:rsid w:val="00626F7A"/>
    <w:rsid w:val="00630226"/>
    <w:rsid w:val="00630F0D"/>
    <w:rsid w:val="0063128B"/>
    <w:rsid w:val="006323A9"/>
    <w:rsid w:val="00632A2A"/>
    <w:rsid w:val="00633C25"/>
    <w:rsid w:val="00634510"/>
    <w:rsid w:val="00634CE5"/>
    <w:rsid w:val="00634F60"/>
    <w:rsid w:val="00635C4B"/>
    <w:rsid w:val="006360E6"/>
    <w:rsid w:val="00636B44"/>
    <w:rsid w:val="00636D14"/>
    <w:rsid w:val="00636E40"/>
    <w:rsid w:val="00637234"/>
    <w:rsid w:val="00637461"/>
    <w:rsid w:val="00637820"/>
    <w:rsid w:val="00637CA6"/>
    <w:rsid w:val="00637E1B"/>
    <w:rsid w:val="00637E3E"/>
    <w:rsid w:val="00637F3C"/>
    <w:rsid w:val="00640C82"/>
    <w:rsid w:val="006411CA"/>
    <w:rsid w:val="0064154B"/>
    <w:rsid w:val="00641DAF"/>
    <w:rsid w:val="00642042"/>
    <w:rsid w:val="00643070"/>
    <w:rsid w:val="00643246"/>
    <w:rsid w:val="00643876"/>
    <w:rsid w:val="00643F76"/>
    <w:rsid w:val="00644458"/>
    <w:rsid w:val="00644DB2"/>
    <w:rsid w:val="00644FF2"/>
    <w:rsid w:val="00645580"/>
    <w:rsid w:val="00647B76"/>
    <w:rsid w:val="00651112"/>
    <w:rsid w:val="00651F13"/>
    <w:rsid w:val="0065207B"/>
    <w:rsid w:val="00652E11"/>
    <w:rsid w:val="00652EFA"/>
    <w:rsid w:val="006533CD"/>
    <w:rsid w:val="00653412"/>
    <w:rsid w:val="00654666"/>
    <w:rsid w:val="00655874"/>
    <w:rsid w:val="00655BBF"/>
    <w:rsid w:val="00655CF6"/>
    <w:rsid w:val="00655E42"/>
    <w:rsid w:val="00655FE2"/>
    <w:rsid w:val="00655FEF"/>
    <w:rsid w:val="00656D2D"/>
    <w:rsid w:val="006609CD"/>
    <w:rsid w:val="00660BA8"/>
    <w:rsid w:val="0066206C"/>
    <w:rsid w:val="0066220A"/>
    <w:rsid w:val="00662653"/>
    <w:rsid w:val="00662808"/>
    <w:rsid w:val="0066290E"/>
    <w:rsid w:val="00662B29"/>
    <w:rsid w:val="00662DAD"/>
    <w:rsid w:val="00663211"/>
    <w:rsid w:val="0066337C"/>
    <w:rsid w:val="00663F3B"/>
    <w:rsid w:val="0066524C"/>
    <w:rsid w:val="0066602D"/>
    <w:rsid w:val="00666B64"/>
    <w:rsid w:val="00666E6A"/>
    <w:rsid w:val="00667115"/>
    <w:rsid w:val="006672E3"/>
    <w:rsid w:val="00667B4A"/>
    <w:rsid w:val="00670550"/>
    <w:rsid w:val="006706C3"/>
    <w:rsid w:val="00670E02"/>
    <w:rsid w:val="00671112"/>
    <w:rsid w:val="00671D55"/>
    <w:rsid w:val="00671DFF"/>
    <w:rsid w:val="006723D2"/>
    <w:rsid w:val="00673951"/>
    <w:rsid w:val="0067446C"/>
    <w:rsid w:val="00674556"/>
    <w:rsid w:val="006747E9"/>
    <w:rsid w:val="006748F4"/>
    <w:rsid w:val="00675DAA"/>
    <w:rsid w:val="0067606C"/>
    <w:rsid w:val="00676837"/>
    <w:rsid w:val="00677410"/>
    <w:rsid w:val="00677B1B"/>
    <w:rsid w:val="0068056E"/>
    <w:rsid w:val="00680CB3"/>
    <w:rsid w:val="00681346"/>
    <w:rsid w:val="006814F9"/>
    <w:rsid w:val="00681A15"/>
    <w:rsid w:val="00682C4B"/>
    <w:rsid w:val="00682FD2"/>
    <w:rsid w:val="006833D2"/>
    <w:rsid w:val="00683B97"/>
    <w:rsid w:val="00684F85"/>
    <w:rsid w:val="00685AF5"/>
    <w:rsid w:val="0068630D"/>
    <w:rsid w:val="006870EA"/>
    <w:rsid w:val="00687EFB"/>
    <w:rsid w:val="00690185"/>
    <w:rsid w:val="00690956"/>
    <w:rsid w:val="00691332"/>
    <w:rsid w:val="00691756"/>
    <w:rsid w:val="0069252D"/>
    <w:rsid w:val="00692A86"/>
    <w:rsid w:val="006932C9"/>
    <w:rsid w:val="00693F99"/>
    <w:rsid w:val="006950FB"/>
    <w:rsid w:val="0069559A"/>
    <w:rsid w:val="00695B3D"/>
    <w:rsid w:val="006977E7"/>
    <w:rsid w:val="006A035D"/>
    <w:rsid w:val="006A09D8"/>
    <w:rsid w:val="006A149E"/>
    <w:rsid w:val="006A2251"/>
    <w:rsid w:val="006A24E2"/>
    <w:rsid w:val="006A3EEF"/>
    <w:rsid w:val="006A3F27"/>
    <w:rsid w:val="006A49A4"/>
    <w:rsid w:val="006A5358"/>
    <w:rsid w:val="006A5B6C"/>
    <w:rsid w:val="006A63F1"/>
    <w:rsid w:val="006A659D"/>
    <w:rsid w:val="006A71BE"/>
    <w:rsid w:val="006A7260"/>
    <w:rsid w:val="006A783E"/>
    <w:rsid w:val="006A7ADB"/>
    <w:rsid w:val="006A7FE9"/>
    <w:rsid w:val="006B00CF"/>
    <w:rsid w:val="006B046A"/>
    <w:rsid w:val="006B0619"/>
    <w:rsid w:val="006B10C5"/>
    <w:rsid w:val="006B1618"/>
    <w:rsid w:val="006B185F"/>
    <w:rsid w:val="006B1F7F"/>
    <w:rsid w:val="006B23C5"/>
    <w:rsid w:val="006B273F"/>
    <w:rsid w:val="006B3DFE"/>
    <w:rsid w:val="006B4DE7"/>
    <w:rsid w:val="006B4E9F"/>
    <w:rsid w:val="006B524A"/>
    <w:rsid w:val="006B5471"/>
    <w:rsid w:val="006B56F1"/>
    <w:rsid w:val="006B571A"/>
    <w:rsid w:val="006B65A2"/>
    <w:rsid w:val="006B68F4"/>
    <w:rsid w:val="006B6C04"/>
    <w:rsid w:val="006B6DEC"/>
    <w:rsid w:val="006B7393"/>
    <w:rsid w:val="006B7DC8"/>
    <w:rsid w:val="006C00D2"/>
    <w:rsid w:val="006C1122"/>
    <w:rsid w:val="006C128E"/>
    <w:rsid w:val="006C1D70"/>
    <w:rsid w:val="006C1EDE"/>
    <w:rsid w:val="006C2076"/>
    <w:rsid w:val="006C29C3"/>
    <w:rsid w:val="006C2DFC"/>
    <w:rsid w:val="006C332D"/>
    <w:rsid w:val="006C360E"/>
    <w:rsid w:val="006C3719"/>
    <w:rsid w:val="006C39DE"/>
    <w:rsid w:val="006C3BAC"/>
    <w:rsid w:val="006C4095"/>
    <w:rsid w:val="006C54C6"/>
    <w:rsid w:val="006C5BAB"/>
    <w:rsid w:val="006C5EC2"/>
    <w:rsid w:val="006C63DD"/>
    <w:rsid w:val="006C6703"/>
    <w:rsid w:val="006C6885"/>
    <w:rsid w:val="006C6940"/>
    <w:rsid w:val="006C6FC0"/>
    <w:rsid w:val="006C7031"/>
    <w:rsid w:val="006C795B"/>
    <w:rsid w:val="006C7BEB"/>
    <w:rsid w:val="006C7C6E"/>
    <w:rsid w:val="006C7ECD"/>
    <w:rsid w:val="006D074D"/>
    <w:rsid w:val="006D0915"/>
    <w:rsid w:val="006D0E61"/>
    <w:rsid w:val="006D1229"/>
    <w:rsid w:val="006D1341"/>
    <w:rsid w:val="006D18AD"/>
    <w:rsid w:val="006D21C3"/>
    <w:rsid w:val="006D251E"/>
    <w:rsid w:val="006D2847"/>
    <w:rsid w:val="006D2BCD"/>
    <w:rsid w:val="006D2E74"/>
    <w:rsid w:val="006D2F04"/>
    <w:rsid w:val="006D2FC8"/>
    <w:rsid w:val="006D3AE3"/>
    <w:rsid w:val="006D3D8F"/>
    <w:rsid w:val="006D4EA3"/>
    <w:rsid w:val="006D5063"/>
    <w:rsid w:val="006D54D8"/>
    <w:rsid w:val="006D58B0"/>
    <w:rsid w:val="006D5A75"/>
    <w:rsid w:val="006D5D4B"/>
    <w:rsid w:val="006D64CD"/>
    <w:rsid w:val="006D662A"/>
    <w:rsid w:val="006D6937"/>
    <w:rsid w:val="006D7456"/>
    <w:rsid w:val="006D77A7"/>
    <w:rsid w:val="006D79CD"/>
    <w:rsid w:val="006E0019"/>
    <w:rsid w:val="006E0235"/>
    <w:rsid w:val="006E04BC"/>
    <w:rsid w:val="006E0F9F"/>
    <w:rsid w:val="006E1263"/>
    <w:rsid w:val="006E1ABE"/>
    <w:rsid w:val="006E1B2C"/>
    <w:rsid w:val="006E1CA5"/>
    <w:rsid w:val="006E2A27"/>
    <w:rsid w:val="006E32D6"/>
    <w:rsid w:val="006E3313"/>
    <w:rsid w:val="006E39CE"/>
    <w:rsid w:val="006E4A51"/>
    <w:rsid w:val="006E4D40"/>
    <w:rsid w:val="006E4D6A"/>
    <w:rsid w:val="006E518F"/>
    <w:rsid w:val="006E611E"/>
    <w:rsid w:val="006E6283"/>
    <w:rsid w:val="006E62C6"/>
    <w:rsid w:val="006E6FC2"/>
    <w:rsid w:val="006E70EC"/>
    <w:rsid w:val="006F0106"/>
    <w:rsid w:val="006F062F"/>
    <w:rsid w:val="006F06B6"/>
    <w:rsid w:val="006F094B"/>
    <w:rsid w:val="006F0BC0"/>
    <w:rsid w:val="006F0C3D"/>
    <w:rsid w:val="006F0EDB"/>
    <w:rsid w:val="006F11AA"/>
    <w:rsid w:val="006F143D"/>
    <w:rsid w:val="006F17E1"/>
    <w:rsid w:val="006F18DA"/>
    <w:rsid w:val="006F3562"/>
    <w:rsid w:val="006F3F24"/>
    <w:rsid w:val="006F4810"/>
    <w:rsid w:val="006F4B77"/>
    <w:rsid w:val="006F5A53"/>
    <w:rsid w:val="006F7331"/>
    <w:rsid w:val="006F788C"/>
    <w:rsid w:val="006F7BAD"/>
    <w:rsid w:val="00700849"/>
    <w:rsid w:val="00700D03"/>
    <w:rsid w:val="00700DD1"/>
    <w:rsid w:val="00701065"/>
    <w:rsid w:val="007010E3"/>
    <w:rsid w:val="007015C7"/>
    <w:rsid w:val="00702FF7"/>
    <w:rsid w:val="00703532"/>
    <w:rsid w:val="00703584"/>
    <w:rsid w:val="00703ACC"/>
    <w:rsid w:val="00704162"/>
    <w:rsid w:val="0070450A"/>
    <w:rsid w:val="00704F3D"/>
    <w:rsid w:val="00705120"/>
    <w:rsid w:val="0070526C"/>
    <w:rsid w:val="00706B92"/>
    <w:rsid w:val="0070711E"/>
    <w:rsid w:val="00707D5F"/>
    <w:rsid w:val="00707DAE"/>
    <w:rsid w:val="00707F33"/>
    <w:rsid w:val="00710172"/>
    <w:rsid w:val="007107F6"/>
    <w:rsid w:val="00712AFC"/>
    <w:rsid w:val="00713234"/>
    <w:rsid w:val="0071330A"/>
    <w:rsid w:val="00713312"/>
    <w:rsid w:val="00713CFD"/>
    <w:rsid w:val="00714BF6"/>
    <w:rsid w:val="00716090"/>
    <w:rsid w:val="007163DB"/>
    <w:rsid w:val="00716473"/>
    <w:rsid w:val="0071663A"/>
    <w:rsid w:val="00716745"/>
    <w:rsid w:val="0071746F"/>
    <w:rsid w:val="007179B4"/>
    <w:rsid w:val="00717B98"/>
    <w:rsid w:val="00717CB1"/>
    <w:rsid w:val="00720B79"/>
    <w:rsid w:val="00720F47"/>
    <w:rsid w:val="0072141B"/>
    <w:rsid w:val="007214A2"/>
    <w:rsid w:val="0072171B"/>
    <w:rsid w:val="0072192E"/>
    <w:rsid w:val="00721C04"/>
    <w:rsid w:val="00721CD8"/>
    <w:rsid w:val="00721E81"/>
    <w:rsid w:val="00722111"/>
    <w:rsid w:val="00723E57"/>
    <w:rsid w:val="00724862"/>
    <w:rsid w:val="007250F0"/>
    <w:rsid w:val="00725191"/>
    <w:rsid w:val="007262CE"/>
    <w:rsid w:val="00726A0A"/>
    <w:rsid w:val="0072713C"/>
    <w:rsid w:val="00727F50"/>
    <w:rsid w:val="007300B0"/>
    <w:rsid w:val="007306A9"/>
    <w:rsid w:val="007316AC"/>
    <w:rsid w:val="00731987"/>
    <w:rsid w:val="0073273E"/>
    <w:rsid w:val="00732910"/>
    <w:rsid w:val="00732F07"/>
    <w:rsid w:val="0073321E"/>
    <w:rsid w:val="00733F53"/>
    <w:rsid w:val="00734846"/>
    <w:rsid w:val="00734A66"/>
    <w:rsid w:val="007351E0"/>
    <w:rsid w:val="00735810"/>
    <w:rsid w:val="00736393"/>
    <w:rsid w:val="00736CB9"/>
    <w:rsid w:val="007374E9"/>
    <w:rsid w:val="00737792"/>
    <w:rsid w:val="00737882"/>
    <w:rsid w:val="00740D66"/>
    <w:rsid w:val="00741367"/>
    <w:rsid w:val="007416F4"/>
    <w:rsid w:val="007417FD"/>
    <w:rsid w:val="0074280E"/>
    <w:rsid w:val="00743AD0"/>
    <w:rsid w:val="00744C1C"/>
    <w:rsid w:val="00744C7D"/>
    <w:rsid w:val="007456E0"/>
    <w:rsid w:val="007459FA"/>
    <w:rsid w:val="00746585"/>
    <w:rsid w:val="007468E0"/>
    <w:rsid w:val="00746E5D"/>
    <w:rsid w:val="007478AD"/>
    <w:rsid w:val="007515BE"/>
    <w:rsid w:val="00751EF3"/>
    <w:rsid w:val="00751F6A"/>
    <w:rsid w:val="00752FA4"/>
    <w:rsid w:val="007534D9"/>
    <w:rsid w:val="00753BEC"/>
    <w:rsid w:val="00754339"/>
    <w:rsid w:val="00754B7B"/>
    <w:rsid w:val="00754C50"/>
    <w:rsid w:val="00755130"/>
    <w:rsid w:val="007562DF"/>
    <w:rsid w:val="0075630A"/>
    <w:rsid w:val="00756A9D"/>
    <w:rsid w:val="00757CFB"/>
    <w:rsid w:val="0076025D"/>
    <w:rsid w:val="007604F0"/>
    <w:rsid w:val="0076070A"/>
    <w:rsid w:val="00760D75"/>
    <w:rsid w:val="00762183"/>
    <w:rsid w:val="007625D2"/>
    <w:rsid w:val="00762BEF"/>
    <w:rsid w:val="00763907"/>
    <w:rsid w:val="00763CB1"/>
    <w:rsid w:val="00763E2A"/>
    <w:rsid w:val="007647E9"/>
    <w:rsid w:val="00764E23"/>
    <w:rsid w:val="007652A1"/>
    <w:rsid w:val="007655E6"/>
    <w:rsid w:val="00765A24"/>
    <w:rsid w:val="00766802"/>
    <w:rsid w:val="00766B62"/>
    <w:rsid w:val="007670C1"/>
    <w:rsid w:val="00770BBF"/>
    <w:rsid w:val="00770DF7"/>
    <w:rsid w:val="00770F13"/>
    <w:rsid w:val="00771494"/>
    <w:rsid w:val="00771646"/>
    <w:rsid w:val="007717CF"/>
    <w:rsid w:val="007723A9"/>
    <w:rsid w:val="00772B96"/>
    <w:rsid w:val="00772EE8"/>
    <w:rsid w:val="00773284"/>
    <w:rsid w:val="00773CDE"/>
    <w:rsid w:val="00773D8B"/>
    <w:rsid w:val="0077423A"/>
    <w:rsid w:val="0077490F"/>
    <w:rsid w:val="00777488"/>
    <w:rsid w:val="0078001D"/>
    <w:rsid w:val="00780088"/>
    <w:rsid w:val="0078075C"/>
    <w:rsid w:val="00781080"/>
    <w:rsid w:val="007816BD"/>
    <w:rsid w:val="0078171A"/>
    <w:rsid w:val="00782800"/>
    <w:rsid w:val="007832ED"/>
    <w:rsid w:val="00783FA4"/>
    <w:rsid w:val="00784A5E"/>
    <w:rsid w:val="0078522B"/>
    <w:rsid w:val="00786081"/>
    <w:rsid w:val="00786455"/>
    <w:rsid w:val="007867AB"/>
    <w:rsid w:val="00786F27"/>
    <w:rsid w:val="0078714D"/>
    <w:rsid w:val="007902B6"/>
    <w:rsid w:val="00790315"/>
    <w:rsid w:val="00790B85"/>
    <w:rsid w:val="007911AB"/>
    <w:rsid w:val="00791C4F"/>
    <w:rsid w:val="00791C88"/>
    <w:rsid w:val="00791D37"/>
    <w:rsid w:val="00791D46"/>
    <w:rsid w:val="00791F22"/>
    <w:rsid w:val="007922AE"/>
    <w:rsid w:val="007924E5"/>
    <w:rsid w:val="00792969"/>
    <w:rsid w:val="0079299C"/>
    <w:rsid w:val="00792DD7"/>
    <w:rsid w:val="007930D7"/>
    <w:rsid w:val="00793238"/>
    <w:rsid w:val="00793F91"/>
    <w:rsid w:val="00794004"/>
    <w:rsid w:val="007941C0"/>
    <w:rsid w:val="007941D5"/>
    <w:rsid w:val="00794343"/>
    <w:rsid w:val="007948EF"/>
    <w:rsid w:val="0079512A"/>
    <w:rsid w:val="0079572E"/>
    <w:rsid w:val="007957CA"/>
    <w:rsid w:val="007963B4"/>
    <w:rsid w:val="00796CC1"/>
    <w:rsid w:val="007976AC"/>
    <w:rsid w:val="007A096F"/>
    <w:rsid w:val="007A0A36"/>
    <w:rsid w:val="007A0C46"/>
    <w:rsid w:val="007A0D2C"/>
    <w:rsid w:val="007A13C0"/>
    <w:rsid w:val="007A14B8"/>
    <w:rsid w:val="007A1820"/>
    <w:rsid w:val="007A18A7"/>
    <w:rsid w:val="007A235C"/>
    <w:rsid w:val="007A248B"/>
    <w:rsid w:val="007A3018"/>
    <w:rsid w:val="007A3701"/>
    <w:rsid w:val="007A416F"/>
    <w:rsid w:val="007A6944"/>
    <w:rsid w:val="007A69CD"/>
    <w:rsid w:val="007A7DCB"/>
    <w:rsid w:val="007B045F"/>
    <w:rsid w:val="007B0800"/>
    <w:rsid w:val="007B0FBD"/>
    <w:rsid w:val="007B1702"/>
    <w:rsid w:val="007B1743"/>
    <w:rsid w:val="007B1A08"/>
    <w:rsid w:val="007B23D2"/>
    <w:rsid w:val="007B2B7F"/>
    <w:rsid w:val="007B2CCC"/>
    <w:rsid w:val="007B35BE"/>
    <w:rsid w:val="007B3903"/>
    <w:rsid w:val="007B3D71"/>
    <w:rsid w:val="007B3F1F"/>
    <w:rsid w:val="007B4209"/>
    <w:rsid w:val="007B46D7"/>
    <w:rsid w:val="007B50C5"/>
    <w:rsid w:val="007B5311"/>
    <w:rsid w:val="007B57D9"/>
    <w:rsid w:val="007B73B0"/>
    <w:rsid w:val="007B7433"/>
    <w:rsid w:val="007B7888"/>
    <w:rsid w:val="007B799F"/>
    <w:rsid w:val="007B7EAC"/>
    <w:rsid w:val="007C04AE"/>
    <w:rsid w:val="007C08AE"/>
    <w:rsid w:val="007C0CC0"/>
    <w:rsid w:val="007C137D"/>
    <w:rsid w:val="007C1913"/>
    <w:rsid w:val="007C2217"/>
    <w:rsid w:val="007C228A"/>
    <w:rsid w:val="007C2675"/>
    <w:rsid w:val="007C2988"/>
    <w:rsid w:val="007C3840"/>
    <w:rsid w:val="007C3B04"/>
    <w:rsid w:val="007C5E5A"/>
    <w:rsid w:val="007C6274"/>
    <w:rsid w:val="007C7514"/>
    <w:rsid w:val="007D068D"/>
    <w:rsid w:val="007D079C"/>
    <w:rsid w:val="007D0F7C"/>
    <w:rsid w:val="007D1DE6"/>
    <w:rsid w:val="007D2758"/>
    <w:rsid w:val="007D2C3B"/>
    <w:rsid w:val="007D2CF9"/>
    <w:rsid w:val="007D3A7C"/>
    <w:rsid w:val="007D3CA0"/>
    <w:rsid w:val="007D4935"/>
    <w:rsid w:val="007D5A26"/>
    <w:rsid w:val="007D5B5F"/>
    <w:rsid w:val="007D5C38"/>
    <w:rsid w:val="007D5D6D"/>
    <w:rsid w:val="007D5E9A"/>
    <w:rsid w:val="007D6123"/>
    <w:rsid w:val="007D629B"/>
    <w:rsid w:val="007D6B04"/>
    <w:rsid w:val="007D73FB"/>
    <w:rsid w:val="007D74B2"/>
    <w:rsid w:val="007D75F9"/>
    <w:rsid w:val="007D78B3"/>
    <w:rsid w:val="007E07C8"/>
    <w:rsid w:val="007E13E5"/>
    <w:rsid w:val="007E180E"/>
    <w:rsid w:val="007E2483"/>
    <w:rsid w:val="007E29D3"/>
    <w:rsid w:val="007E2ECC"/>
    <w:rsid w:val="007E3280"/>
    <w:rsid w:val="007E3511"/>
    <w:rsid w:val="007E4100"/>
    <w:rsid w:val="007E41D1"/>
    <w:rsid w:val="007E5252"/>
    <w:rsid w:val="007E5FF5"/>
    <w:rsid w:val="007E69B9"/>
    <w:rsid w:val="007E6F2B"/>
    <w:rsid w:val="007E6F2C"/>
    <w:rsid w:val="007E7233"/>
    <w:rsid w:val="007E75BA"/>
    <w:rsid w:val="007E7F0E"/>
    <w:rsid w:val="007F0091"/>
    <w:rsid w:val="007F00D2"/>
    <w:rsid w:val="007F0240"/>
    <w:rsid w:val="007F1071"/>
    <w:rsid w:val="007F1908"/>
    <w:rsid w:val="007F1D5A"/>
    <w:rsid w:val="007F1E61"/>
    <w:rsid w:val="007F40F9"/>
    <w:rsid w:val="007F4875"/>
    <w:rsid w:val="007F67CC"/>
    <w:rsid w:val="007F7BEC"/>
    <w:rsid w:val="00800297"/>
    <w:rsid w:val="008006AD"/>
    <w:rsid w:val="00800B7F"/>
    <w:rsid w:val="008014B5"/>
    <w:rsid w:val="00801801"/>
    <w:rsid w:val="008018BF"/>
    <w:rsid w:val="008025EF"/>
    <w:rsid w:val="00802919"/>
    <w:rsid w:val="00802C67"/>
    <w:rsid w:val="00802E37"/>
    <w:rsid w:val="00803D57"/>
    <w:rsid w:val="00804DC8"/>
    <w:rsid w:val="0080501D"/>
    <w:rsid w:val="008054DB"/>
    <w:rsid w:val="00805A55"/>
    <w:rsid w:val="00805ACC"/>
    <w:rsid w:val="00805D56"/>
    <w:rsid w:val="00806040"/>
    <w:rsid w:val="00806057"/>
    <w:rsid w:val="008072DF"/>
    <w:rsid w:val="00807A9D"/>
    <w:rsid w:val="0081009D"/>
    <w:rsid w:val="008104F9"/>
    <w:rsid w:val="00810AC6"/>
    <w:rsid w:val="00810EAF"/>
    <w:rsid w:val="00810F00"/>
    <w:rsid w:val="0081102F"/>
    <w:rsid w:val="008115D5"/>
    <w:rsid w:val="0081181A"/>
    <w:rsid w:val="00811DCB"/>
    <w:rsid w:val="00812386"/>
    <w:rsid w:val="00813113"/>
    <w:rsid w:val="00813921"/>
    <w:rsid w:val="00813E2D"/>
    <w:rsid w:val="00816CCF"/>
    <w:rsid w:val="008171A7"/>
    <w:rsid w:val="0081764D"/>
    <w:rsid w:val="00817B85"/>
    <w:rsid w:val="0082108C"/>
    <w:rsid w:val="00821425"/>
    <w:rsid w:val="00821429"/>
    <w:rsid w:val="00821A6B"/>
    <w:rsid w:val="00821BED"/>
    <w:rsid w:val="008224CC"/>
    <w:rsid w:val="008229B3"/>
    <w:rsid w:val="00822EBB"/>
    <w:rsid w:val="00824137"/>
    <w:rsid w:val="00825A7F"/>
    <w:rsid w:val="0082677B"/>
    <w:rsid w:val="008272D9"/>
    <w:rsid w:val="008274AD"/>
    <w:rsid w:val="00827642"/>
    <w:rsid w:val="008278BD"/>
    <w:rsid w:val="008279B4"/>
    <w:rsid w:val="00827A54"/>
    <w:rsid w:val="008312A2"/>
    <w:rsid w:val="008317F5"/>
    <w:rsid w:val="008327DF"/>
    <w:rsid w:val="00832EF4"/>
    <w:rsid w:val="00833715"/>
    <w:rsid w:val="00834F17"/>
    <w:rsid w:val="008356E6"/>
    <w:rsid w:val="0083626E"/>
    <w:rsid w:val="00836277"/>
    <w:rsid w:val="00836557"/>
    <w:rsid w:val="008366E7"/>
    <w:rsid w:val="0083686A"/>
    <w:rsid w:val="00840810"/>
    <w:rsid w:val="00840D30"/>
    <w:rsid w:val="008411F7"/>
    <w:rsid w:val="0084168D"/>
    <w:rsid w:val="00842450"/>
    <w:rsid w:val="00842708"/>
    <w:rsid w:val="00842A1B"/>
    <w:rsid w:val="00842DD0"/>
    <w:rsid w:val="008444CA"/>
    <w:rsid w:val="008445CD"/>
    <w:rsid w:val="00844947"/>
    <w:rsid w:val="00844EC5"/>
    <w:rsid w:val="008455DE"/>
    <w:rsid w:val="0084564B"/>
    <w:rsid w:val="00845D81"/>
    <w:rsid w:val="00846138"/>
    <w:rsid w:val="00846C99"/>
    <w:rsid w:val="00847134"/>
    <w:rsid w:val="00850876"/>
    <w:rsid w:val="008513D2"/>
    <w:rsid w:val="008519A3"/>
    <w:rsid w:val="00851A72"/>
    <w:rsid w:val="00851EE1"/>
    <w:rsid w:val="008521FC"/>
    <w:rsid w:val="00852B00"/>
    <w:rsid w:val="008538D6"/>
    <w:rsid w:val="0085541C"/>
    <w:rsid w:val="008554D1"/>
    <w:rsid w:val="008571D9"/>
    <w:rsid w:val="0085768A"/>
    <w:rsid w:val="00860253"/>
    <w:rsid w:val="008607F2"/>
    <w:rsid w:val="00861AE2"/>
    <w:rsid w:val="00862066"/>
    <w:rsid w:val="0086214D"/>
    <w:rsid w:val="008627A0"/>
    <w:rsid w:val="00863E3F"/>
    <w:rsid w:val="00864071"/>
    <w:rsid w:val="00864759"/>
    <w:rsid w:val="00864DB7"/>
    <w:rsid w:val="0086516B"/>
    <w:rsid w:val="00865514"/>
    <w:rsid w:val="00865537"/>
    <w:rsid w:val="008658DA"/>
    <w:rsid w:val="00865C5B"/>
    <w:rsid w:val="00865F54"/>
    <w:rsid w:val="00866BBE"/>
    <w:rsid w:val="0086759B"/>
    <w:rsid w:val="008679D9"/>
    <w:rsid w:val="00867A32"/>
    <w:rsid w:val="0087035E"/>
    <w:rsid w:val="008703E6"/>
    <w:rsid w:val="008704A5"/>
    <w:rsid w:val="00870C06"/>
    <w:rsid w:val="008715A4"/>
    <w:rsid w:val="00871BAB"/>
    <w:rsid w:val="0087208F"/>
    <w:rsid w:val="00872969"/>
    <w:rsid w:val="00872D49"/>
    <w:rsid w:val="0087323E"/>
    <w:rsid w:val="008732F8"/>
    <w:rsid w:val="0087492A"/>
    <w:rsid w:val="00875C55"/>
    <w:rsid w:val="00876442"/>
    <w:rsid w:val="00876BCB"/>
    <w:rsid w:val="008770C7"/>
    <w:rsid w:val="008772BB"/>
    <w:rsid w:val="00877368"/>
    <w:rsid w:val="00877810"/>
    <w:rsid w:val="00877A5D"/>
    <w:rsid w:val="00877DB0"/>
    <w:rsid w:val="00880DB6"/>
    <w:rsid w:val="008812F9"/>
    <w:rsid w:val="00881B65"/>
    <w:rsid w:val="008825CC"/>
    <w:rsid w:val="00882A5E"/>
    <w:rsid w:val="00882D46"/>
    <w:rsid w:val="00883D31"/>
    <w:rsid w:val="0088424F"/>
    <w:rsid w:val="008850ED"/>
    <w:rsid w:val="00885DF1"/>
    <w:rsid w:val="00885FB7"/>
    <w:rsid w:val="008863BE"/>
    <w:rsid w:val="00887D38"/>
    <w:rsid w:val="00890D77"/>
    <w:rsid w:val="00890DE2"/>
    <w:rsid w:val="0089139C"/>
    <w:rsid w:val="00891565"/>
    <w:rsid w:val="00891BF8"/>
    <w:rsid w:val="00891CB7"/>
    <w:rsid w:val="00892150"/>
    <w:rsid w:val="00892FAF"/>
    <w:rsid w:val="008937A9"/>
    <w:rsid w:val="008941E8"/>
    <w:rsid w:val="0089522D"/>
    <w:rsid w:val="00895B9F"/>
    <w:rsid w:val="00897BC9"/>
    <w:rsid w:val="00897BD7"/>
    <w:rsid w:val="008A0021"/>
    <w:rsid w:val="008A01B3"/>
    <w:rsid w:val="008A087F"/>
    <w:rsid w:val="008A0FC8"/>
    <w:rsid w:val="008A180E"/>
    <w:rsid w:val="008A1DB6"/>
    <w:rsid w:val="008A213A"/>
    <w:rsid w:val="008A2AE3"/>
    <w:rsid w:val="008A3247"/>
    <w:rsid w:val="008A326D"/>
    <w:rsid w:val="008A4403"/>
    <w:rsid w:val="008A4A57"/>
    <w:rsid w:val="008A4D98"/>
    <w:rsid w:val="008A53EA"/>
    <w:rsid w:val="008A58AA"/>
    <w:rsid w:val="008A5EA6"/>
    <w:rsid w:val="008A61A1"/>
    <w:rsid w:val="008A652F"/>
    <w:rsid w:val="008A761C"/>
    <w:rsid w:val="008A7F31"/>
    <w:rsid w:val="008A7F33"/>
    <w:rsid w:val="008B03D2"/>
    <w:rsid w:val="008B15F3"/>
    <w:rsid w:val="008B1B73"/>
    <w:rsid w:val="008B1E98"/>
    <w:rsid w:val="008B23A5"/>
    <w:rsid w:val="008B26FE"/>
    <w:rsid w:val="008B37B0"/>
    <w:rsid w:val="008B3804"/>
    <w:rsid w:val="008B5338"/>
    <w:rsid w:val="008B5FEA"/>
    <w:rsid w:val="008B66CC"/>
    <w:rsid w:val="008B780F"/>
    <w:rsid w:val="008B7955"/>
    <w:rsid w:val="008B7ABE"/>
    <w:rsid w:val="008B7AD2"/>
    <w:rsid w:val="008C0CD9"/>
    <w:rsid w:val="008C0F28"/>
    <w:rsid w:val="008C172C"/>
    <w:rsid w:val="008C18DC"/>
    <w:rsid w:val="008C2026"/>
    <w:rsid w:val="008C20BF"/>
    <w:rsid w:val="008C24A0"/>
    <w:rsid w:val="008C2640"/>
    <w:rsid w:val="008C2D4B"/>
    <w:rsid w:val="008C3936"/>
    <w:rsid w:val="008C581D"/>
    <w:rsid w:val="008C6215"/>
    <w:rsid w:val="008C63A4"/>
    <w:rsid w:val="008C645D"/>
    <w:rsid w:val="008C682F"/>
    <w:rsid w:val="008C7029"/>
    <w:rsid w:val="008C71FA"/>
    <w:rsid w:val="008C758A"/>
    <w:rsid w:val="008C77A5"/>
    <w:rsid w:val="008C7A83"/>
    <w:rsid w:val="008C7E16"/>
    <w:rsid w:val="008D158A"/>
    <w:rsid w:val="008D1693"/>
    <w:rsid w:val="008D1AC5"/>
    <w:rsid w:val="008D1B1F"/>
    <w:rsid w:val="008D23AE"/>
    <w:rsid w:val="008D2930"/>
    <w:rsid w:val="008D2C5E"/>
    <w:rsid w:val="008D2E06"/>
    <w:rsid w:val="008D3459"/>
    <w:rsid w:val="008D3774"/>
    <w:rsid w:val="008D42D5"/>
    <w:rsid w:val="008D4342"/>
    <w:rsid w:val="008D453F"/>
    <w:rsid w:val="008D56A9"/>
    <w:rsid w:val="008D591F"/>
    <w:rsid w:val="008D5974"/>
    <w:rsid w:val="008D6893"/>
    <w:rsid w:val="008D741E"/>
    <w:rsid w:val="008D7497"/>
    <w:rsid w:val="008D7EE3"/>
    <w:rsid w:val="008E00AE"/>
    <w:rsid w:val="008E0772"/>
    <w:rsid w:val="008E1119"/>
    <w:rsid w:val="008E1CBF"/>
    <w:rsid w:val="008E1DD7"/>
    <w:rsid w:val="008E33C8"/>
    <w:rsid w:val="008E460A"/>
    <w:rsid w:val="008E47E6"/>
    <w:rsid w:val="008E4BD2"/>
    <w:rsid w:val="008E6507"/>
    <w:rsid w:val="008E65DE"/>
    <w:rsid w:val="008E6721"/>
    <w:rsid w:val="008E6895"/>
    <w:rsid w:val="008E6A76"/>
    <w:rsid w:val="008E704B"/>
    <w:rsid w:val="008E73F1"/>
    <w:rsid w:val="008E741D"/>
    <w:rsid w:val="008E7C3C"/>
    <w:rsid w:val="008F0B5E"/>
    <w:rsid w:val="008F0C0C"/>
    <w:rsid w:val="008F0D38"/>
    <w:rsid w:val="008F1C58"/>
    <w:rsid w:val="008F2192"/>
    <w:rsid w:val="008F2B10"/>
    <w:rsid w:val="008F2B35"/>
    <w:rsid w:val="008F3DE8"/>
    <w:rsid w:val="008F4BB2"/>
    <w:rsid w:val="008F554C"/>
    <w:rsid w:val="008F5A2F"/>
    <w:rsid w:val="008F6F50"/>
    <w:rsid w:val="008F76D3"/>
    <w:rsid w:val="008F79BB"/>
    <w:rsid w:val="008F7E10"/>
    <w:rsid w:val="00900EB5"/>
    <w:rsid w:val="00900F78"/>
    <w:rsid w:val="00901652"/>
    <w:rsid w:val="0090225A"/>
    <w:rsid w:val="009027B8"/>
    <w:rsid w:val="00902C7F"/>
    <w:rsid w:val="00903260"/>
    <w:rsid w:val="009040C3"/>
    <w:rsid w:val="00904FA0"/>
    <w:rsid w:val="00905263"/>
    <w:rsid w:val="00905AFA"/>
    <w:rsid w:val="009077FF"/>
    <w:rsid w:val="00907BC4"/>
    <w:rsid w:val="00910B59"/>
    <w:rsid w:val="009112A8"/>
    <w:rsid w:val="00911371"/>
    <w:rsid w:val="0091163B"/>
    <w:rsid w:val="0091188A"/>
    <w:rsid w:val="00912613"/>
    <w:rsid w:val="009126D1"/>
    <w:rsid w:val="009136FB"/>
    <w:rsid w:val="00913A33"/>
    <w:rsid w:val="00913B22"/>
    <w:rsid w:val="0091462A"/>
    <w:rsid w:val="0091466F"/>
    <w:rsid w:val="00914809"/>
    <w:rsid w:val="0091558E"/>
    <w:rsid w:val="00915C32"/>
    <w:rsid w:val="00915DE2"/>
    <w:rsid w:val="00915F28"/>
    <w:rsid w:val="00916224"/>
    <w:rsid w:val="009166E4"/>
    <w:rsid w:val="00916BBB"/>
    <w:rsid w:val="00916F9E"/>
    <w:rsid w:val="009170A4"/>
    <w:rsid w:val="00920B69"/>
    <w:rsid w:val="00920C45"/>
    <w:rsid w:val="0092148E"/>
    <w:rsid w:val="00921CA4"/>
    <w:rsid w:val="00922070"/>
    <w:rsid w:val="00922222"/>
    <w:rsid w:val="009227FB"/>
    <w:rsid w:val="00922934"/>
    <w:rsid w:val="00922C67"/>
    <w:rsid w:val="009248AD"/>
    <w:rsid w:val="00924DAC"/>
    <w:rsid w:val="00924F9F"/>
    <w:rsid w:val="009250C7"/>
    <w:rsid w:val="0092521A"/>
    <w:rsid w:val="009254A1"/>
    <w:rsid w:val="00925679"/>
    <w:rsid w:val="009256E0"/>
    <w:rsid w:val="00925724"/>
    <w:rsid w:val="00925D02"/>
    <w:rsid w:val="00925DE6"/>
    <w:rsid w:val="00926610"/>
    <w:rsid w:val="009267BE"/>
    <w:rsid w:val="009273E1"/>
    <w:rsid w:val="00927648"/>
    <w:rsid w:val="00927687"/>
    <w:rsid w:val="00930E07"/>
    <w:rsid w:val="00931446"/>
    <w:rsid w:val="00931F0C"/>
    <w:rsid w:val="00933285"/>
    <w:rsid w:val="0093372A"/>
    <w:rsid w:val="00933903"/>
    <w:rsid w:val="00933EDA"/>
    <w:rsid w:val="00935323"/>
    <w:rsid w:val="00937496"/>
    <w:rsid w:val="0093752C"/>
    <w:rsid w:val="00937933"/>
    <w:rsid w:val="00937C9A"/>
    <w:rsid w:val="0094118E"/>
    <w:rsid w:val="0094263C"/>
    <w:rsid w:val="00942C08"/>
    <w:rsid w:val="00942FE3"/>
    <w:rsid w:val="00943066"/>
    <w:rsid w:val="00943803"/>
    <w:rsid w:val="00943B94"/>
    <w:rsid w:val="0094451F"/>
    <w:rsid w:val="00944C74"/>
    <w:rsid w:val="00944F8D"/>
    <w:rsid w:val="00945214"/>
    <w:rsid w:val="00945487"/>
    <w:rsid w:val="00945FA5"/>
    <w:rsid w:val="00946CED"/>
    <w:rsid w:val="00947655"/>
    <w:rsid w:val="0094778D"/>
    <w:rsid w:val="009506C1"/>
    <w:rsid w:val="00950D76"/>
    <w:rsid w:val="00951A4B"/>
    <w:rsid w:val="0095233A"/>
    <w:rsid w:val="00952B07"/>
    <w:rsid w:val="009540A1"/>
    <w:rsid w:val="009541AB"/>
    <w:rsid w:val="00954925"/>
    <w:rsid w:val="0095569F"/>
    <w:rsid w:val="00955CB7"/>
    <w:rsid w:val="00956B4A"/>
    <w:rsid w:val="00956F11"/>
    <w:rsid w:val="00957CED"/>
    <w:rsid w:val="00957D16"/>
    <w:rsid w:val="009605D5"/>
    <w:rsid w:val="00960F3B"/>
    <w:rsid w:val="00961500"/>
    <w:rsid w:val="00962255"/>
    <w:rsid w:val="00962E42"/>
    <w:rsid w:val="00963067"/>
    <w:rsid w:val="0096316A"/>
    <w:rsid w:val="00964C92"/>
    <w:rsid w:val="00965AD0"/>
    <w:rsid w:val="00965E24"/>
    <w:rsid w:val="009669B4"/>
    <w:rsid w:val="0096799A"/>
    <w:rsid w:val="00970777"/>
    <w:rsid w:val="00970990"/>
    <w:rsid w:val="00971369"/>
    <w:rsid w:val="00971656"/>
    <w:rsid w:val="00972DA6"/>
    <w:rsid w:val="009731F4"/>
    <w:rsid w:val="009734CF"/>
    <w:rsid w:val="00973D18"/>
    <w:rsid w:val="00974212"/>
    <w:rsid w:val="00974776"/>
    <w:rsid w:val="00974870"/>
    <w:rsid w:val="00974C29"/>
    <w:rsid w:val="00974FC4"/>
    <w:rsid w:val="00976A62"/>
    <w:rsid w:val="00976E28"/>
    <w:rsid w:val="00977010"/>
    <w:rsid w:val="00977CA8"/>
    <w:rsid w:val="00981F1B"/>
    <w:rsid w:val="00981FE0"/>
    <w:rsid w:val="00982418"/>
    <w:rsid w:val="00982977"/>
    <w:rsid w:val="00983860"/>
    <w:rsid w:val="009843A2"/>
    <w:rsid w:val="009849AE"/>
    <w:rsid w:val="00984C01"/>
    <w:rsid w:val="00985BCA"/>
    <w:rsid w:val="00986024"/>
    <w:rsid w:val="00986C85"/>
    <w:rsid w:val="009873B0"/>
    <w:rsid w:val="00990185"/>
    <w:rsid w:val="00990CA0"/>
    <w:rsid w:val="0099111A"/>
    <w:rsid w:val="00991734"/>
    <w:rsid w:val="0099196B"/>
    <w:rsid w:val="00991B8B"/>
    <w:rsid w:val="00991BA5"/>
    <w:rsid w:val="009924B2"/>
    <w:rsid w:val="00992568"/>
    <w:rsid w:val="009925C9"/>
    <w:rsid w:val="00992C61"/>
    <w:rsid w:val="0099320D"/>
    <w:rsid w:val="009935A5"/>
    <w:rsid w:val="00993DDC"/>
    <w:rsid w:val="00994ED3"/>
    <w:rsid w:val="00994FFE"/>
    <w:rsid w:val="00996D58"/>
    <w:rsid w:val="00997B36"/>
    <w:rsid w:val="0099E1A9"/>
    <w:rsid w:val="009A0450"/>
    <w:rsid w:val="009A2837"/>
    <w:rsid w:val="009A2C78"/>
    <w:rsid w:val="009A3144"/>
    <w:rsid w:val="009A3613"/>
    <w:rsid w:val="009A3637"/>
    <w:rsid w:val="009A3F5F"/>
    <w:rsid w:val="009A40B2"/>
    <w:rsid w:val="009A528A"/>
    <w:rsid w:val="009A5C0E"/>
    <w:rsid w:val="009A5EFC"/>
    <w:rsid w:val="009A6362"/>
    <w:rsid w:val="009A67E2"/>
    <w:rsid w:val="009A6B80"/>
    <w:rsid w:val="009A74B4"/>
    <w:rsid w:val="009B03B3"/>
    <w:rsid w:val="009B2791"/>
    <w:rsid w:val="009B27B6"/>
    <w:rsid w:val="009B2B0E"/>
    <w:rsid w:val="009B32D9"/>
    <w:rsid w:val="009B43AA"/>
    <w:rsid w:val="009B4C82"/>
    <w:rsid w:val="009B5039"/>
    <w:rsid w:val="009B513E"/>
    <w:rsid w:val="009B56C2"/>
    <w:rsid w:val="009B61D0"/>
    <w:rsid w:val="009B6218"/>
    <w:rsid w:val="009B70C0"/>
    <w:rsid w:val="009B7194"/>
    <w:rsid w:val="009C0046"/>
    <w:rsid w:val="009C0BF8"/>
    <w:rsid w:val="009C159A"/>
    <w:rsid w:val="009C17DE"/>
    <w:rsid w:val="009C1E27"/>
    <w:rsid w:val="009C28D8"/>
    <w:rsid w:val="009C3386"/>
    <w:rsid w:val="009C352D"/>
    <w:rsid w:val="009C3D91"/>
    <w:rsid w:val="009C49E4"/>
    <w:rsid w:val="009C5210"/>
    <w:rsid w:val="009C56B8"/>
    <w:rsid w:val="009C5B8E"/>
    <w:rsid w:val="009C5BE1"/>
    <w:rsid w:val="009C61C6"/>
    <w:rsid w:val="009C6B82"/>
    <w:rsid w:val="009C6CBD"/>
    <w:rsid w:val="009C7664"/>
    <w:rsid w:val="009C799C"/>
    <w:rsid w:val="009D0630"/>
    <w:rsid w:val="009D13D1"/>
    <w:rsid w:val="009D2169"/>
    <w:rsid w:val="009D23D3"/>
    <w:rsid w:val="009D256D"/>
    <w:rsid w:val="009D36A3"/>
    <w:rsid w:val="009D39DD"/>
    <w:rsid w:val="009D3BEA"/>
    <w:rsid w:val="009D3C3C"/>
    <w:rsid w:val="009D3DB9"/>
    <w:rsid w:val="009D3E12"/>
    <w:rsid w:val="009D4937"/>
    <w:rsid w:val="009D50A3"/>
    <w:rsid w:val="009D5916"/>
    <w:rsid w:val="009D59CD"/>
    <w:rsid w:val="009D5A85"/>
    <w:rsid w:val="009D6460"/>
    <w:rsid w:val="009D6B56"/>
    <w:rsid w:val="009E00FA"/>
    <w:rsid w:val="009E00FE"/>
    <w:rsid w:val="009E0C12"/>
    <w:rsid w:val="009E0ED7"/>
    <w:rsid w:val="009E10AF"/>
    <w:rsid w:val="009E1271"/>
    <w:rsid w:val="009E13BD"/>
    <w:rsid w:val="009E1769"/>
    <w:rsid w:val="009E197C"/>
    <w:rsid w:val="009E1CAC"/>
    <w:rsid w:val="009E1EEC"/>
    <w:rsid w:val="009E287B"/>
    <w:rsid w:val="009E2B64"/>
    <w:rsid w:val="009E3505"/>
    <w:rsid w:val="009E3531"/>
    <w:rsid w:val="009E35BD"/>
    <w:rsid w:val="009E4227"/>
    <w:rsid w:val="009E484C"/>
    <w:rsid w:val="009E4AFE"/>
    <w:rsid w:val="009E4DE1"/>
    <w:rsid w:val="009E50EC"/>
    <w:rsid w:val="009E6D24"/>
    <w:rsid w:val="009E726A"/>
    <w:rsid w:val="009F0111"/>
    <w:rsid w:val="009F042E"/>
    <w:rsid w:val="009F05BD"/>
    <w:rsid w:val="009F1B6E"/>
    <w:rsid w:val="009F1D2D"/>
    <w:rsid w:val="009F267B"/>
    <w:rsid w:val="009F4CE4"/>
    <w:rsid w:val="009F52CE"/>
    <w:rsid w:val="009F5358"/>
    <w:rsid w:val="009F60F2"/>
    <w:rsid w:val="009F60FC"/>
    <w:rsid w:val="009F62CE"/>
    <w:rsid w:val="009F70CC"/>
    <w:rsid w:val="00A00553"/>
    <w:rsid w:val="00A018DA"/>
    <w:rsid w:val="00A01C6E"/>
    <w:rsid w:val="00A01F15"/>
    <w:rsid w:val="00A0243A"/>
    <w:rsid w:val="00A02B4C"/>
    <w:rsid w:val="00A02BEC"/>
    <w:rsid w:val="00A02F0F"/>
    <w:rsid w:val="00A02FFF"/>
    <w:rsid w:val="00A03737"/>
    <w:rsid w:val="00A03925"/>
    <w:rsid w:val="00A03A5D"/>
    <w:rsid w:val="00A03F1F"/>
    <w:rsid w:val="00A0422C"/>
    <w:rsid w:val="00A04953"/>
    <w:rsid w:val="00A04ABA"/>
    <w:rsid w:val="00A0524C"/>
    <w:rsid w:val="00A052F2"/>
    <w:rsid w:val="00A05F87"/>
    <w:rsid w:val="00A05F8C"/>
    <w:rsid w:val="00A066BC"/>
    <w:rsid w:val="00A06A54"/>
    <w:rsid w:val="00A06B1C"/>
    <w:rsid w:val="00A06DA8"/>
    <w:rsid w:val="00A0765F"/>
    <w:rsid w:val="00A0781E"/>
    <w:rsid w:val="00A07EFB"/>
    <w:rsid w:val="00A1037E"/>
    <w:rsid w:val="00A10894"/>
    <w:rsid w:val="00A10B17"/>
    <w:rsid w:val="00A112B1"/>
    <w:rsid w:val="00A11716"/>
    <w:rsid w:val="00A11C3C"/>
    <w:rsid w:val="00A126E2"/>
    <w:rsid w:val="00A13DB6"/>
    <w:rsid w:val="00A14994"/>
    <w:rsid w:val="00A14A19"/>
    <w:rsid w:val="00A15B9D"/>
    <w:rsid w:val="00A16A2C"/>
    <w:rsid w:val="00A17949"/>
    <w:rsid w:val="00A179C1"/>
    <w:rsid w:val="00A20BEE"/>
    <w:rsid w:val="00A20D22"/>
    <w:rsid w:val="00A21210"/>
    <w:rsid w:val="00A221E0"/>
    <w:rsid w:val="00A22691"/>
    <w:rsid w:val="00A2282C"/>
    <w:rsid w:val="00A22A7D"/>
    <w:rsid w:val="00A22ADC"/>
    <w:rsid w:val="00A23136"/>
    <w:rsid w:val="00A23437"/>
    <w:rsid w:val="00A236C0"/>
    <w:rsid w:val="00A23ACD"/>
    <w:rsid w:val="00A24797"/>
    <w:rsid w:val="00A24A61"/>
    <w:rsid w:val="00A24D95"/>
    <w:rsid w:val="00A24EFE"/>
    <w:rsid w:val="00A258B5"/>
    <w:rsid w:val="00A25A21"/>
    <w:rsid w:val="00A25D42"/>
    <w:rsid w:val="00A27077"/>
    <w:rsid w:val="00A27567"/>
    <w:rsid w:val="00A27E96"/>
    <w:rsid w:val="00A30D70"/>
    <w:rsid w:val="00A30FE0"/>
    <w:rsid w:val="00A3187D"/>
    <w:rsid w:val="00A322BF"/>
    <w:rsid w:val="00A3314D"/>
    <w:rsid w:val="00A3346C"/>
    <w:rsid w:val="00A34516"/>
    <w:rsid w:val="00A349D9"/>
    <w:rsid w:val="00A35584"/>
    <w:rsid w:val="00A35A74"/>
    <w:rsid w:val="00A35FE4"/>
    <w:rsid w:val="00A35FFE"/>
    <w:rsid w:val="00A366F0"/>
    <w:rsid w:val="00A367F3"/>
    <w:rsid w:val="00A403B2"/>
    <w:rsid w:val="00A41458"/>
    <w:rsid w:val="00A41718"/>
    <w:rsid w:val="00A41BC7"/>
    <w:rsid w:val="00A43E34"/>
    <w:rsid w:val="00A43E45"/>
    <w:rsid w:val="00A450A2"/>
    <w:rsid w:val="00A45A75"/>
    <w:rsid w:val="00A46631"/>
    <w:rsid w:val="00A50F80"/>
    <w:rsid w:val="00A513B6"/>
    <w:rsid w:val="00A5146B"/>
    <w:rsid w:val="00A517EF"/>
    <w:rsid w:val="00A517F4"/>
    <w:rsid w:val="00A52396"/>
    <w:rsid w:val="00A52E22"/>
    <w:rsid w:val="00A5389D"/>
    <w:rsid w:val="00A53BEF"/>
    <w:rsid w:val="00A542DB"/>
    <w:rsid w:val="00A576A5"/>
    <w:rsid w:val="00A57ED6"/>
    <w:rsid w:val="00A609E6"/>
    <w:rsid w:val="00A60AA7"/>
    <w:rsid w:val="00A61E42"/>
    <w:rsid w:val="00A621DC"/>
    <w:rsid w:val="00A62296"/>
    <w:rsid w:val="00A624AF"/>
    <w:rsid w:val="00A62955"/>
    <w:rsid w:val="00A632AB"/>
    <w:rsid w:val="00A63BD7"/>
    <w:rsid w:val="00A63D71"/>
    <w:rsid w:val="00A646B9"/>
    <w:rsid w:val="00A6498E"/>
    <w:rsid w:val="00A64E57"/>
    <w:rsid w:val="00A653D5"/>
    <w:rsid w:val="00A65CAC"/>
    <w:rsid w:val="00A65E87"/>
    <w:rsid w:val="00A66862"/>
    <w:rsid w:val="00A66A0D"/>
    <w:rsid w:val="00A66C25"/>
    <w:rsid w:val="00A67BE1"/>
    <w:rsid w:val="00A70521"/>
    <w:rsid w:val="00A7085D"/>
    <w:rsid w:val="00A70EEB"/>
    <w:rsid w:val="00A71286"/>
    <w:rsid w:val="00A7186A"/>
    <w:rsid w:val="00A71BB3"/>
    <w:rsid w:val="00A71CED"/>
    <w:rsid w:val="00A7200A"/>
    <w:rsid w:val="00A721B8"/>
    <w:rsid w:val="00A72BBE"/>
    <w:rsid w:val="00A72CD2"/>
    <w:rsid w:val="00A73167"/>
    <w:rsid w:val="00A7357C"/>
    <w:rsid w:val="00A735CC"/>
    <w:rsid w:val="00A74F0F"/>
    <w:rsid w:val="00A7589B"/>
    <w:rsid w:val="00A75DDE"/>
    <w:rsid w:val="00A75F58"/>
    <w:rsid w:val="00A76475"/>
    <w:rsid w:val="00A76AF9"/>
    <w:rsid w:val="00A77770"/>
    <w:rsid w:val="00A80E31"/>
    <w:rsid w:val="00A811AF"/>
    <w:rsid w:val="00A8145E"/>
    <w:rsid w:val="00A81EF4"/>
    <w:rsid w:val="00A82353"/>
    <w:rsid w:val="00A8261E"/>
    <w:rsid w:val="00A82A61"/>
    <w:rsid w:val="00A83A64"/>
    <w:rsid w:val="00A83E29"/>
    <w:rsid w:val="00A84D28"/>
    <w:rsid w:val="00A85078"/>
    <w:rsid w:val="00A852A0"/>
    <w:rsid w:val="00A85D25"/>
    <w:rsid w:val="00A85E9D"/>
    <w:rsid w:val="00A85F11"/>
    <w:rsid w:val="00A87E61"/>
    <w:rsid w:val="00A9012F"/>
    <w:rsid w:val="00A90157"/>
    <w:rsid w:val="00A901D0"/>
    <w:rsid w:val="00A908BB"/>
    <w:rsid w:val="00A90920"/>
    <w:rsid w:val="00A90BA5"/>
    <w:rsid w:val="00A90F67"/>
    <w:rsid w:val="00A91106"/>
    <w:rsid w:val="00A94C4F"/>
    <w:rsid w:val="00A94ED7"/>
    <w:rsid w:val="00A95238"/>
    <w:rsid w:val="00A95540"/>
    <w:rsid w:val="00A95C55"/>
    <w:rsid w:val="00A95C88"/>
    <w:rsid w:val="00A97A13"/>
    <w:rsid w:val="00AA0685"/>
    <w:rsid w:val="00AA0F44"/>
    <w:rsid w:val="00AA1805"/>
    <w:rsid w:val="00AA1ADE"/>
    <w:rsid w:val="00AA1DC5"/>
    <w:rsid w:val="00AA4426"/>
    <w:rsid w:val="00AA4BEA"/>
    <w:rsid w:val="00AA4DE0"/>
    <w:rsid w:val="00AA5C0A"/>
    <w:rsid w:val="00AA6D7D"/>
    <w:rsid w:val="00AB060E"/>
    <w:rsid w:val="00AB0AF7"/>
    <w:rsid w:val="00AB11C5"/>
    <w:rsid w:val="00AB125B"/>
    <w:rsid w:val="00AB1A56"/>
    <w:rsid w:val="00AB2980"/>
    <w:rsid w:val="00AB2C66"/>
    <w:rsid w:val="00AB33E1"/>
    <w:rsid w:val="00AB37E7"/>
    <w:rsid w:val="00AB40AE"/>
    <w:rsid w:val="00AB5AB9"/>
    <w:rsid w:val="00AB6454"/>
    <w:rsid w:val="00AB698A"/>
    <w:rsid w:val="00AB6CDA"/>
    <w:rsid w:val="00AB6F48"/>
    <w:rsid w:val="00AB74DC"/>
    <w:rsid w:val="00AB7E46"/>
    <w:rsid w:val="00AC091B"/>
    <w:rsid w:val="00AC0BA7"/>
    <w:rsid w:val="00AC0CF2"/>
    <w:rsid w:val="00AC16D1"/>
    <w:rsid w:val="00AC194D"/>
    <w:rsid w:val="00AC19F5"/>
    <w:rsid w:val="00AC28FC"/>
    <w:rsid w:val="00AC3ADF"/>
    <w:rsid w:val="00AC4165"/>
    <w:rsid w:val="00AC48DF"/>
    <w:rsid w:val="00AC4B33"/>
    <w:rsid w:val="00AC4D13"/>
    <w:rsid w:val="00AC4D94"/>
    <w:rsid w:val="00AC4F99"/>
    <w:rsid w:val="00AC539E"/>
    <w:rsid w:val="00AC75A9"/>
    <w:rsid w:val="00AC7EB4"/>
    <w:rsid w:val="00AD018E"/>
    <w:rsid w:val="00AD0698"/>
    <w:rsid w:val="00AD0E16"/>
    <w:rsid w:val="00AD1576"/>
    <w:rsid w:val="00AD2AD6"/>
    <w:rsid w:val="00AD2CEB"/>
    <w:rsid w:val="00AD45BA"/>
    <w:rsid w:val="00AD467D"/>
    <w:rsid w:val="00AD58C2"/>
    <w:rsid w:val="00AD5A92"/>
    <w:rsid w:val="00AD601B"/>
    <w:rsid w:val="00AD6813"/>
    <w:rsid w:val="00AD7A2D"/>
    <w:rsid w:val="00AD7D23"/>
    <w:rsid w:val="00AE069B"/>
    <w:rsid w:val="00AE0B2E"/>
    <w:rsid w:val="00AE0FCC"/>
    <w:rsid w:val="00AE1FF5"/>
    <w:rsid w:val="00AE238D"/>
    <w:rsid w:val="00AE23F8"/>
    <w:rsid w:val="00AE2DEC"/>
    <w:rsid w:val="00AE3347"/>
    <w:rsid w:val="00AE3ED2"/>
    <w:rsid w:val="00AE40FC"/>
    <w:rsid w:val="00AE424E"/>
    <w:rsid w:val="00AE4A03"/>
    <w:rsid w:val="00AE4AA0"/>
    <w:rsid w:val="00AE4AE7"/>
    <w:rsid w:val="00AE582F"/>
    <w:rsid w:val="00AE5A32"/>
    <w:rsid w:val="00AE6920"/>
    <w:rsid w:val="00AE7EE0"/>
    <w:rsid w:val="00AE7F59"/>
    <w:rsid w:val="00AF0525"/>
    <w:rsid w:val="00AF0A29"/>
    <w:rsid w:val="00AF0F78"/>
    <w:rsid w:val="00AF16B4"/>
    <w:rsid w:val="00AF1E0D"/>
    <w:rsid w:val="00AF2A06"/>
    <w:rsid w:val="00AF3422"/>
    <w:rsid w:val="00AF4435"/>
    <w:rsid w:val="00AF4F9E"/>
    <w:rsid w:val="00AF59ED"/>
    <w:rsid w:val="00AF5DCB"/>
    <w:rsid w:val="00AF7824"/>
    <w:rsid w:val="00AF790D"/>
    <w:rsid w:val="00B01BC7"/>
    <w:rsid w:val="00B02CA5"/>
    <w:rsid w:val="00B03198"/>
    <w:rsid w:val="00B03EB2"/>
    <w:rsid w:val="00B04213"/>
    <w:rsid w:val="00B045EB"/>
    <w:rsid w:val="00B05B5C"/>
    <w:rsid w:val="00B06035"/>
    <w:rsid w:val="00B06610"/>
    <w:rsid w:val="00B06B04"/>
    <w:rsid w:val="00B0703D"/>
    <w:rsid w:val="00B07A95"/>
    <w:rsid w:val="00B10395"/>
    <w:rsid w:val="00B103E4"/>
    <w:rsid w:val="00B109F3"/>
    <w:rsid w:val="00B11691"/>
    <w:rsid w:val="00B1187B"/>
    <w:rsid w:val="00B11AE2"/>
    <w:rsid w:val="00B1207D"/>
    <w:rsid w:val="00B12828"/>
    <w:rsid w:val="00B13222"/>
    <w:rsid w:val="00B13339"/>
    <w:rsid w:val="00B13D70"/>
    <w:rsid w:val="00B147A6"/>
    <w:rsid w:val="00B14B41"/>
    <w:rsid w:val="00B150E6"/>
    <w:rsid w:val="00B1566C"/>
    <w:rsid w:val="00B15E75"/>
    <w:rsid w:val="00B1620A"/>
    <w:rsid w:val="00B16253"/>
    <w:rsid w:val="00B16A69"/>
    <w:rsid w:val="00B20077"/>
    <w:rsid w:val="00B20590"/>
    <w:rsid w:val="00B21639"/>
    <w:rsid w:val="00B21930"/>
    <w:rsid w:val="00B22439"/>
    <w:rsid w:val="00B229A0"/>
    <w:rsid w:val="00B229E5"/>
    <w:rsid w:val="00B23CDB"/>
    <w:rsid w:val="00B23E37"/>
    <w:rsid w:val="00B24415"/>
    <w:rsid w:val="00B24442"/>
    <w:rsid w:val="00B2451E"/>
    <w:rsid w:val="00B25277"/>
    <w:rsid w:val="00B25344"/>
    <w:rsid w:val="00B253CD"/>
    <w:rsid w:val="00B2582E"/>
    <w:rsid w:val="00B25CB8"/>
    <w:rsid w:val="00B265CF"/>
    <w:rsid w:val="00B26926"/>
    <w:rsid w:val="00B26F69"/>
    <w:rsid w:val="00B272B2"/>
    <w:rsid w:val="00B276A5"/>
    <w:rsid w:val="00B3083F"/>
    <w:rsid w:val="00B30DB3"/>
    <w:rsid w:val="00B312A2"/>
    <w:rsid w:val="00B31458"/>
    <w:rsid w:val="00B31BB4"/>
    <w:rsid w:val="00B320D9"/>
    <w:rsid w:val="00B32299"/>
    <w:rsid w:val="00B3280B"/>
    <w:rsid w:val="00B32F69"/>
    <w:rsid w:val="00B33420"/>
    <w:rsid w:val="00B337E3"/>
    <w:rsid w:val="00B34424"/>
    <w:rsid w:val="00B34EF5"/>
    <w:rsid w:val="00B35F4E"/>
    <w:rsid w:val="00B401A5"/>
    <w:rsid w:val="00B40592"/>
    <w:rsid w:val="00B4090E"/>
    <w:rsid w:val="00B40A7F"/>
    <w:rsid w:val="00B4133A"/>
    <w:rsid w:val="00B42126"/>
    <w:rsid w:val="00B42787"/>
    <w:rsid w:val="00B427B7"/>
    <w:rsid w:val="00B42FD9"/>
    <w:rsid w:val="00B430C3"/>
    <w:rsid w:val="00B44764"/>
    <w:rsid w:val="00B44822"/>
    <w:rsid w:val="00B451A4"/>
    <w:rsid w:val="00B4521D"/>
    <w:rsid w:val="00B45A09"/>
    <w:rsid w:val="00B46E3D"/>
    <w:rsid w:val="00B47627"/>
    <w:rsid w:val="00B477EF"/>
    <w:rsid w:val="00B506A5"/>
    <w:rsid w:val="00B5070D"/>
    <w:rsid w:val="00B50ACC"/>
    <w:rsid w:val="00B50B81"/>
    <w:rsid w:val="00B50FF5"/>
    <w:rsid w:val="00B520B8"/>
    <w:rsid w:val="00B5227C"/>
    <w:rsid w:val="00B53247"/>
    <w:rsid w:val="00B53257"/>
    <w:rsid w:val="00B53946"/>
    <w:rsid w:val="00B5394C"/>
    <w:rsid w:val="00B53998"/>
    <w:rsid w:val="00B53BDC"/>
    <w:rsid w:val="00B53DAC"/>
    <w:rsid w:val="00B54C2A"/>
    <w:rsid w:val="00B5504A"/>
    <w:rsid w:val="00B551C8"/>
    <w:rsid w:val="00B555D4"/>
    <w:rsid w:val="00B56247"/>
    <w:rsid w:val="00B564E0"/>
    <w:rsid w:val="00B57A73"/>
    <w:rsid w:val="00B60035"/>
    <w:rsid w:val="00B6178E"/>
    <w:rsid w:val="00B61B7F"/>
    <w:rsid w:val="00B61D1F"/>
    <w:rsid w:val="00B62615"/>
    <w:rsid w:val="00B62C86"/>
    <w:rsid w:val="00B62F1E"/>
    <w:rsid w:val="00B63E31"/>
    <w:rsid w:val="00B65F14"/>
    <w:rsid w:val="00B6645F"/>
    <w:rsid w:val="00B67026"/>
    <w:rsid w:val="00B70C76"/>
    <w:rsid w:val="00B70CDB"/>
    <w:rsid w:val="00B71BB9"/>
    <w:rsid w:val="00B71F34"/>
    <w:rsid w:val="00B727B4"/>
    <w:rsid w:val="00B72CA6"/>
    <w:rsid w:val="00B73054"/>
    <w:rsid w:val="00B73F86"/>
    <w:rsid w:val="00B74E10"/>
    <w:rsid w:val="00B74E61"/>
    <w:rsid w:val="00B74FBF"/>
    <w:rsid w:val="00B75184"/>
    <w:rsid w:val="00B754B3"/>
    <w:rsid w:val="00B75C66"/>
    <w:rsid w:val="00B75D3F"/>
    <w:rsid w:val="00B75DB0"/>
    <w:rsid w:val="00B75FC0"/>
    <w:rsid w:val="00B76375"/>
    <w:rsid w:val="00B7736B"/>
    <w:rsid w:val="00B800D8"/>
    <w:rsid w:val="00B80A04"/>
    <w:rsid w:val="00B811A9"/>
    <w:rsid w:val="00B81830"/>
    <w:rsid w:val="00B81858"/>
    <w:rsid w:val="00B81C66"/>
    <w:rsid w:val="00B8237C"/>
    <w:rsid w:val="00B8336E"/>
    <w:rsid w:val="00B83D29"/>
    <w:rsid w:val="00B83F97"/>
    <w:rsid w:val="00B849D3"/>
    <w:rsid w:val="00B84AAC"/>
    <w:rsid w:val="00B84FCC"/>
    <w:rsid w:val="00B85560"/>
    <w:rsid w:val="00B85863"/>
    <w:rsid w:val="00B85A58"/>
    <w:rsid w:val="00B86B29"/>
    <w:rsid w:val="00B86DAB"/>
    <w:rsid w:val="00B86EFC"/>
    <w:rsid w:val="00B90159"/>
    <w:rsid w:val="00B91A2F"/>
    <w:rsid w:val="00B91A56"/>
    <w:rsid w:val="00B93134"/>
    <w:rsid w:val="00B93EEA"/>
    <w:rsid w:val="00B9408F"/>
    <w:rsid w:val="00B94A2D"/>
    <w:rsid w:val="00B94D81"/>
    <w:rsid w:val="00B95883"/>
    <w:rsid w:val="00B96E74"/>
    <w:rsid w:val="00B97793"/>
    <w:rsid w:val="00B97FEA"/>
    <w:rsid w:val="00BA0752"/>
    <w:rsid w:val="00BA0DE3"/>
    <w:rsid w:val="00BA152D"/>
    <w:rsid w:val="00BA1AB0"/>
    <w:rsid w:val="00BA1CED"/>
    <w:rsid w:val="00BA1E15"/>
    <w:rsid w:val="00BA1FF9"/>
    <w:rsid w:val="00BA25F0"/>
    <w:rsid w:val="00BA28AA"/>
    <w:rsid w:val="00BA3383"/>
    <w:rsid w:val="00BA33AC"/>
    <w:rsid w:val="00BA3590"/>
    <w:rsid w:val="00BA371A"/>
    <w:rsid w:val="00BA424A"/>
    <w:rsid w:val="00BA42C2"/>
    <w:rsid w:val="00BA47B7"/>
    <w:rsid w:val="00BA48DA"/>
    <w:rsid w:val="00BA4CBD"/>
    <w:rsid w:val="00BA6193"/>
    <w:rsid w:val="00BA62C7"/>
    <w:rsid w:val="00BB0A8D"/>
    <w:rsid w:val="00BB10B9"/>
    <w:rsid w:val="00BB1735"/>
    <w:rsid w:val="00BB18E3"/>
    <w:rsid w:val="00BB18F0"/>
    <w:rsid w:val="00BB1E41"/>
    <w:rsid w:val="00BB1E86"/>
    <w:rsid w:val="00BB1F12"/>
    <w:rsid w:val="00BB225B"/>
    <w:rsid w:val="00BB2715"/>
    <w:rsid w:val="00BB27EA"/>
    <w:rsid w:val="00BB3479"/>
    <w:rsid w:val="00BB392B"/>
    <w:rsid w:val="00BB3DDE"/>
    <w:rsid w:val="00BB409F"/>
    <w:rsid w:val="00BB4B43"/>
    <w:rsid w:val="00BB4D5C"/>
    <w:rsid w:val="00BB52C9"/>
    <w:rsid w:val="00BB5E1D"/>
    <w:rsid w:val="00BB66FF"/>
    <w:rsid w:val="00BB6B12"/>
    <w:rsid w:val="00BB788E"/>
    <w:rsid w:val="00BC03EF"/>
    <w:rsid w:val="00BC0ADD"/>
    <w:rsid w:val="00BC12EA"/>
    <w:rsid w:val="00BC2036"/>
    <w:rsid w:val="00BC281A"/>
    <w:rsid w:val="00BC2993"/>
    <w:rsid w:val="00BC2AB3"/>
    <w:rsid w:val="00BC2BC6"/>
    <w:rsid w:val="00BC322A"/>
    <w:rsid w:val="00BC38DE"/>
    <w:rsid w:val="00BC3C3F"/>
    <w:rsid w:val="00BC4003"/>
    <w:rsid w:val="00BC4B53"/>
    <w:rsid w:val="00BC4EFF"/>
    <w:rsid w:val="00BC57C3"/>
    <w:rsid w:val="00BC6455"/>
    <w:rsid w:val="00BC66DD"/>
    <w:rsid w:val="00BC6C55"/>
    <w:rsid w:val="00BC7CA9"/>
    <w:rsid w:val="00BD0DAF"/>
    <w:rsid w:val="00BD1026"/>
    <w:rsid w:val="00BD1129"/>
    <w:rsid w:val="00BD16B6"/>
    <w:rsid w:val="00BD2ABE"/>
    <w:rsid w:val="00BD2BE2"/>
    <w:rsid w:val="00BD2E42"/>
    <w:rsid w:val="00BD3132"/>
    <w:rsid w:val="00BD3E0B"/>
    <w:rsid w:val="00BD4745"/>
    <w:rsid w:val="00BD4EA5"/>
    <w:rsid w:val="00BD571C"/>
    <w:rsid w:val="00BD5CE1"/>
    <w:rsid w:val="00BD60A3"/>
    <w:rsid w:val="00BD61DE"/>
    <w:rsid w:val="00BD7B87"/>
    <w:rsid w:val="00BD7CDB"/>
    <w:rsid w:val="00BE019B"/>
    <w:rsid w:val="00BE367A"/>
    <w:rsid w:val="00BE4008"/>
    <w:rsid w:val="00BE447B"/>
    <w:rsid w:val="00BE65FC"/>
    <w:rsid w:val="00BE6DB2"/>
    <w:rsid w:val="00BE77C0"/>
    <w:rsid w:val="00BE7FBB"/>
    <w:rsid w:val="00BF2161"/>
    <w:rsid w:val="00BF2869"/>
    <w:rsid w:val="00BF29EA"/>
    <w:rsid w:val="00BF3175"/>
    <w:rsid w:val="00BF337B"/>
    <w:rsid w:val="00BF3653"/>
    <w:rsid w:val="00BF45D3"/>
    <w:rsid w:val="00BF47B4"/>
    <w:rsid w:val="00BF5083"/>
    <w:rsid w:val="00BF5CC4"/>
    <w:rsid w:val="00BF63FE"/>
    <w:rsid w:val="00BF6C3A"/>
    <w:rsid w:val="00BF76F1"/>
    <w:rsid w:val="00C002E9"/>
    <w:rsid w:val="00C006F7"/>
    <w:rsid w:val="00C00ADE"/>
    <w:rsid w:val="00C01889"/>
    <w:rsid w:val="00C02434"/>
    <w:rsid w:val="00C02D84"/>
    <w:rsid w:val="00C03064"/>
    <w:rsid w:val="00C032A0"/>
    <w:rsid w:val="00C034AC"/>
    <w:rsid w:val="00C035A3"/>
    <w:rsid w:val="00C0384C"/>
    <w:rsid w:val="00C0384D"/>
    <w:rsid w:val="00C03A46"/>
    <w:rsid w:val="00C03C71"/>
    <w:rsid w:val="00C0589C"/>
    <w:rsid w:val="00C05BF4"/>
    <w:rsid w:val="00C0639C"/>
    <w:rsid w:val="00C06A0A"/>
    <w:rsid w:val="00C06B87"/>
    <w:rsid w:val="00C06BD8"/>
    <w:rsid w:val="00C06EEF"/>
    <w:rsid w:val="00C07846"/>
    <w:rsid w:val="00C07EC6"/>
    <w:rsid w:val="00C07F6A"/>
    <w:rsid w:val="00C109B0"/>
    <w:rsid w:val="00C109E7"/>
    <w:rsid w:val="00C10A1E"/>
    <w:rsid w:val="00C10B74"/>
    <w:rsid w:val="00C10D38"/>
    <w:rsid w:val="00C1147D"/>
    <w:rsid w:val="00C11B44"/>
    <w:rsid w:val="00C13257"/>
    <w:rsid w:val="00C1399E"/>
    <w:rsid w:val="00C13DCC"/>
    <w:rsid w:val="00C14B30"/>
    <w:rsid w:val="00C14B4E"/>
    <w:rsid w:val="00C16D60"/>
    <w:rsid w:val="00C1743F"/>
    <w:rsid w:val="00C174AF"/>
    <w:rsid w:val="00C17988"/>
    <w:rsid w:val="00C200F8"/>
    <w:rsid w:val="00C20164"/>
    <w:rsid w:val="00C20301"/>
    <w:rsid w:val="00C203E4"/>
    <w:rsid w:val="00C20F8F"/>
    <w:rsid w:val="00C214BC"/>
    <w:rsid w:val="00C21AF5"/>
    <w:rsid w:val="00C21E2D"/>
    <w:rsid w:val="00C220D0"/>
    <w:rsid w:val="00C222E2"/>
    <w:rsid w:val="00C22724"/>
    <w:rsid w:val="00C22869"/>
    <w:rsid w:val="00C22CB4"/>
    <w:rsid w:val="00C22F0E"/>
    <w:rsid w:val="00C23082"/>
    <w:rsid w:val="00C249A4"/>
    <w:rsid w:val="00C26063"/>
    <w:rsid w:val="00C277FA"/>
    <w:rsid w:val="00C278BD"/>
    <w:rsid w:val="00C27B04"/>
    <w:rsid w:val="00C27FEF"/>
    <w:rsid w:val="00C30B4D"/>
    <w:rsid w:val="00C320AC"/>
    <w:rsid w:val="00C32CCD"/>
    <w:rsid w:val="00C331C6"/>
    <w:rsid w:val="00C3370D"/>
    <w:rsid w:val="00C337B4"/>
    <w:rsid w:val="00C337C6"/>
    <w:rsid w:val="00C337F6"/>
    <w:rsid w:val="00C33B3C"/>
    <w:rsid w:val="00C3416C"/>
    <w:rsid w:val="00C34AA3"/>
    <w:rsid w:val="00C34AB8"/>
    <w:rsid w:val="00C34BA6"/>
    <w:rsid w:val="00C34BE3"/>
    <w:rsid w:val="00C36B2C"/>
    <w:rsid w:val="00C37476"/>
    <w:rsid w:val="00C37AF9"/>
    <w:rsid w:val="00C40271"/>
    <w:rsid w:val="00C40595"/>
    <w:rsid w:val="00C40762"/>
    <w:rsid w:val="00C40A93"/>
    <w:rsid w:val="00C40CE0"/>
    <w:rsid w:val="00C432B0"/>
    <w:rsid w:val="00C43B84"/>
    <w:rsid w:val="00C44057"/>
    <w:rsid w:val="00C4563C"/>
    <w:rsid w:val="00C46880"/>
    <w:rsid w:val="00C46E92"/>
    <w:rsid w:val="00C4714E"/>
    <w:rsid w:val="00C51AC7"/>
    <w:rsid w:val="00C51ADF"/>
    <w:rsid w:val="00C51B23"/>
    <w:rsid w:val="00C5464B"/>
    <w:rsid w:val="00C548F3"/>
    <w:rsid w:val="00C55546"/>
    <w:rsid w:val="00C557B7"/>
    <w:rsid w:val="00C55B34"/>
    <w:rsid w:val="00C5609B"/>
    <w:rsid w:val="00C561BF"/>
    <w:rsid w:val="00C565B0"/>
    <w:rsid w:val="00C568EE"/>
    <w:rsid w:val="00C571D6"/>
    <w:rsid w:val="00C57D62"/>
    <w:rsid w:val="00C60032"/>
    <w:rsid w:val="00C6040C"/>
    <w:rsid w:val="00C60590"/>
    <w:rsid w:val="00C61295"/>
    <w:rsid w:val="00C61A01"/>
    <w:rsid w:val="00C61BA2"/>
    <w:rsid w:val="00C61EE7"/>
    <w:rsid w:val="00C628D7"/>
    <w:rsid w:val="00C62A74"/>
    <w:rsid w:val="00C63334"/>
    <w:rsid w:val="00C634C6"/>
    <w:rsid w:val="00C639A0"/>
    <w:rsid w:val="00C63B0D"/>
    <w:rsid w:val="00C63C0B"/>
    <w:rsid w:val="00C65270"/>
    <w:rsid w:val="00C65548"/>
    <w:rsid w:val="00C66749"/>
    <w:rsid w:val="00C66E29"/>
    <w:rsid w:val="00C67968"/>
    <w:rsid w:val="00C70535"/>
    <w:rsid w:val="00C71093"/>
    <w:rsid w:val="00C7120A"/>
    <w:rsid w:val="00C7129C"/>
    <w:rsid w:val="00C716DF"/>
    <w:rsid w:val="00C71D73"/>
    <w:rsid w:val="00C723A4"/>
    <w:rsid w:val="00C725D3"/>
    <w:rsid w:val="00C72D32"/>
    <w:rsid w:val="00C7312E"/>
    <w:rsid w:val="00C73A88"/>
    <w:rsid w:val="00C74616"/>
    <w:rsid w:val="00C746D6"/>
    <w:rsid w:val="00C753B5"/>
    <w:rsid w:val="00C7617C"/>
    <w:rsid w:val="00C7624C"/>
    <w:rsid w:val="00C77358"/>
    <w:rsid w:val="00C80D96"/>
    <w:rsid w:val="00C8102E"/>
    <w:rsid w:val="00C815FB"/>
    <w:rsid w:val="00C8202A"/>
    <w:rsid w:val="00C82ADB"/>
    <w:rsid w:val="00C82ED7"/>
    <w:rsid w:val="00C835CC"/>
    <w:rsid w:val="00C83DB6"/>
    <w:rsid w:val="00C83EB2"/>
    <w:rsid w:val="00C8409F"/>
    <w:rsid w:val="00C8416C"/>
    <w:rsid w:val="00C84288"/>
    <w:rsid w:val="00C844F5"/>
    <w:rsid w:val="00C85180"/>
    <w:rsid w:val="00C85FFC"/>
    <w:rsid w:val="00C86CE5"/>
    <w:rsid w:val="00C8718B"/>
    <w:rsid w:val="00C87A90"/>
    <w:rsid w:val="00C87E24"/>
    <w:rsid w:val="00C90278"/>
    <w:rsid w:val="00C902BB"/>
    <w:rsid w:val="00C902BD"/>
    <w:rsid w:val="00C90BD2"/>
    <w:rsid w:val="00C91DFF"/>
    <w:rsid w:val="00C91F4F"/>
    <w:rsid w:val="00C93B08"/>
    <w:rsid w:val="00C9401B"/>
    <w:rsid w:val="00C940FC"/>
    <w:rsid w:val="00C94198"/>
    <w:rsid w:val="00C9480A"/>
    <w:rsid w:val="00C949E2"/>
    <w:rsid w:val="00C94AFA"/>
    <w:rsid w:val="00C94CE8"/>
    <w:rsid w:val="00C950F0"/>
    <w:rsid w:val="00C95B5B"/>
    <w:rsid w:val="00C95D3E"/>
    <w:rsid w:val="00C96D5A"/>
    <w:rsid w:val="00C97BB1"/>
    <w:rsid w:val="00CA0922"/>
    <w:rsid w:val="00CA09BF"/>
    <w:rsid w:val="00CA5C65"/>
    <w:rsid w:val="00CA6A95"/>
    <w:rsid w:val="00CA747C"/>
    <w:rsid w:val="00CA7DA7"/>
    <w:rsid w:val="00CB0575"/>
    <w:rsid w:val="00CB0A0D"/>
    <w:rsid w:val="00CB158B"/>
    <w:rsid w:val="00CB173B"/>
    <w:rsid w:val="00CB378C"/>
    <w:rsid w:val="00CB3A7C"/>
    <w:rsid w:val="00CB3D44"/>
    <w:rsid w:val="00CB3EB2"/>
    <w:rsid w:val="00CB3F37"/>
    <w:rsid w:val="00CB4A1B"/>
    <w:rsid w:val="00CB4C11"/>
    <w:rsid w:val="00CB4E11"/>
    <w:rsid w:val="00CB56CE"/>
    <w:rsid w:val="00CB5F64"/>
    <w:rsid w:val="00CB63F2"/>
    <w:rsid w:val="00CB6A59"/>
    <w:rsid w:val="00CB6D57"/>
    <w:rsid w:val="00CB7FD2"/>
    <w:rsid w:val="00CC1886"/>
    <w:rsid w:val="00CC2273"/>
    <w:rsid w:val="00CC2F03"/>
    <w:rsid w:val="00CC30A6"/>
    <w:rsid w:val="00CC4F25"/>
    <w:rsid w:val="00CC5318"/>
    <w:rsid w:val="00CC5422"/>
    <w:rsid w:val="00CC5F6B"/>
    <w:rsid w:val="00CC6B1B"/>
    <w:rsid w:val="00CC74A3"/>
    <w:rsid w:val="00CD047F"/>
    <w:rsid w:val="00CD16AF"/>
    <w:rsid w:val="00CD2A82"/>
    <w:rsid w:val="00CD33D3"/>
    <w:rsid w:val="00CD4A24"/>
    <w:rsid w:val="00CD4C4F"/>
    <w:rsid w:val="00CD528E"/>
    <w:rsid w:val="00CD55E6"/>
    <w:rsid w:val="00CD5773"/>
    <w:rsid w:val="00CD5CB0"/>
    <w:rsid w:val="00CD5F83"/>
    <w:rsid w:val="00CD6B95"/>
    <w:rsid w:val="00CD70F1"/>
    <w:rsid w:val="00CD7138"/>
    <w:rsid w:val="00CD74D6"/>
    <w:rsid w:val="00CE0658"/>
    <w:rsid w:val="00CE0D70"/>
    <w:rsid w:val="00CE2692"/>
    <w:rsid w:val="00CE26E8"/>
    <w:rsid w:val="00CE2F3E"/>
    <w:rsid w:val="00CE321B"/>
    <w:rsid w:val="00CE3C3B"/>
    <w:rsid w:val="00CE42E7"/>
    <w:rsid w:val="00CE54C6"/>
    <w:rsid w:val="00CE5F57"/>
    <w:rsid w:val="00CE5FFB"/>
    <w:rsid w:val="00CE6041"/>
    <w:rsid w:val="00CE6A44"/>
    <w:rsid w:val="00CE6B95"/>
    <w:rsid w:val="00CE6C84"/>
    <w:rsid w:val="00CE70D5"/>
    <w:rsid w:val="00CE74E3"/>
    <w:rsid w:val="00CE7B57"/>
    <w:rsid w:val="00CE7F62"/>
    <w:rsid w:val="00CF1342"/>
    <w:rsid w:val="00CF1981"/>
    <w:rsid w:val="00CF213F"/>
    <w:rsid w:val="00CF214A"/>
    <w:rsid w:val="00CF234F"/>
    <w:rsid w:val="00CF272F"/>
    <w:rsid w:val="00CF27C2"/>
    <w:rsid w:val="00CF2B26"/>
    <w:rsid w:val="00CF32B4"/>
    <w:rsid w:val="00CF33FA"/>
    <w:rsid w:val="00CF3974"/>
    <w:rsid w:val="00CF40B2"/>
    <w:rsid w:val="00CF4940"/>
    <w:rsid w:val="00CF4D96"/>
    <w:rsid w:val="00CF4E5E"/>
    <w:rsid w:val="00CF514C"/>
    <w:rsid w:val="00CF53B9"/>
    <w:rsid w:val="00CF5D53"/>
    <w:rsid w:val="00CF65CB"/>
    <w:rsid w:val="00CF7281"/>
    <w:rsid w:val="00D00D9A"/>
    <w:rsid w:val="00D00F6A"/>
    <w:rsid w:val="00D0102A"/>
    <w:rsid w:val="00D01032"/>
    <w:rsid w:val="00D013D1"/>
    <w:rsid w:val="00D014BC"/>
    <w:rsid w:val="00D02195"/>
    <w:rsid w:val="00D02734"/>
    <w:rsid w:val="00D03342"/>
    <w:rsid w:val="00D038D9"/>
    <w:rsid w:val="00D03C0D"/>
    <w:rsid w:val="00D044F3"/>
    <w:rsid w:val="00D04ECC"/>
    <w:rsid w:val="00D050A6"/>
    <w:rsid w:val="00D052B5"/>
    <w:rsid w:val="00D0609B"/>
    <w:rsid w:val="00D06DF0"/>
    <w:rsid w:val="00D07FF1"/>
    <w:rsid w:val="00D10B68"/>
    <w:rsid w:val="00D117BE"/>
    <w:rsid w:val="00D11A2E"/>
    <w:rsid w:val="00D11A9B"/>
    <w:rsid w:val="00D12059"/>
    <w:rsid w:val="00D12C2F"/>
    <w:rsid w:val="00D1450D"/>
    <w:rsid w:val="00D14C50"/>
    <w:rsid w:val="00D14D26"/>
    <w:rsid w:val="00D15169"/>
    <w:rsid w:val="00D16888"/>
    <w:rsid w:val="00D16F16"/>
    <w:rsid w:val="00D172D8"/>
    <w:rsid w:val="00D178CC"/>
    <w:rsid w:val="00D20B1E"/>
    <w:rsid w:val="00D21096"/>
    <w:rsid w:val="00D21573"/>
    <w:rsid w:val="00D21955"/>
    <w:rsid w:val="00D220BA"/>
    <w:rsid w:val="00D22517"/>
    <w:rsid w:val="00D22AAD"/>
    <w:rsid w:val="00D22CD6"/>
    <w:rsid w:val="00D22D9A"/>
    <w:rsid w:val="00D2442F"/>
    <w:rsid w:val="00D25671"/>
    <w:rsid w:val="00D26E00"/>
    <w:rsid w:val="00D27DFA"/>
    <w:rsid w:val="00D27FBF"/>
    <w:rsid w:val="00D3008C"/>
    <w:rsid w:val="00D3008D"/>
    <w:rsid w:val="00D30D91"/>
    <w:rsid w:val="00D3252E"/>
    <w:rsid w:val="00D33173"/>
    <w:rsid w:val="00D3324C"/>
    <w:rsid w:val="00D339E6"/>
    <w:rsid w:val="00D34014"/>
    <w:rsid w:val="00D3455C"/>
    <w:rsid w:val="00D35017"/>
    <w:rsid w:val="00D357B3"/>
    <w:rsid w:val="00D3583E"/>
    <w:rsid w:val="00D35E75"/>
    <w:rsid w:val="00D36977"/>
    <w:rsid w:val="00D36CF9"/>
    <w:rsid w:val="00D36FB6"/>
    <w:rsid w:val="00D40017"/>
    <w:rsid w:val="00D402C1"/>
    <w:rsid w:val="00D40407"/>
    <w:rsid w:val="00D4097C"/>
    <w:rsid w:val="00D40B24"/>
    <w:rsid w:val="00D42B92"/>
    <w:rsid w:val="00D43570"/>
    <w:rsid w:val="00D43F30"/>
    <w:rsid w:val="00D44CF3"/>
    <w:rsid w:val="00D44F98"/>
    <w:rsid w:val="00D4568E"/>
    <w:rsid w:val="00D461C9"/>
    <w:rsid w:val="00D463D9"/>
    <w:rsid w:val="00D46629"/>
    <w:rsid w:val="00D47887"/>
    <w:rsid w:val="00D47BA3"/>
    <w:rsid w:val="00D47C7D"/>
    <w:rsid w:val="00D50654"/>
    <w:rsid w:val="00D5198B"/>
    <w:rsid w:val="00D51C3E"/>
    <w:rsid w:val="00D51E55"/>
    <w:rsid w:val="00D51E9B"/>
    <w:rsid w:val="00D52202"/>
    <w:rsid w:val="00D52234"/>
    <w:rsid w:val="00D5282C"/>
    <w:rsid w:val="00D52A62"/>
    <w:rsid w:val="00D52D3D"/>
    <w:rsid w:val="00D53326"/>
    <w:rsid w:val="00D5365C"/>
    <w:rsid w:val="00D541AA"/>
    <w:rsid w:val="00D54669"/>
    <w:rsid w:val="00D54A2B"/>
    <w:rsid w:val="00D54D61"/>
    <w:rsid w:val="00D5531F"/>
    <w:rsid w:val="00D5542D"/>
    <w:rsid w:val="00D55FD4"/>
    <w:rsid w:val="00D56403"/>
    <w:rsid w:val="00D5695A"/>
    <w:rsid w:val="00D56AAA"/>
    <w:rsid w:val="00D57D60"/>
    <w:rsid w:val="00D6056E"/>
    <w:rsid w:val="00D61163"/>
    <w:rsid w:val="00D612F3"/>
    <w:rsid w:val="00D615DC"/>
    <w:rsid w:val="00D61A5C"/>
    <w:rsid w:val="00D61CD3"/>
    <w:rsid w:val="00D6223E"/>
    <w:rsid w:val="00D62269"/>
    <w:rsid w:val="00D62D6B"/>
    <w:rsid w:val="00D63059"/>
    <w:rsid w:val="00D636A6"/>
    <w:rsid w:val="00D637EB"/>
    <w:rsid w:val="00D63E43"/>
    <w:rsid w:val="00D64579"/>
    <w:rsid w:val="00D6477B"/>
    <w:rsid w:val="00D64CA3"/>
    <w:rsid w:val="00D64CF9"/>
    <w:rsid w:val="00D658B7"/>
    <w:rsid w:val="00D659A8"/>
    <w:rsid w:val="00D65EC1"/>
    <w:rsid w:val="00D65F88"/>
    <w:rsid w:val="00D66E78"/>
    <w:rsid w:val="00D671A6"/>
    <w:rsid w:val="00D67847"/>
    <w:rsid w:val="00D704F7"/>
    <w:rsid w:val="00D70903"/>
    <w:rsid w:val="00D70A73"/>
    <w:rsid w:val="00D71558"/>
    <w:rsid w:val="00D71719"/>
    <w:rsid w:val="00D719C1"/>
    <w:rsid w:val="00D72FE3"/>
    <w:rsid w:val="00D73484"/>
    <w:rsid w:val="00D73DAB"/>
    <w:rsid w:val="00D741E1"/>
    <w:rsid w:val="00D74DEA"/>
    <w:rsid w:val="00D75F63"/>
    <w:rsid w:val="00D77155"/>
    <w:rsid w:val="00D7739D"/>
    <w:rsid w:val="00D773E7"/>
    <w:rsid w:val="00D81E5D"/>
    <w:rsid w:val="00D825D2"/>
    <w:rsid w:val="00D82A07"/>
    <w:rsid w:val="00D82BAA"/>
    <w:rsid w:val="00D82C4F"/>
    <w:rsid w:val="00D82C76"/>
    <w:rsid w:val="00D82C8A"/>
    <w:rsid w:val="00D832A8"/>
    <w:rsid w:val="00D83ADC"/>
    <w:rsid w:val="00D83B74"/>
    <w:rsid w:val="00D83E04"/>
    <w:rsid w:val="00D84288"/>
    <w:rsid w:val="00D856A8"/>
    <w:rsid w:val="00D862CD"/>
    <w:rsid w:val="00D879BE"/>
    <w:rsid w:val="00D87D88"/>
    <w:rsid w:val="00D90012"/>
    <w:rsid w:val="00D90216"/>
    <w:rsid w:val="00D90519"/>
    <w:rsid w:val="00D90923"/>
    <w:rsid w:val="00D90B07"/>
    <w:rsid w:val="00D91005"/>
    <w:rsid w:val="00D91101"/>
    <w:rsid w:val="00D911E3"/>
    <w:rsid w:val="00D918A9"/>
    <w:rsid w:val="00D91BA4"/>
    <w:rsid w:val="00D92482"/>
    <w:rsid w:val="00D927AE"/>
    <w:rsid w:val="00D92901"/>
    <w:rsid w:val="00D92E1A"/>
    <w:rsid w:val="00D94B90"/>
    <w:rsid w:val="00D96F42"/>
    <w:rsid w:val="00D97A63"/>
    <w:rsid w:val="00D97ADF"/>
    <w:rsid w:val="00D97C6E"/>
    <w:rsid w:val="00D97FD7"/>
    <w:rsid w:val="00DA0266"/>
    <w:rsid w:val="00DA0D9C"/>
    <w:rsid w:val="00DA109A"/>
    <w:rsid w:val="00DA1C8F"/>
    <w:rsid w:val="00DA260E"/>
    <w:rsid w:val="00DA2D9D"/>
    <w:rsid w:val="00DA3847"/>
    <w:rsid w:val="00DA3BFB"/>
    <w:rsid w:val="00DA4903"/>
    <w:rsid w:val="00DA5248"/>
    <w:rsid w:val="00DA5C9D"/>
    <w:rsid w:val="00DA77C6"/>
    <w:rsid w:val="00DA7C2B"/>
    <w:rsid w:val="00DA7D4C"/>
    <w:rsid w:val="00DB076D"/>
    <w:rsid w:val="00DB0D3A"/>
    <w:rsid w:val="00DB0DE2"/>
    <w:rsid w:val="00DB135E"/>
    <w:rsid w:val="00DB14D6"/>
    <w:rsid w:val="00DB1523"/>
    <w:rsid w:val="00DB1E82"/>
    <w:rsid w:val="00DB2420"/>
    <w:rsid w:val="00DB2432"/>
    <w:rsid w:val="00DB24B8"/>
    <w:rsid w:val="00DB2FA0"/>
    <w:rsid w:val="00DB3544"/>
    <w:rsid w:val="00DB3AE7"/>
    <w:rsid w:val="00DB533F"/>
    <w:rsid w:val="00DB586B"/>
    <w:rsid w:val="00DB6658"/>
    <w:rsid w:val="00DB6830"/>
    <w:rsid w:val="00DB76BC"/>
    <w:rsid w:val="00DB7AFC"/>
    <w:rsid w:val="00DC106A"/>
    <w:rsid w:val="00DC1873"/>
    <w:rsid w:val="00DC191D"/>
    <w:rsid w:val="00DC1A74"/>
    <w:rsid w:val="00DC1EFE"/>
    <w:rsid w:val="00DC20D2"/>
    <w:rsid w:val="00DC3722"/>
    <w:rsid w:val="00DC3837"/>
    <w:rsid w:val="00DC38B9"/>
    <w:rsid w:val="00DC4501"/>
    <w:rsid w:val="00DC4534"/>
    <w:rsid w:val="00DC4B67"/>
    <w:rsid w:val="00DC50BD"/>
    <w:rsid w:val="00DC64F5"/>
    <w:rsid w:val="00DC69AB"/>
    <w:rsid w:val="00DC77CC"/>
    <w:rsid w:val="00DC7FA3"/>
    <w:rsid w:val="00DD083D"/>
    <w:rsid w:val="00DD135B"/>
    <w:rsid w:val="00DD1478"/>
    <w:rsid w:val="00DD18D4"/>
    <w:rsid w:val="00DD1BC6"/>
    <w:rsid w:val="00DD1D7D"/>
    <w:rsid w:val="00DD3D22"/>
    <w:rsid w:val="00DD3EF8"/>
    <w:rsid w:val="00DD3FAC"/>
    <w:rsid w:val="00DD4766"/>
    <w:rsid w:val="00DD4CF2"/>
    <w:rsid w:val="00DD505B"/>
    <w:rsid w:val="00DD5543"/>
    <w:rsid w:val="00DD55E1"/>
    <w:rsid w:val="00DD5719"/>
    <w:rsid w:val="00DD68B6"/>
    <w:rsid w:val="00DD6D09"/>
    <w:rsid w:val="00DD7221"/>
    <w:rsid w:val="00DD7441"/>
    <w:rsid w:val="00DE0C71"/>
    <w:rsid w:val="00DE27C3"/>
    <w:rsid w:val="00DE297E"/>
    <w:rsid w:val="00DE2E11"/>
    <w:rsid w:val="00DE3AB7"/>
    <w:rsid w:val="00DE4370"/>
    <w:rsid w:val="00DE4612"/>
    <w:rsid w:val="00DE4A2C"/>
    <w:rsid w:val="00DE4A85"/>
    <w:rsid w:val="00DE4C73"/>
    <w:rsid w:val="00DE65B8"/>
    <w:rsid w:val="00DE79EF"/>
    <w:rsid w:val="00DF01BF"/>
    <w:rsid w:val="00DF0D8B"/>
    <w:rsid w:val="00DF111E"/>
    <w:rsid w:val="00DF146C"/>
    <w:rsid w:val="00DF14A3"/>
    <w:rsid w:val="00DF1BE6"/>
    <w:rsid w:val="00DF20F4"/>
    <w:rsid w:val="00DF2282"/>
    <w:rsid w:val="00DF23DE"/>
    <w:rsid w:val="00DF304B"/>
    <w:rsid w:val="00DF334F"/>
    <w:rsid w:val="00DF5083"/>
    <w:rsid w:val="00DF68F2"/>
    <w:rsid w:val="00DF6972"/>
    <w:rsid w:val="00E005FE"/>
    <w:rsid w:val="00E00C29"/>
    <w:rsid w:val="00E01379"/>
    <w:rsid w:val="00E021E9"/>
    <w:rsid w:val="00E02A04"/>
    <w:rsid w:val="00E02D5B"/>
    <w:rsid w:val="00E0308D"/>
    <w:rsid w:val="00E03476"/>
    <w:rsid w:val="00E03CF8"/>
    <w:rsid w:val="00E04C54"/>
    <w:rsid w:val="00E04D56"/>
    <w:rsid w:val="00E04E6C"/>
    <w:rsid w:val="00E04F3C"/>
    <w:rsid w:val="00E05632"/>
    <w:rsid w:val="00E05A65"/>
    <w:rsid w:val="00E073EF"/>
    <w:rsid w:val="00E07763"/>
    <w:rsid w:val="00E1050A"/>
    <w:rsid w:val="00E1050D"/>
    <w:rsid w:val="00E1051E"/>
    <w:rsid w:val="00E11086"/>
    <w:rsid w:val="00E115C8"/>
    <w:rsid w:val="00E119E3"/>
    <w:rsid w:val="00E11DA8"/>
    <w:rsid w:val="00E125C2"/>
    <w:rsid w:val="00E12A03"/>
    <w:rsid w:val="00E13A75"/>
    <w:rsid w:val="00E13F11"/>
    <w:rsid w:val="00E14086"/>
    <w:rsid w:val="00E142A8"/>
    <w:rsid w:val="00E1462F"/>
    <w:rsid w:val="00E153CC"/>
    <w:rsid w:val="00E156BD"/>
    <w:rsid w:val="00E15F67"/>
    <w:rsid w:val="00E15FA7"/>
    <w:rsid w:val="00E16326"/>
    <w:rsid w:val="00E1668B"/>
    <w:rsid w:val="00E16F28"/>
    <w:rsid w:val="00E17114"/>
    <w:rsid w:val="00E17C9B"/>
    <w:rsid w:val="00E17F4F"/>
    <w:rsid w:val="00E200C0"/>
    <w:rsid w:val="00E20329"/>
    <w:rsid w:val="00E20747"/>
    <w:rsid w:val="00E230BC"/>
    <w:rsid w:val="00E2318B"/>
    <w:rsid w:val="00E23283"/>
    <w:rsid w:val="00E2379C"/>
    <w:rsid w:val="00E23C8D"/>
    <w:rsid w:val="00E23DE5"/>
    <w:rsid w:val="00E24C6A"/>
    <w:rsid w:val="00E25200"/>
    <w:rsid w:val="00E25458"/>
    <w:rsid w:val="00E256AD"/>
    <w:rsid w:val="00E25722"/>
    <w:rsid w:val="00E26602"/>
    <w:rsid w:val="00E26B71"/>
    <w:rsid w:val="00E275C1"/>
    <w:rsid w:val="00E275CA"/>
    <w:rsid w:val="00E27842"/>
    <w:rsid w:val="00E308AB"/>
    <w:rsid w:val="00E313E9"/>
    <w:rsid w:val="00E314B2"/>
    <w:rsid w:val="00E31C47"/>
    <w:rsid w:val="00E32072"/>
    <w:rsid w:val="00E3237B"/>
    <w:rsid w:val="00E32548"/>
    <w:rsid w:val="00E32CB8"/>
    <w:rsid w:val="00E34B90"/>
    <w:rsid w:val="00E35800"/>
    <w:rsid w:val="00E3605B"/>
    <w:rsid w:val="00E36734"/>
    <w:rsid w:val="00E36FEB"/>
    <w:rsid w:val="00E373F2"/>
    <w:rsid w:val="00E37EC2"/>
    <w:rsid w:val="00E37F77"/>
    <w:rsid w:val="00E41570"/>
    <w:rsid w:val="00E4168C"/>
    <w:rsid w:val="00E41E22"/>
    <w:rsid w:val="00E421DC"/>
    <w:rsid w:val="00E42516"/>
    <w:rsid w:val="00E42940"/>
    <w:rsid w:val="00E42BEB"/>
    <w:rsid w:val="00E43D15"/>
    <w:rsid w:val="00E4426B"/>
    <w:rsid w:val="00E44364"/>
    <w:rsid w:val="00E453D5"/>
    <w:rsid w:val="00E45D88"/>
    <w:rsid w:val="00E467F3"/>
    <w:rsid w:val="00E46D9B"/>
    <w:rsid w:val="00E47785"/>
    <w:rsid w:val="00E47C46"/>
    <w:rsid w:val="00E47D48"/>
    <w:rsid w:val="00E502DA"/>
    <w:rsid w:val="00E50FB1"/>
    <w:rsid w:val="00E5145A"/>
    <w:rsid w:val="00E52B22"/>
    <w:rsid w:val="00E530B8"/>
    <w:rsid w:val="00E53BF3"/>
    <w:rsid w:val="00E53DB4"/>
    <w:rsid w:val="00E54FC8"/>
    <w:rsid w:val="00E555DF"/>
    <w:rsid w:val="00E55B87"/>
    <w:rsid w:val="00E56FD3"/>
    <w:rsid w:val="00E57096"/>
    <w:rsid w:val="00E57B40"/>
    <w:rsid w:val="00E6099C"/>
    <w:rsid w:val="00E6149E"/>
    <w:rsid w:val="00E6182A"/>
    <w:rsid w:val="00E62F53"/>
    <w:rsid w:val="00E6338E"/>
    <w:rsid w:val="00E635AA"/>
    <w:rsid w:val="00E6493D"/>
    <w:rsid w:val="00E64BA3"/>
    <w:rsid w:val="00E65813"/>
    <w:rsid w:val="00E65878"/>
    <w:rsid w:val="00E659C6"/>
    <w:rsid w:val="00E66334"/>
    <w:rsid w:val="00E67331"/>
    <w:rsid w:val="00E67EB3"/>
    <w:rsid w:val="00E67EB7"/>
    <w:rsid w:val="00E701A3"/>
    <w:rsid w:val="00E70BA9"/>
    <w:rsid w:val="00E71535"/>
    <w:rsid w:val="00E7157A"/>
    <w:rsid w:val="00E71BA1"/>
    <w:rsid w:val="00E72820"/>
    <w:rsid w:val="00E729CE"/>
    <w:rsid w:val="00E730D4"/>
    <w:rsid w:val="00E73DA2"/>
    <w:rsid w:val="00E74872"/>
    <w:rsid w:val="00E74D64"/>
    <w:rsid w:val="00E75009"/>
    <w:rsid w:val="00E75081"/>
    <w:rsid w:val="00E75EF7"/>
    <w:rsid w:val="00E763DB"/>
    <w:rsid w:val="00E764F7"/>
    <w:rsid w:val="00E76985"/>
    <w:rsid w:val="00E76E6E"/>
    <w:rsid w:val="00E8083A"/>
    <w:rsid w:val="00E80EF8"/>
    <w:rsid w:val="00E81489"/>
    <w:rsid w:val="00E816B7"/>
    <w:rsid w:val="00E827F7"/>
    <w:rsid w:val="00E83400"/>
    <w:rsid w:val="00E83449"/>
    <w:rsid w:val="00E8416C"/>
    <w:rsid w:val="00E84578"/>
    <w:rsid w:val="00E84DD1"/>
    <w:rsid w:val="00E85107"/>
    <w:rsid w:val="00E85821"/>
    <w:rsid w:val="00E867EA"/>
    <w:rsid w:val="00E87364"/>
    <w:rsid w:val="00E8759A"/>
    <w:rsid w:val="00E87A87"/>
    <w:rsid w:val="00E87DA2"/>
    <w:rsid w:val="00E87FA0"/>
    <w:rsid w:val="00E907FC"/>
    <w:rsid w:val="00E90ADA"/>
    <w:rsid w:val="00E90B8F"/>
    <w:rsid w:val="00E91D98"/>
    <w:rsid w:val="00E9334D"/>
    <w:rsid w:val="00E938A1"/>
    <w:rsid w:val="00E93D49"/>
    <w:rsid w:val="00E93F5F"/>
    <w:rsid w:val="00E9416D"/>
    <w:rsid w:val="00E945B2"/>
    <w:rsid w:val="00E94766"/>
    <w:rsid w:val="00E94A62"/>
    <w:rsid w:val="00E94A87"/>
    <w:rsid w:val="00E94FA5"/>
    <w:rsid w:val="00E962BC"/>
    <w:rsid w:val="00EA0E89"/>
    <w:rsid w:val="00EA0FD8"/>
    <w:rsid w:val="00EA14BE"/>
    <w:rsid w:val="00EA165D"/>
    <w:rsid w:val="00EA1BD8"/>
    <w:rsid w:val="00EA51D9"/>
    <w:rsid w:val="00EA5BC3"/>
    <w:rsid w:val="00EA635B"/>
    <w:rsid w:val="00EA6E61"/>
    <w:rsid w:val="00EA7D31"/>
    <w:rsid w:val="00EB006A"/>
    <w:rsid w:val="00EB00A4"/>
    <w:rsid w:val="00EB03AD"/>
    <w:rsid w:val="00EB1733"/>
    <w:rsid w:val="00EB205D"/>
    <w:rsid w:val="00EB24C8"/>
    <w:rsid w:val="00EB3071"/>
    <w:rsid w:val="00EB3377"/>
    <w:rsid w:val="00EB4254"/>
    <w:rsid w:val="00EB4A4D"/>
    <w:rsid w:val="00EB5B6B"/>
    <w:rsid w:val="00EB6240"/>
    <w:rsid w:val="00EB67FC"/>
    <w:rsid w:val="00EB7789"/>
    <w:rsid w:val="00EB790B"/>
    <w:rsid w:val="00EC0077"/>
    <w:rsid w:val="00EC00B9"/>
    <w:rsid w:val="00EC0683"/>
    <w:rsid w:val="00EC06FA"/>
    <w:rsid w:val="00EC0F9C"/>
    <w:rsid w:val="00EC1647"/>
    <w:rsid w:val="00EC1E76"/>
    <w:rsid w:val="00EC2216"/>
    <w:rsid w:val="00EC364F"/>
    <w:rsid w:val="00EC36D6"/>
    <w:rsid w:val="00EC3DF0"/>
    <w:rsid w:val="00EC4512"/>
    <w:rsid w:val="00EC45C7"/>
    <w:rsid w:val="00EC4A50"/>
    <w:rsid w:val="00EC4C66"/>
    <w:rsid w:val="00EC51D4"/>
    <w:rsid w:val="00EC5853"/>
    <w:rsid w:val="00EC5B0D"/>
    <w:rsid w:val="00EC5F51"/>
    <w:rsid w:val="00EC6243"/>
    <w:rsid w:val="00EC78B4"/>
    <w:rsid w:val="00EC7FD9"/>
    <w:rsid w:val="00ED0248"/>
    <w:rsid w:val="00ED1121"/>
    <w:rsid w:val="00ED1EA5"/>
    <w:rsid w:val="00ED23BD"/>
    <w:rsid w:val="00ED2A92"/>
    <w:rsid w:val="00ED2E2F"/>
    <w:rsid w:val="00ED2FD0"/>
    <w:rsid w:val="00ED39BF"/>
    <w:rsid w:val="00ED45CE"/>
    <w:rsid w:val="00ED48FA"/>
    <w:rsid w:val="00ED494F"/>
    <w:rsid w:val="00ED52DF"/>
    <w:rsid w:val="00ED5388"/>
    <w:rsid w:val="00ED5984"/>
    <w:rsid w:val="00ED59AB"/>
    <w:rsid w:val="00ED5DD6"/>
    <w:rsid w:val="00ED644F"/>
    <w:rsid w:val="00ED6DFF"/>
    <w:rsid w:val="00ED7AF6"/>
    <w:rsid w:val="00ED7D09"/>
    <w:rsid w:val="00EE01FF"/>
    <w:rsid w:val="00EE1718"/>
    <w:rsid w:val="00EE21D6"/>
    <w:rsid w:val="00EE241B"/>
    <w:rsid w:val="00EE3D1B"/>
    <w:rsid w:val="00EE4289"/>
    <w:rsid w:val="00EE4B56"/>
    <w:rsid w:val="00EE542E"/>
    <w:rsid w:val="00EE5449"/>
    <w:rsid w:val="00EE5878"/>
    <w:rsid w:val="00EE6EAE"/>
    <w:rsid w:val="00EE70C1"/>
    <w:rsid w:val="00EE7CE1"/>
    <w:rsid w:val="00EF214B"/>
    <w:rsid w:val="00EF247C"/>
    <w:rsid w:val="00EF25E3"/>
    <w:rsid w:val="00EF2BFD"/>
    <w:rsid w:val="00EF2D77"/>
    <w:rsid w:val="00EF3175"/>
    <w:rsid w:val="00EF381D"/>
    <w:rsid w:val="00EF3B87"/>
    <w:rsid w:val="00EF46A2"/>
    <w:rsid w:val="00EF4C8A"/>
    <w:rsid w:val="00EF573F"/>
    <w:rsid w:val="00EF58D5"/>
    <w:rsid w:val="00EF6255"/>
    <w:rsid w:val="00EF6A39"/>
    <w:rsid w:val="00EF6D55"/>
    <w:rsid w:val="00EF6D85"/>
    <w:rsid w:val="00EF6EC3"/>
    <w:rsid w:val="00EF7263"/>
    <w:rsid w:val="00EF7A61"/>
    <w:rsid w:val="00EF7E1B"/>
    <w:rsid w:val="00F01000"/>
    <w:rsid w:val="00F019B9"/>
    <w:rsid w:val="00F01C83"/>
    <w:rsid w:val="00F02039"/>
    <w:rsid w:val="00F02BC3"/>
    <w:rsid w:val="00F02D6E"/>
    <w:rsid w:val="00F036A1"/>
    <w:rsid w:val="00F04BC6"/>
    <w:rsid w:val="00F05A30"/>
    <w:rsid w:val="00F05B07"/>
    <w:rsid w:val="00F05C4E"/>
    <w:rsid w:val="00F06219"/>
    <w:rsid w:val="00F077BA"/>
    <w:rsid w:val="00F10B6B"/>
    <w:rsid w:val="00F11A5A"/>
    <w:rsid w:val="00F11BCD"/>
    <w:rsid w:val="00F13AF9"/>
    <w:rsid w:val="00F14817"/>
    <w:rsid w:val="00F14BE2"/>
    <w:rsid w:val="00F175D6"/>
    <w:rsid w:val="00F17900"/>
    <w:rsid w:val="00F202A9"/>
    <w:rsid w:val="00F21125"/>
    <w:rsid w:val="00F21365"/>
    <w:rsid w:val="00F21990"/>
    <w:rsid w:val="00F21F9C"/>
    <w:rsid w:val="00F226CB"/>
    <w:rsid w:val="00F244A2"/>
    <w:rsid w:val="00F2488A"/>
    <w:rsid w:val="00F248AE"/>
    <w:rsid w:val="00F24E44"/>
    <w:rsid w:val="00F25D46"/>
    <w:rsid w:val="00F263CA"/>
    <w:rsid w:val="00F26985"/>
    <w:rsid w:val="00F270B7"/>
    <w:rsid w:val="00F27F4D"/>
    <w:rsid w:val="00F30056"/>
    <w:rsid w:val="00F301E8"/>
    <w:rsid w:val="00F3128D"/>
    <w:rsid w:val="00F3208A"/>
    <w:rsid w:val="00F329C8"/>
    <w:rsid w:val="00F32D82"/>
    <w:rsid w:val="00F32FE4"/>
    <w:rsid w:val="00F3306A"/>
    <w:rsid w:val="00F33A07"/>
    <w:rsid w:val="00F3483B"/>
    <w:rsid w:val="00F3529B"/>
    <w:rsid w:val="00F3622C"/>
    <w:rsid w:val="00F363E0"/>
    <w:rsid w:val="00F3742E"/>
    <w:rsid w:val="00F40249"/>
    <w:rsid w:val="00F4038A"/>
    <w:rsid w:val="00F40DBC"/>
    <w:rsid w:val="00F40E9F"/>
    <w:rsid w:val="00F41133"/>
    <w:rsid w:val="00F41181"/>
    <w:rsid w:val="00F41297"/>
    <w:rsid w:val="00F417CA"/>
    <w:rsid w:val="00F41F34"/>
    <w:rsid w:val="00F42073"/>
    <w:rsid w:val="00F420C3"/>
    <w:rsid w:val="00F421F3"/>
    <w:rsid w:val="00F4241C"/>
    <w:rsid w:val="00F42DC8"/>
    <w:rsid w:val="00F43422"/>
    <w:rsid w:val="00F434D0"/>
    <w:rsid w:val="00F445D6"/>
    <w:rsid w:val="00F4461D"/>
    <w:rsid w:val="00F44D62"/>
    <w:rsid w:val="00F44F07"/>
    <w:rsid w:val="00F4515F"/>
    <w:rsid w:val="00F453EF"/>
    <w:rsid w:val="00F4546A"/>
    <w:rsid w:val="00F454FA"/>
    <w:rsid w:val="00F4600F"/>
    <w:rsid w:val="00F464BF"/>
    <w:rsid w:val="00F4699C"/>
    <w:rsid w:val="00F472AB"/>
    <w:rsid w:val="00F4767E"/>
    <w:rsid w:val="00F47EE4"/>
    <w:rsid w:val="00F47FFD"/>
    <w:rsid w:val="00F50734"/>
    <w:rsid w:val="00F51074"/>
    <w:rsid w:val="00F515A8"/>
    <w:rsid w:val="00F52C8A"/>
    <w:rsid w:val="00F535B3"/>
    <w:rsid w:val="00F53B01"/>
    <w:rsid w:val="00F54B71"/>
    <w:rsid w:val="00F54C5A"/>
    <w:rsid w:val="00F54C8D"/>
    <w:rsid w:val="00F5518C"/>
    <w:rsid w:val="00F563AB"/>
    <w:rsid w:val="00F563B5"/>
    <w:rsid w:val="00F56677"/>
    <w:rsid w:val="00F56EF6"/>
    <w:rsid w:val="00F57CF3"/>
    <w:rsid w:val="00F60714"/>
    <w:rsid w:val="00F60DC1"/>
    <w:rsid w:val="00F60F06"/>
    <w:rsid w:val="00F615AB"/>
    <w:rsid w:val="00F618B2"/>
    <w:rsid w:val="00F625C4"/>
    <w:rsid w:val="00F62BAA"/>
    <w:rsid w:val="00F62F6F"/>
    <w:rsid w:val="00F6321C"/>
    <w:rsid w:val="00F633E2"/>
    <w:rsid w:val="00F63BF0"/>
    <w:rsid w:val="00F642D3"/>
    <w:rsid w:val="00F64481"/>
    <w:rsid w:val="00F64FED"/>
    <w:rsid w:val="00F665E9"/>
    <w:rsid w:val="00F66ED2"/>
    <w:rsid w:val="00F67170"/>
    <w:rsid w:val="00F6723B"/>
    <w:rsid w:val="00F7062A"/>
    <w:rsid w:val="00F711BE"/>
    <w:rsid w:val="00F72577"/>
    <w:rsid w:val="00F727CF"/>
    <w:rsid w:val="00F72946"/>
    <w:rsid w:val="00F72FD4"/>
    <w:rsid w:val="00F7318C"/>
    <w:rsid w:val="00F73A35"/>
    <w:rsid w:val="00F73ED4"/>
    <w:rsid w:val="00F74134"/>
    <w:rsid w:val="00F74AD0"/>
    <w:rsid w:val="00F7543D"/>
    <w:rsid w:val="00F76187"/>
    <w:rsid w:val="00F765B8"/>
    <w:rsid w:val="00F7663C"/>
    <w:rsid w:val="00F76A68"/>
    <w:rsid w:val="00F76F75"/>
    <w:rsid w:val="00F77A14"/>
    <w:rsid w:val="00F80841"/>
    <w:rsid w:val="00F81CD9"/>
    <w:rsid w:val="00F81DBB"/>
    <w:rsid w:val="00F82657"/>
    <w:rsid w:val="00F83000"/>
    <w:rsid w:val="00F83306"/>
    <w:rsid w:val="00F83A39"/>
    <w:rsid w:val="00F83DE1"/>
    <w:rsid w:val="00F87163"/>
    <w:rsid w:val="00F87912"/>
    <w:rsid w:val="00F90201"/>
    <w:rsid w:val="00F905B6"/>
    <w:rsid w:val="00F90BF8"/>
    <w:rsid w:val="00F90C59"/>
    <w:rsid w:val="00F90DA7"/>
    <w:rsid w:val="00F90EA3"/>
    <w:rsid w:val="00F90FBA"/>
    <w:rsid w:val="00F91275"/>
    <w:rsid w:val="00F916FC"/>
    <w:rsid w:val="00F91A96"/>
    <w:rsid w:val="00F91E5C"/>
    <w:rsid w:val="00F91E5F"/>
    <w:rsid w:val="00F91FBC"/>
    <w:rsid w:val="00F9208F"/>
    <w:rsid w:val="00F92516"/>
    <w:rsid w:val="00F929F6"/>
    <w:rsid w:val="00F93646"/>
    <w:rsid w:val="00F9401B"/>
    <w:rsid w:val="00F942E7"/>
    <w:rsid w:val="00F9474A"/>
    <w:rsid w:val="00F96AC2"/>
    <w:rsid w:val="00F96B9B"/>
    <w:rsid w:val="00F971DE"/>
    <w:rsid w:val="00F9723E"/>
    <w:rsid w:val="00F97824"/>
    <w:rsid w:val="00F97995"/>
    <w:rsid w:val="00FA0849"/>
    <w:rsid w:val="00FA228C"/>
    <w:rsid w:val="00FA3575"/>
    <w:rsid w:val="00FA365C"/>
    <w:rsid w:val="00FA4253"/>
    <w:rsid w:val="00FA4885"/>
    <w:rsid w:val="00FA548B"/>
    <w:rsid w:val="00FA5538"/>
    <w:rsid w:val="00FA7884"/>
    <w:rsid w:val="00FA7E68"/>
    <w:rsid w:val="00FB05A3"/>
    <w:rsid w:val="00FB06D7"/>
    <w:rsid w:val="00FB06D9"/>
    <w:rsid w:val="00FB0D2F"/>
    <w:rsid w:val="00FB12D2"/>
    <w:rsid w:val="00FB131F"/>
    <w:rsid w:val="00FB159E"/>
    <w:rsid w:val="00FB17B6"/>
    <w:rsid w:val="00FB1FBB"/>
    <w:rsid w:val="00FB2930"/>
    <w:rsid w:val="00FB387E"/>
    <w:rsid w:val="00FB48BD"/>
    <w:rsid w:val="00FB4A43"/>
    <w:rsid w:val="00FB4D0C"/>
    <w:rsid w:val="00FB52A9"/>
    <w:rsid w:val="00FB5596"/>
    <w:rsid w:val="00FB58F9"/>
    <w:rsid w:val="00FB59E9"/>
    <w:rsid w:val="00FB6970"/>
    <w:rsid w:val="00FB7593"/>
    <w:rsid w:val="00FC0122"/>
    <w:rsid w:val="00FC070A"/>
    <w:rsid w:val="00FC0979"/>
    <w:rsid w:val="00FC0B68"/>
    <w:rsid w:val="00FC0E0B"/>
    <w:rsid w:val="00FC11DE"/>
    <w:rsid w:val="00FC217A"/>
    <w:rsid w:val="00FC35ED"/>
    <w:rsid w:val="00FC4193"/>
    <w:rsid w:val="00FC4D1E"/>
    <w:rsid w:val="00FC4E8E"/>
    <w:rsid w:val="00FC565D"/>
    <w:rsid w:val="00FC5C2C"/>
    <w:rsid w:val="00FC62CB"/>
    <w:rsid w:val="00FC676F"/>
    <w:rsid w:val="00FC6AA2"/>
    <w:rsid w:val="00FC708D"/>
    <w:rsid w:val="00FC7BFA"/>
    <w:rsid w:val="00FD0217"/>
    <w:rsid w:val="00FD070D"/>
    <w:rsid w:val="00FD1574"/>
    <w:rsid w:val="00FD2229"/>
    <w:rsid w:val="00FD2282"/>
    <w:rsid w:val="00FD2798"/>
    <w:rsid w:val="00FD35D3"/>
    <w:rsid w:val="00FD3F10"/>
    <w:rsid w:val="00FD4747"/>
    <w:rsid w:val="00FD4A10"/>
    <w:rsid w:val="00FD4AC5"/>
    <w:rsid w:val="00FD4EE9"/>
    <w:rsid w:val="00FD539E"/>
    <w:rsid w:val="00FD6277"/>
    <w:rsid w:val="00FD69E5"/>
    <w:rsid w:val="00FD6AFC"/>
    <w:rsid w:val="00FD6F76"/>
    <w:rsid w:val="00FD7345"/>
    <w:rsid w:val="00FD7F4F"/>
    <w:rsid w:val="00FE061B"/>
    <w:rsid w:val="00FE0C03"/>
    <w:rsid w:val="00FE0F1B"/>
    <w:rsid w:val="00FE122E"/>
    <w:rsid w:val="00FE16BF"/>
    <w:rsid w:val="00FE1CDA"/>
    <w:rsid w:val="00FE1F06"/>
    <w:rsid w:val="00FE1F9F"/>
    <w:rsid w:val="00FE2EED"/>
    <w:rsid w:val="00FE2FDD"/>
    <w:rsid w:val="00FE3062"/>
    <w:rsid w:val="00FE48E8"/>
    <w:rsid w:val="00FE5DFC"/>
    <w:rsid w:val="00FE5FB9"/>
    <w:rsid w:val="00FE605B"/>
    <w:rsid w:val="00FE727E"/>
    <w:rsid w:val="00FE747C"/>
    <w:rsid w:val="00FE76DE"/>
    <w:rsid w:val="00FE7B37"/>
    <w:rsid w:val="00FE7F5C"/>
    <w:rsid w:val="00FF02DE"/>
    <w:rsid w:val="00FF1968"/>
    <w:rsid w:val="00FF1D32"/>
    <w:rsid w:val="00FF2EFB"/>
    <w:rsid w:val="00FF30CD"/>
    <w:rsid w:val="00FF32D4"/>
    <w:rsid w:val="00FF32F8"/>
    <w:rsid w:val="00FF34C5"/>
    <w:rsid w:val="00FF4157"/>
    <w:rsid w:val="00FF4677"/>
    <w:rsid w:val="00FF4771"/>
    <w:rsid w:val="00FF4818"/>
    <w:rsid w:val="00FF49A4"/>
    <w:rsid w:val="00FF5AF1"/>
    <w:rsid w:val="00FF6257"/>
    <w:rsid w:val="00FF6503"/>
    <w:rsid w:val="00FF6796"/>
    <w:rsid w:val="02577A45"/>
    <w:rsid w:val="03770BA0"/>
    <w:rsid w:val="050E5312"/>
    <w:rsid w:val="051B537D"/>
    <w:rsid w:val="069975A6"/>
    <w:rsid w:val="06DE6C95"/>
    <w:rsid w:val="06E54DB5"/>
    <w:rsid w:val="073A68C6"/>
    <w:rsid w:val="08B84379"/>
    <w:rsid w:val="08C7B402"/>
    <w:rsid w:val="09365230"/>
    <w:rsid w:val="0FDA3303"/>
    <w:rsid w:val="0FEB00DE"/>
    <w:rsid w:val="102F687C"/>
    <w:rsid w:val="1134B257"/>
    <w:rsid w:val="13789A94"/>
    <w:rsid w:val="14AF85A6"/>
    <w:rsid w:val="156F25D4"/>
    <w:rsid w:val="15FBADD6"/>
    <w:rsid w:val="181C4140"/>
    <w:rsid w:val="1A271090"/>
    <w:rsid w:val="1BC88A40"/>
    <w:rsid w:val="1E2D64D9"/>
    <w:rsid w:val="1E9BA8F7"/>
    <w:rsid w:val="1EA32CF4"/>
    <w:rsid w:val="1FD9DD7E"/>
    <w:rsid w:val="20E39A76"/>
    <w:rsid w:val="217E09E0"/>
    <w:rsid w:val="218F967E"/>
    <w:rsid w:val="225DF202"/>
    <w:rsid w:val="231D6165"/>
    <w:rsid w:val="2888A8DE"/>
    <w:rsid w:val="28C47EE7"/>
    <w:rsid w:val="2A2EF732"/>
    <w:rsid w:val="2BC56291"/>
    <w:rsid w:val="2C0A5980"/>
    <w:rsid w:val="2C52A3A5"/>
    <w:rsid w:val="30DCF5E3"/>
    <w:rsid w:val="31A98747"/>
    <w:rsid w:val="32756AEC"/>
    <w:rsid w:val="327C5DAF"/>
    <w:rsid w:val="32BC08B8"/>
    <w:rsid w:val="3354A4AF"/>
    <w:rsid w:val="36609F42"/>
    <w:rsid w:val="3778DAB9"/>
    <w:rsid w:val="37B51833"/>
    <w:rsid w:val="38C13BDB"/>
    <w:rsid w:val="38C63672"/>
    <w:rsid w:val="396829F1"/>
    <w:rsid w:val="397D8C8F"/>
    <w:rsid w:val="3A910307"/>
    <w:rsid w:val="3B206E71"/>
    <w:rsid w:val="3E639AD7"/>
    <w:rsid w:val="4414CF20"/>
    <w:rsid w:val="44999867"/>
    <w:rsid w:val="45DF3AE2"/>
    <w:rsid w:val="4CEFBE00"/>
    <w:rsid w:val="4D02B220"/>
    <w:rsid w:val="4EA7D1A6"/>
    <w:rsid w:val="4F94930D"/>
    <w:rsid w:val="500FF8C0"/>
    <w:rsid w:val="53D7FA57"/>
    <w:rsid w:val="55763FD1"/>
    <w:rsid w:val="56B0D250"/>
    <w:rsid w:val="56E8B56A"/>
    <w:rsid w:val="57258948"/>
    <w:rsid w:val="578DAB1B"/>
    <w:rsid w:val="58E7649A"/>
    <w:rsid w:val="5BBE8B50"/>
    <w:rsid w:val="5F334A2E"/>
    <w:rsid w:val="6599E092"/>
    <w:rsid w:val="6D0D9AD2"/>
    <w:rsid w:val="6D4285DA"/>
    <w:rsid w:val="6EA96B33"/>
    <w:rsid w:val="6EDE563B"/>
    <w:rsid w:val="70453B94"/>
    <w:rsid w:val="74F4CAB0"/>
    <w:rsid w:val="77BF65BC"/>
    <w:rsid w:val="7871F9D9"/>
    <w:rsid w:val="79F40B60"/>
    <w:rsid w:val="7AE39F9D"/>
    <w:rsid w:val="7B18EF22"/>
    <w:rsid w:val="7BAA8D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53221"/>
  <w15:chartTrackingRefBased/>
  <w15:docId w15:val="{BFEA0AE6-5B8D-4C7E-B6B2-2E774BDD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Theme="minorHAnsi" w:hAnsi="VIC" w:cstheme="minorBidi"/>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8E8"/>
  </w:style>
  <w:style w:type="paragraph" w:styleId="Heading1">
    <w:name w:val="heading 1"/>
    <w:basedOn w:val="Normal"/>
    <w:next w:val="Normal"/>
    <w:link w:val="Heading1Char"/>
    <w:uiPriority w:val="9"/>
    <w:qFormat/>
    <w:rsid w:val="002D3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2D39E1"/>
    <w:pPr>
      <w:spacing w:after="120" w:line="240" w:lineRule="auto"/>
      <w:outlineLvl w:val="1"/>
    </w:pPr>
    <w:rPr>
      <w:rFonts w:cs="VIC-SemiBold"/>
      <w:b/>
      <w:color w:val="4C7329"/>
      <w:sz w:val="28"/>
      <w:szCs w:val="18"/>
      <w:lang w:val="en-US"/>
    </w:rPr>
  </w:style>
  <w:style w:type="paragraph" w:styleId="Heading3">
    <w:name w:val="heading 3"/>
    <w:basedOn w:val="Normal"/>
    <w:next w:val="Normal"/>
    <w:link w:val="Heading3Char"/>
    <w:uiPriority w:val="9"/>
    <w:unhideWhenUsed/>
    <w:qFormat/>
    <w:rsid w:val="00B70C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489"/>
    <w:rPr>
      <w:rFonts w:ascii="Segoe UI" w:hAnsi="Segoe UI" w:cs="Segoe UI"/>
      <w:sz w:val="18"/>
      <w:szCs w:val="18"/>
    </w:rPr>
  </w:style>
  <w:style w:type="paragraph" w:styleId="ListParagraph">
    <w:name w:val="List Paragraph"/>
    <w:basedOn w:val="Normal"/>
    <w:uiPriority w:val="34"/>
    <w:qFormat/>
    <w:rsid w:val="006C6940"/>
    <w:pPr>
      <w:ind w:left="720"/>
      <w:contextualSpacing/>
    </w:pPr>
  </w:style>
  <w:style w:type="character" w:styleId="CommentReference">
    <w:name w:val="annotation reference"/>
    <w:basedOn w:val="DefaultParagraphFont"/>
    <w:uiPriority w:val="99"/>
    <w:semiHidden/>
    <w:unhideWhenUsed/>
    <w:rsid w:val="00211B3D"/>
    <w:rPr>
      <w:sz w:val="16"/>
      <w:szCs w:val="16"/>
    </w:rPr>
  </w:style>
  <w:style w:type="paragraph" w:styleId="CommentText">
    <w:name w:val="annotation text"/>
    <w:basedOn w:val="Normal"/>
    <w:link w:val="CommentTextChar"/>
    <w:uiPriority w:val="99"/>
    <w:unhideWhenUsed/>
    <w:rsid w:val="00211B3D"/>
    <w:pPr>
      <w:spacing w:line="240" w:lineRule="auto"/>
    </w:pPr>
    <w:rPr>
      <w:szCs w:val="20"/>
    </w:rPr>
  </w:style>
  <w:style w:type="character" w:customStyle="1" w:styleId="CommentTextChar">
    <w:name w:val="Comment Text Char"/>
    <w:basedOn w:val="DefaultParagraphFont"/>
    <w:link w:val="CommentText"/>
    <w:uiPriority w:val="99"/>
    <w:rsid w:val="00211B3D"/>
    <w:rPr>
      <w:sz w:val="20"/>
      <w:szCs w:val="20"/>
    </w:rPr>
  </w:style>
  <w:style w:type="paragraph" w:styleId="CommentSubject">
    <w:name w:val="annotation subject"/>
    <w:basedOn w:val="CommentText"/>
    <w:next w:val="CommentText"/>
    <w:link w:val="CommentSubjectChar"/>
    <w:uiPriority w:val="99"/>
    <w:semiHidden/>
    <w:unhideWhenUsed/>
    <w:rsid w:val="00211B3D"/>
    <w:rPr>
      <w:b/>
      <w:bCs/>
    </w:rPr>
  </w:style>
  <w:style w:type="character" w:customStyle="1" w:styleId="CommentSubjectChar">
    <w:name w:val="Comment Subject Char"/>
    <w:basedOn w:val="CommentTextChar"/>
    <w:link w:val="CommentSubject"/>
    <w:uiPriority w:val="99"/>
    <w:semiHidden/>
    <w:rsid w:val="00211B3D"/>
    <w:rPr>
      <w:b/>
      <w:bCs/>
      <w:sz w:val="20"/>
      <w:szCs w:val="20"/>
    </w:rPr>
  </w:style>
  <w:style w:type="character" w:styleId="Hyperlink">
    <w:name w:val="Hyperlink"/>
    <w:basedOn w:val="DefaultParagraphFont"/>
    <w:uiPriority w:val="99"/>
    <w:unhideWhenUsed/>
    <w:rsid w:val="00126A67"/>
    <w:rPr>
      <w:color w:val="0000FF"/>
      <w:u w:val="single"/>
    </w:rPr>
  </w:style>
  <w:style w:type="character" w:styleId="LineNumber">
    <w:name w:val="line number"/>
    <w:basedOn w:val="DefaultParagraphFont"/>
    <w:uiPriority w:val="99"/>
    <w:semiHidden/>
    <w:unhideWhenUsed/>
    <w:rsid w:val="00974C29"/>
  </w:style>
  <w:style w:type="paragraph" w:styleId="NoSpacing">
    <w:name w:val="No Spacing"/>
    <w:uiPriority w:val="1"/>
    <w:qFormat/>
    <w:rsid w:val="00F5518C"/>
    <w:pPr>
      <w:spacing w:after="0" w:line="240" w:lineRule="auto"/>
    </w:pPr>
  </w:style>
  <w:style w:type="character" w:styleId="UnresolvedMention">
    <w:name w:val="Unresolved Mention"/>
    <w:basedOn w:val="DefaultParagraphFont"/>
    <w:uiPriority w:val="99"/>
    <w:semiHidden/>
    <w:unhideWhenUsed/>
    <w:rsid w:val="002721C5"/>
    <w:rPr>
      <w:color w:val="605E5C"/>
      <w:shd w:val="clear" w:color="auto" w:fill="E1DFDD"/>
    </w:rPr>
  </w:style>
  <w:style w:type="character" w:customStyle="1" w:styleId="Heading1Char">
    <w:name w:val="Heading 1 Char"/>
    <w:basedOn w:val="DefaultParagraphFont"/>
    <w:link w:val="Heading1"/>
    <w:uiPriority w:val="9"/>
    <w:rsid w:val="002D39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D39E1"/>
    <w:rPr>
      <w:rFonts w:ascii="VIC" w:hAnsi="VIC" w:cs="VIC-SemiBold"/>
      <w:b/>
      <w:color w:val="4C7329"/>
      <w:sz w:val="28"/>
      <w:szCs w:val="18"/>
      <w:lang w:val="en-US"/>
    </w:rPr>
  </w:style>
  <w:style w:type="character" w:styleId="Strong">
    <w:name w:val="Strong"/>
    <w:basedOn w:val="DefaultParagraphFont"/>
    <w:uiPriority w:val="22"/>
    <w:qFormat/>
    <w:rsid w:val="009506C1"/>
    <w:rPr>
      <w:b/>
      <w:bCs/>
    </w:rPr>
  </w:style>
  <w:style w:type="character" w:customStyle="1" w:styleId="Heading3Char">
    <w:name w:val="Heading 3 Char"/>
    <w:basedOn w:val="DefaultParagraphFont"/>
    <w:link w:val="Heading3"/>
    <w:uiPriority w:val="9"/>
    <w:rsid w:val="00B70C76"/>
    <w:rPr>
      <w:rFonts w:asciiTheme="majorHAnsi" w:eastAsiaTheme="majorEastAsia" w:hAnsiTheme="majorHAnsi" w:cstheme="majorBidi"/>
      <w:color w:val="1F3763" w:themeColor="accent1" w:themeShade="7F"/>
      <w:sz w:val="24"/>
      <w:szCs w:val="24"/>
    </w:rPr>
  </w:style>
  <w:style w:type="table" w:customStyle="1" w:styleId="TableGrid6">
    <w:name w:val="TableGrid6"/>
    <w:rsid w:val="00B70C76"/>
    <w:pPr>
      <w:spacing w:after="0" w:line="240" w:lineRule="auto"/>
    </w:pPr>
    <w:rPr>
      <w:rFonts w:eastAsia="Times New Roman"/>
      <w:lang w:eastAsia="en-AU"/>
    </w:rPr>
    <w:tblPr>
      <w:tblCellMar>
        <w:top w:w="0" w:type="dxa"/>
        <w:left w:w="0" w:type="dxa"/>
        <w:bottom w:w="0" w:type="dxa"/>
        <w:right w:w="0" w:type="dxa"/>
      </w:tblCellMar>
    </w:tblPr>
  </w:style>
  <w:style w:type="paragraph" w:styleId="Header">
    <w:name w:val="header"/>
    <w:basedOn w:val="Normal"/>
    <w:link w:val="HeaderChar"/>
    <w:uiPriority w:val="99"/>
    <w:unhideWhenUsed/>
    <w:rsid w:val="00DA1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09A"/>
  </w:style>
  <w:style w:type="paragraph" w:styleId="Footer">
    <w:name w:val="footer"/>
    <w:basedOn w:val="Normal"/>
    <w:link w:val="FooterChar"/>
    <w:uiPriority w:val="99"/>
    <w:unhideWhenUsed/>
    <w:rsid w:val="00DA1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09A"/>
  </w:style>
  <w:style w:type="paragraph" w:styleId="Caption">
    <w:name w:val="caption"/>
    <w:basedOn w:val="Normal"/>
    <w:next w:val="Normal"/>
    <w:uiPriority w:val="35"/>
    <w:unhideWhenUsed/>
    <w:qFormat/>
    <w:rsid w:val="00A41718"/>
    <w:pPr>
      <w:keepNext/>
      <w:spacing w:after="200" w:line="240" w:lineRule="auto"/>
    </w:pPr>
    <w:rPr>
      <w:szCs w:val="20"/>
    </w:rPr>
  </w:style>
  <w:style w:type="character" w:styleId="FollowedHyperlink">
    <w:name w:val="FollowedHyperlink"/>
    <w:basedOn w:val="DefaultParagraphFont"/>
    <w:uiPriority w:val="99"/>
    <w:semiHidden/>
    <w:unhideWhenUsed/>
    <w:rsid w:val="00E12A03"/>
    <w:rPr>
      <w:color w:val="954F72" w:themeColor="followedHyperlink"/>
      <w:u w:val="single"/>
    </w:rPr>
  </w:style>
  <w:style w:type="table" w:styleId="TableGrid">
    <w:name w:val="Table Grid"/>
    <w:basedOn w:val="TableNormal"/>
    <w:uiPriority w:val="39"/>
    <w:rsid w:val="00EB6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44F98"/>
    <w:rPr>
      <w:color w:val="2B579A"/>
      <w:shd w:val="clear" w:color="auto" w:fill="E1DFDD"/>
    </w:rPr>
  </w:style>
  <w:style w:type="table" w:styleId="GridTable1Light">
    <w:name w:val="Grid Table 1 Light"/>
    <w:basedOn w:val="TableNormal"/>
    <w:uiPriority w:val="46"/>
    <w:rsid w:val="007E69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4935">
      <w:bodyDiv w:val="1"/>
      <w:marLeft w:val="0"/>
      <w:marRight w:val="0"/>
      <w:marTop w:val="0"/>
      <w:marBottom w:val="0"/>
      <w:divBdr>
        <w:top w:val="none" w:sz="0" w:space="0" w:color="auto"/>
        <w:left w:val="none" w:sz="0" w:space="0" w:color="auto"/>
        <w:bottom w:val="none" w:sz="0" w:space="0" w:color="auto"/>
        <w:right w:val="none" w:sz="0" w:space="0" w:color="auto"/>
      </w:divBdr>
    </w:div>
    <w:div w:id="103767616">
      <w:bodyDiv w:val="1"/>
      <w:marLeft w:val="0"/>
      <w:marRight w:val="0"/>
      <w:marTop w:val="0"/>
      <w:marBottom w:val="0"/>
      <w:divBdr>
        <w:top w:val="none" w:sz="0" w:space="0" w:color="auto"/>
        <w:left w:val="none" w:sz="0" w:space="0" w:color="auto"/>
        <w:bottom w:val="none" w:sz="0" w:space="0" w:color="auto"/>
        <w:right w:val="none" w:sz="0" w:space="0" w:color="auto"/>
      </w:divBdr>
    </w:div>
    <w:div w:id="200213602">
      <w:bodyDiv w:val="1"/>
      <w:marLeft w:val="0"/>
      <w:marRight w:val="0"/>
      <w:marTop w:val="0"/>
      <w:marBottom w:val="0"/>
      <w:divBdr>
        <w:top w:val="none" w:sz="0" w:space="0" w:color="auto"/>
        <w:left w:val="none" w:sz="0" w:space="0" w:color="auto"/>
        <w:bottom w:val="none" w:sz="0" w:space="0" w:color="auto"/>
        <w:right w:val="none" w:sz="0" w:space="0" w:color="auto"/>
      </w:divBdr>
    </w:div>
    <w:div w:id="291131965">
      <w:bodyDiv w:val="1"/>
      <w:marLeft w:val="0"/>
      <w:marRight w:val="0"/>
      <w:marTop w:val="0"/>
      <w:marBottom w:val="0"/>
      <w:divBdr>
        <w:top w:val="none" w:sz="0" w:space="0" w:color="auto"/>
        <w:left w:val="none" w:sz="0" w:space="0" w:color="auto"/>
        <w:bottom w:val="none" w:sz="0" w:space="0" w:color="auto"/>
        <w:right w:val="none" w:sz="0" w:space="0" w:color="auto"/>
      </w:divBdr>
    </w:div>
    <w:div w:id="470172184">
      <w:bodyDiv w:val="1"/>
      <w:marLeft w:val="0"/>
      <w:marRight w:val="0"/>
      <w:marTop w:val="0"/>
      <w:marBottom w:val="0"/>
      <w:divBdr>
        <w:top w:val="none" w:sz="0" w:space="0" w:color="auto"/>
        <w:left w:val="none" w:sz="0" w:space="0" w:color="auto"/>
        <w:bottom w:val="none" w:sz="0" w:space="0" w:color="auto"/>
        <w:right w:val="none" w:sz="0" w:space="0" w:color="auto"/>
      </w:divBdr>
    </w:div>
    <w:div w:id="594704190">
      <w:bodyDiv w:val="1"/>
      <w:marLeft w:val="0"/>
      <w:marRight w:val="0"/>
      <w:marTop w:val="0"/>
      <w:marBottom w:val="0"/>
      <w:divBdr>
        <w:top w:val="none" w:sz="0" w:space="0" w:color="auto"/>
        <w:left w:val="none" w:sz="0" w:space="0" w:color="auto"/>
        <w:bottom w:val="none" w:sz="0" w:space="0" w:color="auto"/>
        <w:right w:val="none" w:sz="0" w:space="0" w:color="auto"/>
      </w:divBdr>
    </w:div>
    <w:div w:id="690647834">
      <w:bodyDiv w:val="1"/>
      <w:marLeft w:val="0"/>
      <w:marRight w:val="0"/>
      <w:marTop w:val="0"/>
      <w:marBottom w:val="0"/>
      <w:divBdr>
        <w:top w:val="none" w:sz="0" w:space="0" w:color="auto"/>
        <w:left w:val="none" w:sz="0" w:space="0" w:color="auto"/>
        <w:bottom w:val="none" w:sz="0" w:space="0" w:color="auto"/>
        <w:right w:val="none" w:sz="0" w:space="0" w:color="auto"/>
      </w:divBdr>
    </w:div>
    <w:div w:id="819006322">
      <w:bodyDiv w:val="1"/>
      <w:marLeft w:val="0"/>
      <w:marRight w:val="0"/>
      <w:marTop w:val="0"/>
      <w:marBottom w:val="0"/>
      <w:divBdr>
        <w:top w:val="none" w:sz="0" w:space="0" w:color="auto"/>
        <w:left w:val="none" w:sz="0" w:space="0" w:color="auto"/>
        <w:bottom w:val="none" w:sz="0" w:space="0" w:color="auto"/>
        <w:right w:val="none" w:sz="0" w:space="0" w:color="auto"/>
      </w:divBdr>
    </w:div>
    <w:div w:id="856650684">
      <w:bodyDiv w:val="1"/>
      <w:marLeft w:val="0"/>
      <w:marRight w:val="0"/>
      <w:marTop w:val="0"/>
      <w:marBottom w:val="0"/>
      <w:divBdr>
        <w:top w:val="none" w:sz="0" w:space="0" w:color="auto"/>
        <w:left w:val="none" w:sz="0" w:space="0" w:color="auto"/>
        <w:bottom w:val="none" w:sz="0" w:space="0" w:color="auto"/>
        <w:right w:val="none" w:sz="0" w:space="0" w:color="auto"/>
      </w:divBdr>
    </w:div>
    <w:div w:id="890075713">
      <w:bodyDiv w:val="1"/>
      <w:marLeft w:val="0"/>
      <w:marRight w:val="0"/>
      <w:marTop w:val="0"/>
      <w:marBottom w:val="0"/>
      <w:divBdr>
        <w:top w:val="none" w:sz="0" w:space="0" w:color="auto"/>
        <w:left w:val="none" w:sz="0" w:space="0" w:color="auto"/>
        <w:bottom w:val="none" w:sz="0" w:space="0" w:color="auto"/>
        <w:right w:val="none" w:sz="0" w:space="0" w:color="auto"/>
      </w:divBdr>
    </w:div>
    <w:div w:id="1437872459">
      <w:bodyDiv w:val="1"/>
      <w:marLeft w:val="0"/>
      <w:marRight w:val="0"/>
      <w:marTop w:val="0"/>
      <w:marBottom w:val="0"/>
      <w:divBdr>
        <w:top w:val="none" w:sz="0" w:space="0" w:color="auto"/>
        <w:left w:val="none" w:sz="0" w:space="0" w:color="auto"/>
        <w:bottom w:val="none" w:sz="0" w:space="0" w:color="auto"/>
        <w:right w:val="none" w:sz="0" w:space="0" w:color="auto"/>
      </w:divBdr>
    </w:div>
    <w:div w:id="1538621020">
      <w:bodyDiv w:val="1"/>
      <w:marLeft w:val="0"/>
      <w:marRight w:val="0"/>
      <w:marTop w:val="0"/>
      <w:marBottom w:val="0"/>
      <w:divBdr>
        <w:top w:val="none" w:sz="0" w:space="0" w:color="auto"/>
        <w:left w:val="none" w:sz="0" w:space="0" w:color="auto"/>
        <w:bottom w:val="none" w:sz="0" w:space="0" w:color="auto"/>
        <w:right w:val="none" w:sz="0" w:space="0" w:color="auto"/>
      </w:divBdr>
    </w:div>
    <w:div w:id="1921139646">
      <w:bodyDiv w:val="1"/>
      <w:marLeft w:val="0"/>
      <w:marRight w:val="0"/>
      <w:marTop w:val="0"/>
      <w:marBottom w:val="0"/>
      <w:divBdr>
        <w:top w:val="none" w:sz="0" w:space="0" w:color="auto"/>
        <w:left w:val="none" w:sz="0" w:space="0" w:color="auto"/>
        <w:bottom w:val="none" w:sz="0" w:space="0" w:color="auto"/>
        <w:right w:val="none" w:sz="0" w:space="0" w:color="auto"/>
      </w:divBdr>
    </w:div>
    <w:div w:id="2005740886">
      <w:bodyDiv w:val="1"/>
      <w:marLeft w:val="0"/>
      <w:marRight w:val="0"/>
      <w:marTop w:val="0"/>
      <w:marBottom w:val="0"/>
      <w:divBdr>
        <w:top w:val="none" w:sz="0" w:space="0" w:color="auto"/>
        <w:left w:val="none" w:sz="0" w:space="0" w:color="auto"/>
        <w:bottom w:val="none" w:sz="0" w:space="0" w:color="auto"/>
        <w:right w:val="none" w:sz="0" w:space="0" w:color="auto"/>
      </w:divBdr>
    </w:div>
    <w:div w:id="21360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6dbd67cdfe1041eb"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settings" Target="settings.xml"/><Relationship Id="rId12" Type="http://schemas.openxmlformats.org/officeDocument/2006/relationships/hyperlink" Target="http://www.agriculture.vic.gov.au/livestockfarmmonitor"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henty@agriculture.vic.gov.au"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106DAFD3D442FF4B8E6C6192F751FA17" ma:contentTypeVersion="28" ma:contentTypeDescription="DEDJTR Document" ma:contentTypeScope="" ma:versionID="2f0f15849b7970bd0e5edeb9ea42a3d2">
  <xsd:schema xmlns:xsd="http://www.w3.org/2001/XMLSchema" xmlns:xs="http://www.w3.org/2001/XMLSchema" xmlns:p="http://schemas.microsoft.com/office/2006/metadata/properties" xmlns:ns2="1970f3ff-c7c3-4b73-8f0c-0bc260d159f3" xmlns:ns3="8755090f-653e-484b-bca3-4319d0e09c6e" xmlns:ns4="5ff07fab-7e36-4994-99ee-f24a261d0371" targetNamespace="http://schemas.microsoft.com/office/2006/metadata/properties" ma:root="true" ma:fieldsID="a1b8e2fc16b45a89ae4976f61a38882f" ns2:_="" ns3:_="" ns4:_="">
    <xsd:import namespace="1970f3ff-c7c3-4b73-8f0c-0bc260d159f3"/>
    <xsd:import namespace="8755090f-653e-484b-bca3-4319d0e09c6e"/>
    <xsd:import namespace="5ff07fab-7e36-4994-99ee-f24a261d0371"/>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5090f-653e-484b-bca3-4319d0e09c6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bc7ad3-1a34-49a2-8a75-acb52c42b7bb}" ma:internalName="TaxCatchAll" ma:showField="CatchAllData" ma:web="8755090f-653e-484b-bca3-4319d0e09c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bc7ad3-1a34-49a2-8a75-acb52c42b7bb}" ma:internalName="TaxCatchAllLabel" ma:readOnly="true" ma:showField="CatchAllDataLabel" ma:web="8755090f-653e-484b-bca3-4319d0e09c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f07fab-7e36-4994-99ee-f24a261d037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TaxCatchAll xmlns="8755090f-653e-484b-bca3-4319d0e09c6e" xsi:nil="true"/>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lcf76f155ced4ddcb4097134ff3c332f xmlns="5ff07fab-7e36-4994-99ee-f24a261d03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54C573-D8DB-4CCA-8818-7C09E7F0021A}">
  <ds:schemaRefs>
    <ds:schemaRef ds:uri="http://schemas.openxmlformats.org/officeDocument/2006/bibliography"/>
  </ds:schemaRefs>
</ds:datastoreItem>
</file>

<file path=customXml/itemProps2.xml><?xml version="1.0" encoding="utf-8"?>
<ds:datastoreItem xmlns:ds="http://schemas.openxmlformats.org/officeDocument/2006/customXml" ds:itemID="{F78AC442-85B1-4F7D-9438-B4B326577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8755090f-653e-484b-bca3-4319d0e09c6e"/>
    <ds:schemaRef ds:uri="5ff07fab-7e36-4994-99ee-f24a261d0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4B455-8F89-46AB-87E8-42CCDC88F18F}">
  <ds:schemaRefs>
    <ds:schemaRef ds:uri="http://schemas.microsoft.com/sharepoint/v3/contenttype/forms"/>
  </ds:schemaRefs>
</ds:datastoreItem>
</file>

<file path=customXml/itemProps4.xml><?xml version="1.0" encoding="utf-8"?>
<ds:datastoreItem xmlns:ds="http://schemas.openxmlformats.org/officeDocument/2006/customXml" ds:itemID="{DD81A8D0-24B4-4305-B9E5-90FD3D1CD59F}">
  <ds:schemaRefs>
    <ds:schemaRef ds:uri="http://schemas.microsoft.com/office/2006/metadata/properties"/>
    <ds:schemaRef ds:uri="http://schemas.microsoft.com/office/infopath/2007/PartnerControls"/>
    <ds:schemaRef ds:uri="1970f3ff-c7c3-4b73-8f0c-0bc260d159f3"/>
    <ds:schemaRef ds:uri="8755090f-653e-484b-bca3-4319d0e09c6e"/>
    <ds:schemaRef ds:uri="5ff07fab-7e36-4994-99ee-f24a261d0371"/>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4405</Words>
  <Characters>25114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29461</CharactersWithSpaces>
  <SharedDoc>false</SharedDoc>
  <HLinks>
    <vt:vector size="12" baseType="variant">
      <vt:variant>
        <vt:i4>6750328</vt:i4>
      </vt:variant>
      <vt:variant>
        <vt:i4>3</vt:i4>
      </vt:variant>
      <vt:variant>
        <vt:i4>0</vt:i4>
      </vt:variant>
      <vt:variant>
        <vt:i4>5</vt:i4>
      </vt:variant>
      <vt:variant>
        <vt:lpwstr>http://www.agriculture.vic.gov.au/livestockfarmmonitor</vt:lpwstr>
      </vt:variant>
      <vt:variant>
        <vt:lpwstr/>
      </vt:variant>
      <vt:variant>
        <vt:i4>6946817</vt:i4>
      </vt:variant>
      <vt:variant>
        <vt:i4>0</vt:i4>
      </vt:variant>
      <vt:variant>
        <vt:i4>0</vt:i4>
      </vt:variant>
      <vt:variant>
        <vt:i4>5</vt:i4>
      </vt:variant>
      <vt:variant>
        <vt:lpwstr>mailto:sam.henty@agriculture.vic.gov.au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 Henty (DJPR)</dc:creator>
  <cp:keywords/>
  <dc:description/>
  <cp:lastModifiedBy>Claire F Waterman (DJPR)</cp:lastModifiedBy>
  <cp:revision>25</cp:revision>
  <dcterms:created xsi:type="dcterms:W3CDTF">2022-12-06T02:49:00Z</dcterms:created>
  <dcterms:modified xsi:type="dcterms:W3CDTF">2022-12-15T05:06:00Z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0x010100611F6414DFB111E7BA88F9DF1743E31700106DAFD3D442FF4B8E6C6192F751FA17</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SharedWithUsers">
    <vt:lpwstr>28;#Claire F Waterman (DJPR);#239;#Julie P Harman (DJPR);#23;#Natalie C Nelson (DJPR);#313;#Lyndon J Kubeil (DJPR);#241;#Deb J Banks (DJPR);#163;#Sam J Henty (DJPR);#22;#Terry J Batey (DJPR);#141;#Kate A Linden (DJPR);#963;#Melanie S Curtis (DJPR);#497;#Sarah C Hetherington (DJPR)</vt:lpwstr>
  </property>
  <property fmtid="{D5CDD505-2E9C-101B-9397-08002B2CF9AE}" pid="9" name="MediaServiceImageTags">
    <vt:lpwstr/>
  </property>
  <property fmtid="{D5CDD505-2E9C-101B-9397-08002B2CF9AE}" pid="10" name="GrammarlyDocumentId">
    <vt:lpwstr>5a9b2544b9dbb32085dbe0f5f48b1544dd9297282b1819a92b2ce2d623ce4481</vt:lpwstr>
  </property>
  <property fmtid="{D5CDD505-2E9C-101B-9397-08002B2CF9AE}" pid="11" name="MSIP_Label_d00a4df9-c942-4b09-b23a-6c1023f6de27_Enabled">
    <vt:lpwstr>true</vt:lpwstr>
  </property>
  <property fmtid="{D5CDD505-2E9C-101B-9397-08002B2CF9AE}" pid="12" name="MSIP_Label_d00a4df9-c942-4b09-b23a-6c1023f6de27_SetDate">
    <vt:lpwstr>2022-12-06T02:49:26Z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15a096c8-a200-400a-8ba1-9e77abd7fe91</vt:lpwstr>
  </property>
  <property fmtid="{D5CDD505-2E9C-101B-9397-08002B2CF9AE}" pid="17" name="MSIP_Label_d00a4df9-c942-4b09-b23a-6c1023f6de27_ContentBits">
    <vt:lpwstr>3</vt:lpwstr>
  </property>
</Properties>
</file>