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BF" w:rsidRDefault="006C71BF" w:rsidP="0039482B">
      <w:pPr>
        <w:rPr>
          <w:rFonts w:ascii="Calibri" w:hAnsi="Calibri" w:cs="Calibri"/>
          <w:szCs w:val="24"/>
        </w:rPr>
      </w:pPr>
    </w:p>
    <w:p w:rsidR="00BC3829" w:rsidRDefault="00BC3829" w:rsidP="0039482B">
      <w:pPr>
        <w:rPr>
          <w:rFonts w:asciiTheme="minorHAnsi" w:hAnsiTheme="minorHAnsi" w:cstheme="minorHAnsi"/>
          <w:sz w:val="22"/>
          <w:szCs w:val="22"/>
        </w:rPr>
        <w:sectPr w:rsidR="00BC3829" w:rsidSect="002D75F4">
          <w:headerReference w:type="default" r:id="rId8"/>
          <w:footerReference w:type="default" r:id="rId9"/>
          <w:pgSz w:w="11906" w:h="16838"/>
          <w:pgMar w:top="3194" w:right="1418" w:bottom="1418" w:left="1418" w:header="1134" w:footer="720" w:gutter="0"/>
          <w:pgNumType w:start="1"/>
          <w:cols w:space="720"/>
        </w:sectPr>
      </w:pPr>
    </w:p>
    <w:p w:rsidR="00614031" w:rsidRPr="008A7CD9" w:rsidRDefault="00614031" w:rsidP="0039482B">
      <w:pPr>
        <w:rPr>
          <w:rFonts w:asciiTheme="minorHAnsi" w:hAnsiTheme="minorHAnsi" w:cstheme="minorHAnsi"/>
          <w:sz w:val="22"/>
          <w:szCs w:val="22"/>
        </w:rPr>
      </w:pPr>
    </w:p>
    <w:p w:rsidR="001E62C9" w:rsidRPr="00FB4223" w:rsidRDefault="001E62C9" w:rsidP="0039482B">
      <w:pPr>
        <w:tabs>
          <w:tab w:val="left" w:pos="6804"/>
        </w:tabs>
        <w:rPr>
          <w:rFonts w:asciiTheme="minorHAnsi" w:hAnsiTheme="minorHAnsi" w:cstheme="minorHAnsi"/>
          <w:sz w:val="18"/>
          <w:szCs w:val="18"/>
        </w:rPr>
      </w:pPr>
      <w:r w:rsidRPr="00FB4223">
        <w:rPr>
          <w:rFonts w:asciiTheme="minorHAnsi" w:hAnsiTheme="minorHAnsi" w:cstheme="minorHAnsi"/>
          <w:spacing w:val="10"/>
          <w:sz w:val="18"/>
          <w:szCs w:val="18"/>
        </w:rPr>
        <w:t xml:space="preserve">Ref: </w:t>
      </w:r>
      <w:r w:rsidR="001F622E">
        <w:rPr>
          <w:rFonts w:asciiTheme="minorHAnsi" w:hAnsiTheme="minorHAnsi" w:cstheme="minorHAnsi"/>
          <w:spacing w:val="10"/>
          <w:sz w:val="18"/>
          <w:szCs w:val="18"/>
        </w:rPr>
        <w:t>BMIN17004017R</w:t>
      </w:r>
    </w:p>
    <w:p w:rsidR="00614031" w:rsidRPr="00FB4223" w:rsidRDefault="00614031" w:rsidP="0039482B">
      <w:pPr>
        <w:rPr>
          <w:rFonts w:asciiTheme="minorHAnsi" w:hAnsiTheme="minorHAnsi" w:cstheme="minorHAnsi"/>
          <w:sz w:val="24"/>
          <w:szCs w:val="24"/>
        </w:rPr>
      </w:pPr>
    </w:p>
    <w:p w:rsidR="00334BC8" w:rsidRPr="00FB4223" w:rsidRDefault="00EA207E" w:rsidP="0039482B">
      <w:pPr>
        <w:rPr>
          <w:rFonts w:ascii="Calibri" w:hAnsi="Calibri" w:cs="Calibri"/>
          <w:sz w:val="24"/>
          <w:szCs w:val="24"/>
        </w:rPr>
      </w:pPr>
      <w:r w:rsidRPr="00FB4223">
        <w:rPr>
          <w:rFonts w:ascii="Calibri" w:hAnsi="Calibri" w:cs="Calibri"/>
          <w:sz w:val="24"/>
          <w:szCs w:val="24"/>
        </w:rPr>
        <w:t>Hon</w:t>
      </w:r>
      <w:r w:rsidR="00334BC8" w:rsidRPr="00FB422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B4223">
        <w:rPr>
          <w:rFonts w:ascii="Calibri" w:hAnsi="Calibri" w:cs="Calibri"/>
          <w:sz w:val="24"/>
          <w:szCs w:val="24"/>
        </w:rPr>
        <w:t>Jaala</w:t>
      </w:r>
      <w:proofErr w:type="spellEnd"/>
      <w:r w:rsidR="00334BC8" w:rsidRPr="00FB4223">
        <w:rPr>
          <w:rFonts w:ascii="Calibri" w:hAnsi="Calibri" w:cs="Calibri"/>
          <w:sz w:val="24"/>
          <w:szCs w:val="24"/>
        </w:rPr>
        <w:t xml:space="preserve"> </w:t>
      </w:r>
      <w:r w:rsidRPr="00FB4223">
        <w:rPr>
          <w:rFonts w:ascii="Calibri" w:hAnsi="Calibri" w:cs="Calibri"/>
          <w:sz w:val="24"/>
          <w:szCs w:val="24"/>
        </w:rPr>
        <w:t>Pulford</w:t>
      </w:r>
      <w:r w:rsidR="00334BC8" w:rsidRPr="00FB4223">
        <w:rPr>
          <w:rFonts w:ascii="Calibri" w:hAnsi="Calibri" w:cs="Calibri"/>
          <w:sz w:val="24"/>
          <w:szCs w:val="24"/>
        </w:rPr>
        <w:t xml:space="preserve"> </w:t>
      </w:r>
      <w:r w:rsidRPr="00FB4223">
        <w:rPr>
          <w:rFonts w:ascii="Calibri" w:hAnsi="Calibri" w:cs="Calibri"/>
          <w:sz w:val="24"/>
          <w:szCs w:val="24"/>
        </w:rPr>
        <w:t>MP</w:t>
      </w:r>
    </w:p>
    <w:p w:rsidR="00A72B78" w:rsidRPr="00FB4223" w:rsidRDefault="00EA207E" w:rsidP="0039482B">
      <w:pPr>
        <w:rPr>
          <w:rFonts w:ascii="Calibri" w:hAnsi="Calibri" w:cs="Calibri"/>
          <w:sz w:val="24"/>
          <w:szCs w:val="24"/>
        </w:rPr>
      </w:pPr>
      <w:r w:rsidRPr="00FB4223">
        <w:rPr>
          <w:rFonts w:ascii="Calibri" w:hAnsi="Calibri" w:cs="Calibri"/>
          <w:sz w:val="24"/>
          <w:szCs w:val="24"/>
        </w:rPr>
        <w:t>Minister for Agriculture</w:t>
      </w:r>
    </w:p>
    <w:p w:rsidR="00334BC8" w:rsidRPr="00FB4223" w:rsidRDefault="00EA207E" w:rsidP="0039482B">
      <w:pPr>
        <w:rPr>
          <w:rFonts w:ascii="Calibri" w:hAnsi="Calibri" w:cs="Calibri"/>
          <w:sz w:val="24"/>
          <w:szCs w:val="24"/>
        </w:rPr>
      </w:pPr>
      <w:bookmarkStart w:id="0" w:name="Address1"/>
      <w:r w:rsidRPr="00FB4223">
        <w:rPr>
          <w:rFonts w:ascii="Calibri" w:hAnsi="Calibri" w:cs="Calibri"/>
          <w:sz w:val="24"/>
          <w:szCs w:val="24"/>
        </w:rPr>
        <w:t>1 Spring Street</w:t>
      </w:r>
    </w:p>
    <w:bookmarkEnd w:id="0"/>
    <w:p w:rsidR="001E62C9" w:rsidRPr="00FB4223" w:rsidRDefault="00EA207E" w:rsidP="0039482B">
      <w:pPr>
        <w:rPr>
          <w:rFonts w:asciiTheme="minorHAnsi" w:hAnsiTheme="minorHAnsi" w:cstheme="minorHAnsi"/>
          <w:sz w:val="24"/>
          <w:szCs w:val="24"/>
        </w:rPr>
      </w:pPr>
      <w:r w:rsidRPr="00FB4223">
        <w:rPr>
          <w:rFonts w:ascii="Calibri" w:hAnsi="Calibri" w:cs="Calibri"/>
          <w:caps/>
          <w:sz w:val="24"/>
          <w:szCs w:val="24"/>
        </w:rPr>
        <w:t>MELBOURNE</w:t>
      </w:r>
      <w:r w:rsidR="00334BC8" w:rsidRPr="00FB4223">
        <w:rPr>
          <w:rFonts w:ascii="Calibri" w:hAnsi="Calibri" w:cs="Calibri"/>
          <w:caps/>
          <w:sz w:val="24"/>
          <w:szCs w:val="24"/>
        </w:rPr>
        <w:t xml:space="preserve">   </w:t>
      </w:r>
      <w:r w:rsidRPr="00FB4223">
        <w:rPr>
          <w:rFonts w:ascii="Calibri" w:hAnsi="Calibri" w:cs="Calibri"/>
          <w:caps/>
          <w:sz w:val="24"/>
          <w:szCs w:val="24"/>
        </w:rPr>
        <w:t>VIC</w:t>
      </w:r>
      <w:r w:rsidR="00334BC8" w:rsidRPr="00FB4223">
        <w:rPr>
          <w:rFonts w:ascii="Calibri" w:hAnsi="Calibri" w:cs="Calibri"/>
          <w:caps/>
          <w:sz w:val="24"/>
          <w:szCs w:val="24"/>
        </w:rPr>
        <w:t xml:space="preserve">   </w:t>
      </w:r>
      <w:r w:rsidRPr="00FB4223">
        <w:rPr>
          <w:rFonts w:ascii="Calibri" w:hAnsi="Calibri" w:cs="Calibri"/>
          <w:caps/>
          <w:sz w:val="24"/>
          <w:szCs w:val="24"/>
        </w:rPr>
        <w:t>3000</w:t>
      </w:r>
      <w:r w:rsidR="003C7451" w:rsidRPr="00FB4223">
        <w:rPr>
          <w:rFonts w:ascii="Calibri" w:hAnsi="Calibri" w:cs="Calibri"/>
          <w:caps/>
          <w:sz w:val="24"/>
          <w:szCs w:val="24"/>
        </w:rPr>
        <w:t xml:space="preserve"> </w:t>
      </w:r>
    </w:p>
    <w:p w:rsidR="001E62C9" w:rsidRPr="00FB4223" w:rsidRDefault="001E62C9" w:rsidP="0039482B">
      <w:pPr>
        <w:rPr>
          <w:rFonts w:asciiTheme="minorHAnsi" w:hAnsiTheme="minorHAnsi" w:cstheme="minorHAnsi"/>
          <w:sz w:val="24"/>
          <w:szCs w:val="24"/>
        </w:rPr>
      </w:pPr>
    </w:p>
    <w:p w:rsidR="00DF32F9" w:rsidRPr="00FB4223" w:rsidRDefault="00DF32F9" w:rsidP="0039482B">
      <w:pPr>
        <w:rPr>
          <w:rFonts w:asciiTheme="minorHAnsi" w:hAnsiTheme="minorHAnsi" w:cstheme="minorHAnsi"/>
          <w:sz w:val="24"/>
          <w:szCs w:val="24"/>
        </w:rPr>
      </w:pPr>
    </w:p>
    <w:p w:rsidR="001E62C9" w:rsidRPr="00FB4223" w:rsidRDefault="001E62C9" w:rsidP="0039482B">
      <w:pPr>
        <w:rPr>
          <w:rFonts w:asciiTheme="minorHAnsi" w:hAnsiTheme="minorHAnsi" w:cstheme="minorHAnsi"/>
          <w:sz w:val="24"/>
          <w:szCs w:val="24"/>
        </w:rPr>
      </w:pPr>
      <w:r w:rsidRPr="00FB4223">
        <w:rPr>
          <w:rFonts w:asciiTheme="minorHAnsi" w:hAnsiTheme="minorHAnsi" w:cstheme="minorHAnsi"/>
          <w:sz w:val="24"/>
          <w:szCs w:val="24"/>
        </w:rPr>
        <w:t xml:space="preserve">Dear </w:t>
      </w:r>
      <w:r w:rsidR="008D744A" w:rsidRPr="00FB4223">
        <w:rPr>
          <w:rFonts w:asciiTheme="minorHAnsi" w:hAnsiTheme="minorHAnsi" w:cstheme="minorHAnsi"/>
          <w:sz w:val="24"/>
          <w:szCs w:val="24"/>
        </w:rPr>
        <w:t>Minister</w:t>
      </w:r>
      <w:r w:rsidR="00EA207E" w:rsidRPr="00FB4223">
        <w:rPr>
          <w:rFonts w:asciiTheme="minorHAnsi" w:hAnsiTheme="minorHAnsi" w:cstheme="minorHAnsi"/>
          <w:sz w:val="24"/>
          <w:szCs w:val="24"/>
        </w:rPr>
        <w:t xml:space="preserve"> Pulford</w:t>
      </w:r>
      <w:r w:rsidR="00820010" w:rsidRPr="00FB4223">
        <w:rPr>
          <w:rFonts w:asciiTheme="minorHAnsi" w:hAnsiTheme="minorHAnsi" w:cstheme="minorHAnsi"/>
          <w:sz w:val="24"/>
          <w:szCs w:val="24"/>
        </w:rPr>
        <w:t>,</w:t>
      </w:r>
      <w:bookmarkStart w:id="1" w:name="_GoBack"/>
      <w:bookmarkEnd w:id="1"/>
    </w:p>
    <w:p w:rsidR="001E62C9" w:rsidRPr="00FB4223" w:rsidRDefault="001E62C9" w:rsidP="0039482B">
      <w:pPr>
        <w:rPr>
          <w:rFonts w:asciiTheme="minorHAnsi" w:hAnsiTheme="minorHAnsi" w:cstheme="minorHAnsi"/>
          <w:sz w:val="24"/>
          <w:szCs w:val="24"/>
        </w:rPr>
      </w:pPr>
    </w:p>
    <w:p w:rsidR="001E62C9" w:rsidRPr="00FB4223" w:rsidRDefault="00352936" w:rsidP="0039482B">
      <w:pPr>
        <w:rPr>
          <w:rFonts w:asciiTheme="minorHAnsi" w:hAnsiTheme="minorHAnsi" w:cstheme="minorHAnsi"/>
          <w:b/>
          <w:caps/>
          <w:sz w:val="24"/>
          <w:szCs w:val="24"/>
        </w:rPr>
      </w:pPr>
      <w:r w:rsidRPr="00FB4223">
        <w:rPr>
          <w:rFonts w:asciiTheme="minorHAnsi" w:hAnsiTheme="minorHAnsi" w:cstheme="minorHAnsi"/>
          <w:b/>
          <w:caps/>
          <w:sz w:val="24"/>
          <w:szCs w:val="24"/>
        </w:rPr>
        <w:t xml:space="preserve">MINISTERIAL STATEMENT OF EXPECTATIONS FOR </w:t>
      </w:r>
      <w:r w:rsidR="001F622E" w:rsidRPr="001F622E">
        <w:rPr>
          <w:rFonts w:asciiTheme="minorHAnsi" w:hAnsiTheme="minorHAnsi" w:cstheme="minorHAnsi"/>
          <w:b/>
          <w:caps/>
          <w:sz w:val="24"/>
          <w:szCs w:val="24"/>
        </w:rPr>
        <w:t>biosecurity, animal health and welfare</w:t>
      </w:r>
    </w:p>
    <w:p w:rsidR="001E62C9" w:rsidRPr="00FB4223" w:rsidRDefault="001E62C9" w:rsidP="0039482B">
      <w:pPr>
        <w:rPr>
          <w:rFonts w:asciiTheme="minorHAnsi" w:hAnsiTheme="minorHAnsi" w:cstheme="minorHAnsi"/>
        </w:rPr>
      </w:pPr>
    </w:p>
    <w:p w:rsidR="00352936" w:rsidRPr="001A2945" w:rsidRDefault="001E62C9" w:rsidP="00352936">
      <w:pPr>
        <w:rPr>
          <w:rFonts w:asciiTheme="minorHAnsi" w:hAnsiTheme="minorHAnsi" w:cstheme="minorHAnsi"/>
          <w:sz w:val="24"/>
          <w:szCs w:val="24"/>
        </w:rPr>
      </w:pPr>
      <w:r w:rsidRPr="00FB4223">
        <w:rPr>
          <w:rFonts w:asciiTheme="minorHAnsi" w:hAnsiTheme="minorHAnsi" w:cstheme="minorHAnsi"/>
          <w:sz w:val="24"/>
          <w:szCs w:val="24"/>
        </w:rPr>
        <w:t xml:space="preserve">Thank you for your </w:t>
      </w:r>
      <w:r w:rsidR="00352936" w:rsidRPr="00FB4223">
        <w:rPr>
          <w:rFonts w:asciiTheme="minorHAnsi" w:hAnsiTheme="minorHAnsi" w:cstheme="minorHAnsi"/>
          <w:sz w:val="24"/>
          <w:szCs w:val="24"/>
        </w:rPr>
        <w:t xml:space="preserve">Statement of Expectations </w:t>
      </w:r>
      <w:r w:rsidR="00820010" w:rsidRPr="00FB4223">
        <w:rPr>
          <w:rFonts w:asciiTheme="minorHAnsi" w:hAnsiTheme="minorHAnsi" w:cstheme="minorHAnsi"/>
          <w:sz w:val="24"/>
          <w:szCs w:val="24"/>
        </w:rPr>
        <w:t xml:space="preserve">dated </w:t>
      </w:r>
      <w:r w:rsidR="000B7CC6">
        <w:rPr>
          <w:rFonts w:asciiTheme="minorHAnsi" w:hAnsiTheme="minorHAnsi" w:cstheme="minorHAnsi"/>
          <w:sz w:val="24"/>
          <w:szCs w:val="24"/>
        </w:rPr>
        <w:t xml:space="preserve">6 January </w:t>
      </w:r>
      <w:r w:rsidR="00C13812">
        <w:rPr>
          <w:rFonts w:asciiTheme="minorHAnsi" w:hAnsiTheme="minorHAnsi" w:cstheme="minorHAnsi"/>
          <w:sz w:val="24"/>
          <w:szCs w:val="24"/>
        </w:rPr>
        <w:t>201</w:t>
      </w:r>
      <w:r w:rsidR="000B7CC6">
        <w:rPr>
          <w:rFonts w:asciiTheme="minorHAnsi" w:hAnsiTheme="minorHAnsi" w:cstheme="minorHAnsi"/>
          <w:sz w:val="24"/>
          <w:szCs w:val="24"/>
        </w:rPr>
        <w:t>8</w:t>
      </w:r>
      <w:r w:rsidR="00820010" w:rsidRPr="00FB4223">
        <w:rPr>
          <w:rFonts w:asciiTheme="minorHAnsi" w:hAnsiTheme="minorHAnsi" w:cstheme="minorHAnsi"/>
          <w:sz w:val="24"/>
          <w:szCs w:val="24"/>
        </w:rPr>
        <w:t xml:space="preserve"> </w:t>
      </w:r>
      <w:r w:rsidR="00352936" w:rsidRPr="00FB4223">
        <w:rPr>
          <w:rFonts w:asciiTheme="minorHAnsi" w:hAnsiTheme="minorHAnsi" w:cstheme="minorHAnsi"/>
          <w:sz w:val="24"/>
          <w:szCs w:val="24"/>
        </w:rPr>
        <w:t xml:space="preserve">for </w:t>
      </w:r>
      <w:r w:rsidR="00FC26AF" w:rsidRPr="00FB4223">
        <w:rPr>
          <w:rFonts w:asciiTheme="minorHAnsi" w:hAnsiTheme="minorHAnsi" w:cstheme="minorHAnsi"/>
          <w:sz w:val="24"/>
          <w:szCs w:val="24"/>
        </w:rPr>
        <w:t>Agriculture Victoria’s regulation of biosecurity</w:t>
      </w:r>
      <w:r w:rsidR="001C0C70">
        <w:rPr>
          <w:rFonts w:asciiTheme="minorHAnsi" w:hAnsiTheme="minorHAnsi" w:cstheme="minorHAnsi"/>
          <w:sz w:val="24"/>
          <w:szCs w:val="24"/>
        </w:rPr>
        <w:t>,</w:t>
      </w:r>
      <w:r w:rsidR="00FC26AF" w:rsidRPr="00FB4223">
        <w:rPr>
          <w:rFonts w:asciiTheme="minorHAnsi" w:hAnsiTheme="minorHAnsi" w:cstheme="minorHAnsi"/>
          <w:sz w:val="24"/>
          <w:szCs w:val="24"/>
        </w:rPr>
        <w:t xml:space="preserve"> animal health and welfare, </w:t>
      </w:r>
      <w:r w:rsidR="001C0C70">
        <w:rPr>
          <w:rFonts w:asciiTheme="minorHAnsi" w:hAnsiTheme="minorHAnsi" w:cstheme="minorHAnsi"/>
          <w:sz w:val="24"/>
          <w:szCs w:val="24"/>
        </w:rPr>
        <w:t xml:space="preserve">and domestic animals </w:t>
      </w:r>
      <w:r w:rsidR="00FC26AF" w:rsidRPr="00FB4223">
        <w:rPr>
          <w:rFonts w:asciiTheme="minorHAnsi" w:hAnsiTheme="minorHAnsi" w:cstheme="minorHAnsi"/>
          <w:sz w:val="24"/>
          <w:szCs w:val="24"/>
        </w:rPr>
        <w:t>within the Department of Economic Development, Jobs, Transport and Resources</w:t>
      </w:r>
      <w:r w:rsidR="00C011F6" w:rsidRPr="00FB4223">
        <w:rPr>
          <w:rFonts w:asciiTheme="minorHAnsi" w:hAnsiTheme="minorHAnsi" w:cstheme="minorHAnsi"/>
          <w:sz w:val="24"/>
          <w:szCs w:val="24"/>
        </w:rPr>
        <w:t xml:space="preserve"> (</w:t>
      </w:r>
      <w:r w:rsidR="001A2945">
        <w:rPr>
          <w:rFonts w:asciiTheme="minorHAnsi" w:hAnsiTheme="minorHAnsi" w:cstheme="minorHAnsi"/>
          <w:sz w:val="24"/>
          <w:szCs w:val="24"/>
        </w:rPr>
        <w:t>DEDJTR</w:t>
      </w:r>
      <w:r w:rsidR="00C011F6" w:rsidRPr="001A2945">
        <w:rPr>
          <w:rFonts w:asciiTheme="minorHAnsi" w:hAnsiTheme="minorHAnsi" w:cstheme="minorHAnsi"/>
          <w:sz w:val="24"/>
          <w:szCs w:val="24"/>
        </w:rPr>
        <w:t>).</w:t>
      </w:r>
    </w:p>
    <w:p w:rsidR="00FC26AF" w:rsidRPr="001A2945" w:rsidRDefault="00FC26AF" w:rsidP="00352936">
      <w:pPr>
        <w:rPr>
          <w:rFonts w:asciiTheme="minorHAnsi" w:hAnsiTheme="minorHAnsi" w:cstheme="minorHAnsi"/>
          <w:sz w:val="24"/>
          <w:szCs w:val="24"/>
        </w:rPr>
      </w:pPr>
    </w:p>
    <w:p w:rsidR="001E62C9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 xml:space="preserve">This letter confirms </w:t>
      </w:r>
      <w:r w:rsidR="00FB4223">
        <w:rPr>
          <w:rFonts w:asciiTheme="minorHAnsi" w:hAnsiTheme="minorHAnsi" w:cstheme="minorHAnsi"/>
          <w:sz w:val="24"/>
          <w:szCs w:val="24"/>
        </w:rPr>
        <w:t>our</w:t>
      </w:r>
      <w:r w:rsidRPr="001A2945">
        <w:rPr>
          <w:rFonts w:asciiTheme="minorHAnsi" w:hAnsiTheme="minorHAnsi" w:cstheme="minorHAnsi"/>
          <w:sz w:val="24"/>
          <w:szCs w:val="24"/>
        </w:rPr>
        <w:t xml:space="preserve"> commitment to continuing the improvement of </w:t>
      </w:r>
      <w:r w:rsidR="00FB4223">
        <w:rPr>
          <w:rFonts w:asciiTheme="minorHAnsi" w:hAnsiTheme="minorHAnsi" w:cstheme="minorHAnsi"/>
          <w:sz w:val="24"/>
          <w:szCs w:val="24"/>
        </w:rPr>
        <w:t>our</w:t>
      </w:r>
      <w:r w:rsidR="00FB4223" w:rsidRPr="001A2945">
        <w:rPr>
          <w:rFonts w:asciiTheme="minorHAnsi" w:hAnsiTheme="minorHAnsi" w:cstheme="minorHAnsi"/>
          <w:sz w:val="24"/>
          <w:szCs w:val="24"/>
        </w:rPr>
        <w:t xml:space="preserve"> </w:t>
      </w:r>
      <w:r w:rsidRPr="001A2945">
        <w:rPr>
          <w:rFonts w:asciiTheme="minorHAnsi" w:hAnsiTheme="minorHAnsi" w:cstheme="minorHAnsi"/>
          <w:sz w:val="24"/>
          <w:szCs w:val="24"/>
        </w:rPr>
        <w:t xml:space="preserve">regulatory performance in </w:t>
      </w:r>
      <w:r w:rsidR="000B7CC6" w:rsidRPr="000B7CC6">
        <w:rPr>
          <w:rFonts w:asciiTheme="minorHAnsi" w:hAnsiTheme="minorHAnsi" w:cstheme="minorHAnsi"/>
          <w:sz w:val="24"/>
          <w:szCs w:val="24"/>
        </w:rPr>
        <w:t>biosecurity, animal health and welfare, and domestic animals</w:t>
      </w:r>
      <w:r w:rsidR="006C6828" w:rsidRPr="001A2945">
        <w:rPr>
          <w:rFonts w:asciiTheme="minorHAnsi" w:hAnsiTheme="minorHAnsi" w:cstheme="minorHAnsi"/>
          <w:sz w:val="24"/>
          <w:szCs w:val="24"/>
        </w:rPr>
        <w:t>.</w:t>
      </w:r>
    </w:p>
    <w:p w:rsidR="001E62C9" w:rsidRPr="001A2945" w:rsidRDefault="001E62C9" w:rsidP="0039482B">
      <w:pPr>
        <w:rPr>
          <w:rFonts w:asciiTheme="minorHAnsi" w:hAnsiTheme="minorHAnsi" w:cstheme="minorHAnsi"/>
        </w:rPr>
      </w:pPr>
    </w:p>
    <w:p w:rsidR="00352936" w:rsidRPr="001A2945" w:rsidRDefault="00352936" w:rsidP="00352936">
      <w:pPr>
        <w:rPr>
          <w:rFonts w:asciiTheme="minorHAnsi" w:hAnsiTheme="minorHAnsi" w:cstheme="minorHAnsi"/>
          <w:b/>
          <w:sz w:val="24"/>
          <w:szCs w:val="24"/>
        </w:rPr>
      </w:pPr>
      <w:r w:rsidRPr="001A2945">
        <w:rPr>
          <w:rFonts w:asciiTheme="minorHAnsi" w:hAnsiTheme="minorHAnsi" w:cstheme="minorHAnsi"/>
          <w:b/>
          <w:sz w:val="24"/>
          <w:szCs w:val="24"/>
        </w:rPr>
        <w:t>Improvements and Targets</w:t>
      </w:r>
    </w:p>
    <w:p w:rsidR="00352936" w:rsidRPr="001A2945" w:rsidRDefault="00352936" w:rsidP="00352936">
      <w:pPr>
        <w:rPr>
          <w:rFonts w:ascii="Arial" w:hAnsi="Arial" w:cs="Tahoma"/>
          <w:lang w:eastAsia="en-AU"/>
        </w:rPr>
      </w:pPr>
    </w:p>
    <w:p w:rsidR="00352936" w:rsidRPr="001A2945" w:rsidRDefault="00A75BDF" w:rsidP="00352936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>Agriculture Victoria</w:t>
      </w:r>
      <w:r w:rsidR="00352936" w:rsidRPr="001A2945">
        <w:rPr>
          <w:rFonts w:asciiTheme="minorHAnsi" w:hAnsiTheme="minorHAnsi" w:cstheme="minorHAnsi"/>
          <w:sz w:val="24"/>
          <w:szCs w:val="24"/>
        </w:rPr>
        <w:t xml:space="preserve"> will meet your priorities for improvement through the initiatives outlined below.</w:t>
      </w:r>
    </w:p>
    <w:p w:rsidR="00352936" w:rsidRPr="001A2945" w:rsidRDefault="00352936" w:rsidP="00352936">
      <w:pPr>
        <w:rPr>
          <w:rFonts w:ascii="Arial" w:hAnsi="Arial" w:cs="Tahoma"/>
          <w:lang w:eastAsia="en-AU"/>
        </w:rPr>
      </w:pPr>
    </w:p>
    <w:p w:rsidR="00352936" w:rsidRPr="001A2945" w:rsidRDefault="00FC26AF" w:rsidP="0035293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1A2945">
        <w:rPr>
          <w:rFonts w:asciiTheme="minorHAnsi" w:hAnsiTheme="minorHAnsi" w:cstheme="minorHAnsi"/>
          <w:b/>
          <w:i/>
          <w:sz w:val="24"/>
          <w:szCs w:val="24"/>
        </w:rPr>
        <w:t>Timeliness</w:t>
      </w: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</w:p>
    <w:p w:rsidR="00FC26AF" w:rsidRPr="001A2945" w:rsidRDefault="00FC26AF" w:rsidP="00FC26AF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>Agriculture Victoria will prepare principles to guide and improve administrative processes.</w:t>
      </w:r>
    </w:p>
    <w:p w:rsidR="00FC26AF" w:rsidRPr="001A2945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1A2945" w:rsidRDefault="00A75BDF" w:rsidP="00FC26AF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>Agriculture Victoria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 is </w:t>
      </w:r>
      <w:r w:rsidRPr="001A2945">
        <w:rPr>
          <w:rFonts w:asciiTheme="minorHAnsi" w:hAnsiTheme="minorHAnsi" w:cstheme="minorHAnsi"/>
          <w:sz w:val="24"/>
          <w:szCs w:val="24"/>
        </w:rPr>
        <w:t xml:space="preserve">providing </w:t>
      </w:r>
      <w:r w:rsidR="00E15F41" w:rsidRPr="001A2945">
        <w:rPr>
          <w:rFonts w:asciiTheme="minorHAnsi" w:hAnsiTheme="minorHAnsi" w:cstheme="minorHAnsi"/>
          <w:sz w:val="24"/>
          <w:szCs w:val="24"/>
        </w:rPr>
        <w:t>advi</w:t>
      </w:r>
      <w:r w:rsidRPr="001A2945">
        <w:rPr>
          <w:rFonts w:asciiTheme="minorHAnsi" w:hAnsiTheme="minorHAnsi" w:cstheme="minorHAnsi"/>
          <w:sz w:val="24"/>
          <w:szCs w:val="24"/>
        </w:rPr>
        <w:t xml:space="preserve">ce to regulated parties on </w:t>
      </w:r>
      <w:r w:rsidR="00E15F41" w:rsidRPr="001A2945">
        <w:rPr>
          <w:rFonts w:asciiTheme="minorHAnsi" w:hAnsiTheme="minorHAnsi" w:cstheme="minorHAnsi"/>
          <w:sz w:val="24"/>
          <w:szCs w:val="24"/>
        </w:rPr>
        <w:t xml:space="preserve">expected decision timeframes for </w:t>
      </w:r>
      <w:r w:rsidR="0005416F" w:rsidRPr="001A2945">
        <w:rPr>
          <w:rFonts w:asciiTheme="minorHAnsi" w:hAnsiTheme="minorHAnsi" w:cstheme="minorHAnsi"/>
          <w:sz w:val="24"/>
          <w:szCs w:val="24"/>
        </w:rPr>
        <w:t xml:space="preserve">an increasing number of </w:t>
      </w:r>
      <w:proofErr w:type="gramStart"/>
      <w:r w:rsidR="0005416F" w:rsidRPr="001A2945">
        <w:rPr>
          <w:rFonts w:asciiTheme="minorHAnsi" w:hAnsiTheme="minorHAnsi" w:cstheme="minorHAnsi"/>
          <w:sz w:val="24"/>
          <w:szCs w:val="24"/>
        </w:rPr>
        <w:t>licence</w:t>
      </w:r>
      <w:proofErr w:type="gramEnd"/>
      <w:r w:rsidR="0005416F" w:rsidRPr="001A2945">
        <w:rPr>
          <w:rFonts w:asciiTheme="minorHAnsi" w:hAnsiTheme="minorHAnsi" w:cstheme="minorHAnsi"/>
          <w:sz w:val="24"/>
          <w:szCs w:val="24"/>
        </w:rPr>
        <w:t>, permit, certification and registration administrative processes</w:t>
      </w:r>
      <w:r w:rsidR="00E15F41" w:rsidRPr="001A2945">
        <w:rPr>
          <w:rFonts w:asciiTheme="minorHAnsi" w:hAnsiTheme="minorHAnsi" w:cstheme="minorHAnsi"/>
          <w:sz w:val="24"/>
          <w:szCs w:val="24"/>
        </w:rPr>
        <w:t xml:space="preserve">. </w:t>
      </w:r>
      <w:r w:rsidR="00FC26AF" w:rsidRPr="001A2945">
        <w:rPr>
          <w:rFonts w:asciiTheme="minorHAnsi" w:hAnsiTheme="minorHAnsi" w:cstheme="minorHAnsi"/>
          <w:sz w:val="24"/>
          <w:szCs w:val="24"/>
        </w:rPr>
        <w:t>Approximately 40 types of permits, licen</w:t>
      </w:r>
      <w:r w:rsidR="00C011F6" w:rsidRPr="001A2945">
        <w:rPr>
          <w:rFonts w:asciiTheme="minorHAnsi" w:hAnsiTheme="minorHAnsi" w:cstheme="minorHAnsi"/>
          <w:sz w:val="24"/>
          <w:szCs w:val="24"/>
        </w:rPr>
        <w:t>c</w:t>
      </w:r>
      <w:r w:rsidR="00FC26AF" w:rsidRPr="001A2945">
        <w:rPr>
          <w:rFonts w:asciiTheme="minorHAnsi" w:hAnsiTheme="minorHAnsi" w:cstheme="minorHAnsi"/>
          <w:sz w:val="24"/>
          <w:szCs w:val="24"/>
        </w:rPr>
        <w:t>es, approvals, certification</w:t>
      </w:r>
      <w:r w:rsidR="000B7CC6">
        <w:rPr>
          <w:rFonts w:asciiTheme="minorHAnsi" w:hAnsiTheme="minorHAnsi" w:cstheme="minorHAnsi"/>
          <w:sz w:val="24"/>
          <w:szCs w:val="24"/>
        </w:rPr>
        <w:t>s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 and registration</w:t>
      </w:r>
      <w:r w:rsidR="000B7CC6">
        <w:rPr>
          <w:rFonts w:asciiTheme="minorHAnsi" w:hAnsiTheme="minorHAnsi" w:cstheme="minorHAnsi"/>
          <w:sz w:val="24"/>
          <w:szCs w:val="24"/>
        </w:rPr>
        <w:t>s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 are </w:t>
      </w:r>
      <w:r w:rsidR="00C011F6" w:rsidRPr="001A2945">
        <w:rPr>
          <w:rFonts w:asciiTheme="minorHAnsi" w:hAnsiTheme="minorHAnsi" w:cstheme="minorHAnsi"/>
          <w:sz w:val="24"/>
          <w:szCs w:val="24"/>
        </w:rPr>
        <w:t xml:space="preserve">currently </w:t>
      </w:r>
      <w:r w:rsidRPr="001A2945">
        <w:rPr>
          <w:rFonts w:asciiTheme="minorHAnsi" w:hAnsiTheme="minorHAnsi" w:cstheme="minorHAnsi"/>
          <w:sz w:val="24"/>
          <w:szCs w:val="24"/>
        </w:rPr>
        <w:t>administered by Agriculture Victoria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, and seven </w:t>
      </w:r>
      <w:r w:rsidR="00C011F6" w:rsidRPr="001A2945">
        <w:rPr>
          <w:rFonts w:asciiTheme="minorHAnsi" w:hAnsiTheme="minorHAnsi" w:cstheme="minorHAnsi"/>
          <w:sz w:val="24"/>
          <w:szCs w:val="24"/>
        </w:rPr>
        <w:t>of these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 are </w:t>
      </w:r>
      <w:r w:rsidRPr="001A2945">
        <w:rPr>
          <w:rFonts w:asciiTheme="minorHAnsi" w:hAnsiTheme="minorHAnsi" w:cstheme="minorHAnsi"/>
          <w:sz w:val="24"/>
          <w:szCs w:val="24"/>
        </w:rPr>
        <w:t xml:space="preserve">currently 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available online to </w:t>
      </w:r>
      <w:r w:rsidR="00C011F6" w:rsidRPr="001A2945">
        <w:rPr>
          <w:rFonts w:asciiTheme="minorHAnsi" w:hAnsiTheme="minorHAnsi" w:cstheme="minorHAnsi"/>
          <w:sz w:val="24"/>
          <w:szCs w:val="24"/>
        </w:rPr>
        <w:t>regulated parties and end users.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D2E0C" w:rsidRDefault="008D2E0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A75BDF" w:rsidRPr="00FB4223" w:rsidRDefault="00A75BDF" w:rsidP="00FC26A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0BE4" w:rsidRPr="00FB4223" w:rsidTr="006C6828"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FB4223" w:rsidRDefault="00FC26AF" w:rsidP="006C682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FB4223">
              <w:rPr>
                <w:rFonts w:eastAsia="Times New Roman" w:cstheme="minorHAnsi"/>
                <w:b/>
                <w:sz w:val="24"/>
                <w:szCs w:val="24"/>
              </w:rPr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FB4223" w:rsidRDefault="00FC26AF" w:rsidP="006C682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FB4223">
              <w:rPr>
                <w:rFonts w:eastAsia="Times New Roman" w:cstheme="minorHAnsi"/>
                <w:b/>
                <w:sz w:val="24"/>
                <w:szCs w:val="24"/>
              </w:rPr>
              <w:t xml:space="preserve">Target </w:t>
            </w:r>
          </w:p>
        </w:tc>
      </w:tr>
      <w:tr w:rsidR="00A20BE4" w:rsidRPr="00A20BE4" w:rsidTr="006C6828">
        <w:tc>
          <w:tcPr>
            <w:tcW w:w="4621" w:type="dxa"/>
            <w:vAlign w:val="center"/>
          </w:tcPr>
          <w:p w:rsidR="00FC26AF" w:rsidRPr="00FB4223" w:rsidRDefault="00FC26AF" w:rsidP="00C51FAF">
            <w:pPr>
              <w:rPr>
                <w:rFonts w:eastAsia="Times New Roman" w:cstheme="minorHAnsi"/>
                <w:sz w:val="24"/>
                <w:szCs w:val="24"/>
              </w:rPr>
            </w:pPr>
            <w:r w:rsidRPr="00FF34F6">
              <w:rPr>
                <w:rFonts w:eastAsia="Times New Roman" w:cstheme="minorHAnsi"/>
                <w:sz w:val="24"/>
                <w:szCs w:val="24"/>
              </w:rPr>
              <w:t xml:space="preserve">Develop principles to guide </w:t>
            </w:r>
            <w:r w:rsidR="00A75BDF" w:rsidRPr="00FF34F6">
              <w:rPr>
                <w:rFonts w:eastAsia="Times New Roman" w:cstheme="minorHAnsi"/>
                <w:sz w:val="24"/>
                <w:szCs w:val="24"/>
              </w:rPr>
              <w:t xml:space="preserve">the 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 xml:space="preserve">design and </w:t>
            </w:r>
            <w:r w:rsidR="00FF34F6">
              <w:rPr>
                <w:rFonts w:eastAsia="Times New Roman" w:cstheme="minorHAnsi"/>
                <w:sz w:val="24"/>
                <w:szCs w:val="24"/>
              </w:rPr>
              <w:t>implementation</w:t>
            </w:r>
            <w:r w:rsidR="00FF34F6" w:rsidRPr="00FF34F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 xml:space="preserve">of </w:t>
            </w:r>
            <w:r w:rsidR="00FF34F6">
              <w:rPr>
                <w:rFonts w:eastAsia="Times New Roman" w:cstheme="minorHAnsi"/>
                <w:sz w:val="24"/>
                <w:szCs w:val="24"/>
              </w:rPr>
              <w:t xml:space="preserve">digital 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>administrative processes</w:t>
            </w:r>
            <w:r w:rsidR="00996263" w:rsidRPr="00FB422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501EE">
              <w:rPr>
                <w:rFonts w:eastAsia="Times New Roman" w:cstheme="minorHAnsi"/>
                <w:sz w:val="24"/>
                <w:szCs w:val="24"/>
              </w:rPr>
              <w:t>for applications and information management</w:t>
            </w:r>
            <w:r w:rsidR="00C51FAF">
              <w:rPr>
                <w:rFonts w:eastAsia="Times New Roman" w:cstheme="minorHAnsi"/>
                <w:sz w:val="24"/>
                <w:szCs w:val="24"/>
              </w:rPr>
              <w:t>, including e-capability and information provision</w:t>
            </w:r>
            <w:r w:rsidR="007501E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FC26AF" w:rsidRPr="00FF34F6" w:rsidRDefault="00FC26AF" w:rsidP="0005416F">
            <w:pPr>
              <w:rPr>
                <w:rFonts w:eastAsia="Times New Roman" w:cstheme="minorHAnsi"/>
                <w:sz w:val="24"/>
                <w:szCs w:val="24"/>
              </w:rPr>
            </w:pPr>
            <w:r w:rsidRPr="00FF34F6">
              <w:rPr>
                <w:rFonts w:eastAsia="Times New Roman" w:cstheme="minorHAnsi"/>
                <w:sz w:val="24"/>
                <w:szCs w:val="24"/>
              </w:rPr>
              <w:t>3</w:t>
            </w:r>
            <w:r w:rsidR="0005416F" w:rsidRPr="00FF34F6">
              <w:rPr>
                <w:rFonts w:eastAsia="Times New Roman" w:cstheme="minorHAnsi"/>
                <w:sz w:val="24"/>
                <w:szCs w:val="24"/>
              </w:rPr>
              <w:t>0 June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 xml:space="preserve"> 2018 </w:t>
            </w:r>
          </w:p>
        </w:tc>
      </w:tr>
      <w:tr w:rsidR="00A20BE4" w:rsidRPr="00A20BE4" w:rsidTr="006C6828">
        <w:tc>
          <w:tcPr>
            <w:tcW w:w="4621" w:type="dxa"/>
            <w:vAlign w:val="center"/>
          </w:tcPr>
          <w:p w:rsidR="00FC26AF" w:rsidRPr="00A20BE4" w:rsidRDefault="00F67278" w:rsidP="000B7CC6">
            <w:pPr>
              <w:rPr>
                <w:rFonts w:eastAsia="Times New Roman" w:cstheme="minorHAnsi"/>
                <w:sz w:val="24"/>
                <w:szCs w:val="24"/>
              </w:rPr>
            </w:pPr>
            <w:r w:rsidRPr="00FF34F6">
              <w:rPr>
                <w:rFonts w:eastAsia="Times New Roman" w:cstheme="minorHAnsi"/>
                <w:sz w:val="24"/>
                <w:szCs w:val="24"/>
              </w:rPr>
              <w:t xml:space="preserve">Prioritise online </w:t>
            </w:r>
            <w:r w:rsidR="000B7CC6">
              <w:rPr>
                <w:rFonts w:eastAsia="Times New Roman" w:cstheme="minorHAnsi"/>
                <w:sz w:val="24"/>
                <w:szCs w:val="24"/>
              </w:rPr>
              <w:t>capability for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 xml:space="preserve"> the remaining 33 licence, permit, certification, and registration application</w:t>
            </w:r>
            <w:r w:rsidR="000B7CC6">
              <w:rPr>
                <w:rFonts w:eastAsia="Times New Roman" w:cstheme="minorHAnsi"/>
                <w:sz w:val="24"/>
                <w:szCs w:val="24"/>
              </w:rPr>
              <w:t xml:space="preserve"> processes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 xml:space="preserve"> by regulated parties.</w:t>
            </w:r>
          </w:p>
        </w:tc>
        <w:tc>
          <w:tcPr>
            <w:tcW w:w="4621" w:type="dxa"/>
            <w:vAlign w:val="center"/>
          </w:tcPr>
          <w:p w:rsidR="00FC26AF" w:rsidRPr="00A20BE4" w:rsidRDefault="00FC26AF" w:rsidP="00EA2F25">
            <w:pPr>
              <w:rPr>
                <w:rFonts w:eastAsia="Times New Roman" w:cstheme="minorHAnsi"/>
                <w:sz w:val="24"/>
                <w:szCs w:val="24"/>
              </w:rPr>
            </w:pPr>
            <w:r w:rsidRPr="00A20BE4">
              <w:rPr>
                <w:rFonts w:cstheme="minorHAnsi"/>
                <w:sz w:val="24"/>
                <w:szCs w:val="24"/>
              </w:rPr>
              <w:t>3</w:t>
            </w:r>
            <w:r w:rsidR="00EA2F25" w:rsidRPr="00A20BE4">
              <w:rPr>
                <w:rFonts w:cstheme="minorHAnsi"/>
                <w:sz w:val="24"/>
                <w:szCs w:val="24"/>
              </w:rPr>
              <w:t>1</w:t>
            </w:r>
            <w:r w:rsidRPr="00A20BE4">
              <w:rPr>
                <w:rFonts w:cstheme="minorHAnsi"/>
                <w:sz w:val="24"/>
                <w:szCs w:val="24"/>
              </w:rPr>
              <w:t xml:space="preserve"> </w:t>
            </w:r>
            <w:r w:rsidR="0005416F" w:rsidRPr="00A20BE4">
              <w:rPr>
                <w:rFonts w:cstheme="minorHAnsi"/>
                <w:sz w:val="24"/>
                <w:szCs w:val="24"/>
              </w:rPr>
              <w:t xml:space="preserve">December </w:t>
            </w:r>
            <w:r w:rsidRPr="00A20BE4">
              <w:rPr>
                <w:rFonts w:cstheme="minorHAnsi"/>
                <w:sz w:val="24"/>
                <w:szCs w:val="24"/>
              </w:rPr>
              <w:t xml:space="preserve">2018 </w:t>
            </w:r>
          </w:p>
        </w:tc>
      </w:tr>
      <w:tr w:rsidR="00F67278" w:rsidRPr="00F67278" w:rsidTr="006C6828">
        <w:tc>
          <w:tcPr>
            <w:tcW w:w="4621" w:type="dxa"/>
            <w:vAlign w:val="center"/>
          </w:tcPr>
          <w:p w:rsidR="00FC26AF" w:rsidRPr="00C96EDF" w:rsidRDefault="00FC26AF" w:rsidP="000B7CC6">
            <w:pPr>
              <w:rPr>
                <w:rFonts w:eastAsia="Times New Roman" w:cstheme="minorHAnsi"/>
                <w:sz w:val="24"/>
                <w:szCs w:val="24"/>
              </w:rPr>
            </w:pPr>
            <w:r w:rsidRPr="00F67278">
              <w:rPr>
                <w:rFonts w:cstheme="minorHAnsi"/>
                <w:sz w:val="24"/>
                <w:szCs w:val="24"/>
              </w:rPr>
              <w:t xml:space="preserve">Increase the </w:t>
            </w:r>
            <w:r w:rsidR="00F1550F" w:rsidRPr="00F67278">
              <w:rPr>
                <w:rFonts w:cstheme="minorHAnsi"/>
                <w:sz w:val="24"/>
                <w:szCs w:val="24"/>
              </w:rPr>
              <w:t xml:space="preserve">number </w:t>
            </w:r>
            <w:r w:rsidRPr="00F67278">
              <w:rPr>
                <w:rFonts w:cstheme="minorHAnsi"/>
                <w:sz w:val="24"/>
                <w:szCs w:val="24"/>
              </w:rPr>
              <w:t>of biosecurity application processes that are available online</w:t>
            </w:r>
            <w:r w:rsidR="00D15C9B">
              <w:rPr>
                <w:rFonts w:cstheme="minorHAnsi"/>
                <w:sz w:val="24"/>
                <w:szCs w:val="24"/>
              </w:rPr>
              <w:t xml:space="preserve"> to at least 10</w:t>
            </w:r>
            <w:r w:rsidRPr="00F67278">
              <w:rPr>
                <w:rFonts w:cstheme="minorHAnsi"/>
                <w:sz w:val="24"/>
                <w:szCs w:val="24"/>
              </w:rPr>
              <w:t xml:space="preserve">, focussing on </w:t>
            </w:r>
            <w:r w:rsidR="000B7CC6">
              <w:rPr>
                <w:rFonts w:eastAsia="Times New Roman" w:cstheme="minorHAnsi"/>
                <w:sz w:val="24"/>
                <w:szCs w:val="24"/>
              </w:rPr>
              <w:t>identified</w:t>
            </w:r>
            <w:r w:rsidR="000B7CC6" w:rsidRPr="00F67278">
              <w:rPr>
                <w:rFonts w:cstheme="minorHAnsi"/>
                <w:sz w:val="24"/>
                <w:szCs w:val="24"/>
              </w:rPr>
              <w:t xml:space="preserve"> </w:t>
            </w:r>
            <w:r w:rsidRPr="00F67278">
              <w:rPr>
                <w:rFonts w:cstheme="minorHAnsi"/>
                <w:sz w:val="24"/>
                <w:szCs w:val="24"/>
              </w:rPr>
              <w:t>priority</w:t>
            </w:r>
            <w:r w:rsidR="00B86E65" w:rsidRPr="00F67278">
              <w:rPr>
                <w:rFonts w:cstheme="minorHAnsi"/>
                <w:sz w:val="24"/>
                <w:szCs w:val="24"/>
              </w:rPr>
              <w:t xml:space="preserve"> </w:t>
            </w:r>
            <w:r w:rsidR="00996263" w:rsidRPr="00F67278">
              <w:rPr>
                <w:rFonts w:cstheme="minorHAnsi"/>
                <w:sz w:val="24"/>
                <w:szCs w:val="24"/>
              </w:rPr>
              <w:t>areas</w:t>
            </w:r>
            <w:r w:rsidR="00EA2F25" w:rsidRPr="00C96ED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FC26AF" w:rsidRPr="00FF34F6" w:rsidRDefault="00FC26AF" w:rsidP="006C6828">
            <w:pPr>
              <w:rPr>
                <w:rFonts w:eastAsia="Times New Roman" w:cstheme="minorHAnsi"/>
                <w:sz w:val="24"/>
                <w:szCs w:val="24"/>
              </w:rPr>
            </w:pPr>
            <w:r w:rsidRPr="00FF34F6">
              <w:rPr>
                <w:rFonts w:eastAsia="Times New Roman" w:cstheme="minorHAnsi"/>
                <w:sz w:val="24"/>
                <w:szCs w:val="24"/>
              </w:rPr>
              <w:t xml:space="preserve">30 June 2019 </w:t>
            </w:r>
          </w:p>
        </w:tc>
      </w:tr>
      <w:tr w:rsidR="00A20BE4" w:rsidRPr="008A7CD9" w:rsidTr="006C6828">
        <w:tc>
          <w:tcPr>
            <w:tcW w:w="4621" w:type="dxa"/>
            <w:vAlign w:val="center"/>
          </w:tcPr>
          <w:p w:rsidR="00FC26AF" w:rsidRPr="001A2945" w:rsidRDefault="00F67278" w:rsidP="008D2E0C">
            <w:pPr>
              <w:rPr>
                <w:rFonts w:eastAsia="Times New Roman" w:cstheme="minorHAnsi"/>
                <w:sz w:val="24"/>
                <w:szCs w:val="24"/>
              </w:rPr>
            </w:pPr>
            <w:r w:rsidRPr="00963507">
              <w:rPr>
                <w:rFonts w:eastAsia="Times New Roman" w:cstheme="minorHAnsi"/>
                <w:sz w:val="24"/>
                <w:szCs w:val="24"/>
              </w:rPr>
              <w:t>100</w:t>
            </w:r>
            <w:r w:rsidR="008D2E0C">
              <w:rPr>
                <w:rFonts w:eastAsia="Times New Roman" w:cstheme="minorHAnsi"/>
                <w:sz w:val="24"/>
                <w:szCs w:val="24"/>
              </w:rPr>
              <w:t xml:space="preserve"> per cent</w:t>
            </w:r>
            <w:r w:rsidRPr="00963507">
              <w:rPr>
                <w:rFonts w:eastAsia="Times New Roman" w:cstheme="minorHAnsi"/>
                <w:sz w:val="24"/>
                <w:szCs w:val="24"/>
              </w:rPr>
              <w:t xml:space="preserve"> of n</w:t>
            </w:r>
            <w:r w:rsidR="00FC26AF" w:rsidRPr="00C96EDF">
              <w:rPr>
                <w:rFonts w:eastAsia="Times New Roman" w:cstheme="minorHAnsi"/>
                <w:sz w:val="24"/>
                <w:szCs w:val="24"/>
              </w:rPr>
              <w:t>ew application processes</w:t>
            </w:r>
            <w:r w:rsidRPr="00963507">
              <w:rPr>
                <w:rFonts w:eastAsia="Times New Roman" w:cstheme="minorHAnsi"/>
                <w:sz w:val="24"/>
                <w:szCs w:val="24"/>
              </w:rPr>
              <w:t xml:space="preserve"> introduced will</w:t>
            </w:r>
            <w:r w:rsidR="00FC26AF" w:rsidRPr="00C96EDF">
              <w:rPr>
                <w:rFonts w:eastAsia="Times New Roman" w:cstheme="minorHAnsi"/>
                <w:sz w:val="24"/>
                <w:szCs w:val="24"/>
              </w:rPr>
              <w:t xml:space="preserve"> be </w:t>
            </w:r>
            <w:r w:rsidRPr="00963507">
              <w:rPr>
                <w:rFonts w:eastAsia="Times New Roman" w:cstheme="minorHAnsi"/>
                <w:sz w:val="24"/>
                <w:szCs w:val="24"/>
              </w:rPr>
              <w:t>made available</w:t>
            </w:r>
            <w:r w:rsidRPr="00C96ED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FC26AF" w:rsidRPr="00C96EDF">
              <w:rPr>
                <w:rFonts w:eastAsia="Times New Roman" w:cstheme="minorHAnsi"/>
                <w:sz w:val="24"/>
                <w:szCs w:val="24"/>
              </w:rPr>
              <w:t xml:space="preserve">online </w:t>
            </w:r>
            <w:r w:rsidR="00954961" w:rsidRPr="001A2945">
              <w:rPr>
                <w:rFonts w:eastAsia="Times New Roman" w:cstheme="minorHAnsi"/>
                <w:sz w:val="24"/>
                <w:szCs w:val="24"/>
              </w:rPr>
              <w:t>in the first instance.</w:t>
            </w:r>
          </w:p>
        </w:tc>
        <w:tc>
          <w:tcPr>
            <w:tcW w:w="4621" w:type="dxa"/>
            <w:vAlign w:val="center"/>
          </w:tcPr>
          <w:p w:rsidR="00FC26AF" w:rsidRPr="00FB4223" w:rsidRDefault="00954961" w:rsidP="006C6828">
            <w:pPr>
              <w:rPr>
                <w:rFonts w:eastAsia="Times New Roman" w:cstheme="minorHAnsi"/>
                <w:sz w:val="24"/>
                <w:szCs w:val="24"/>
              </w:rPr>
            </w:pPr>
            <w:r w:rsidRPr="00FB4223">
              <w:rPr>
                <w:rFonts w:eastAsia="Times New Roman" w:cstheme="minorHAnsi"/>
                <w:sz w:val="24"/>
                <w:szCs w:val="24"/>
              </w:rPr>
              <w:t>Ongoing</w:t>
            </w:r>
          </w:p>
        </w:tc>
      </w:tr>
    </w:tbl>
    <w:p w:rsidR="00FC26AF" w:rsidRPr="001A2945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352936" w:rsidRPr="001A2945" w:rsidRDefault="00FC26AF" w:rsidP="0035293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1A2945">
        <w:rPr>
          <w:rFonts w:asciiTheme="minorHAnsi" w:hAnsiTheme="minorHAnsi" w:cstheme="minorHAnsi"/>
          <w:b/>
          <w:i/>
          <w:sz w:val="24"/>
          <w:szCs w:val="24"/>
        </w:rPr>
        <w:t>Risk-based strategies</w:t>
      </w:r>
    </w:p>
    <w:p w:rsidR="00352936" w:rsidRPr="001A2945" w:rsidRDefault="00352936" w:rsidP="00352936">
      <w:pPr>
        <w:rPr>
          <w:rFonts w:ascii="Arial" w:hAnsi="Arial" w:cs="Tahoma"/>
          <w:sz w:val="22"/>
          <w:szCs w:val="22"/>
          <w:lang w:eastAsia="en-AU"/>
        </w:rPr>
      </w:pPr>
    </w:p>
    <w:p w:rsidR="00FC26AF" w:rsidRPr="000706D1" w:rsidRDefault="00954961" w:rsidP="00FC26AF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>R</w:t>
      </w:r>
      <w:r w:rsidR="00FC26AF" w:rsidRPr="001A2945">
        <w:rPr>
          <w:rFonts w:asciiTheme="minorHAnsi" w:hAnsiTheme="minorHAnsi" w:cstheme="minorHAnsi"/>
          <w:sz w:val="24"/>
          <w:szCs w:val="24"/>
        </w:rPr>
        <w:t xml:space="preserve">isk-based compliance </w:t>
      </w:r>
      <w:r w:rsidR="00FC26AF" w:rsidRPr="000706D1">
        <w:rPr>
          <w:rFonts w:asciiTheme="minorHAnsi" w:hAnsiTheme="minorHAnsi" w:cstheme="minorHAnsi"/>
          <w:sz w:val="24"/>
          <w:szCs w:val="24"/>
        </w:rPr>
        <w:t xml:space="preserve">strategies </w:t>
      </w:r>
      <w:r w:rsidRPr="000706D1">
        <w:rPr>
          <w:rFonts w:asciiTheme="minorHAnsi" w:hAnsiTheme="minorHAnsi" w:cstheme="minorHAnsi"/>
          <w:sz w:val="24"/>
          <w:szCs w:val="24"/>
        </w:rPr>
        <w:t xml:space="preserve">for </w:t>
      </w:r>
      <w:r w:rsidR="0005416F" w:rsidRPr="000706D1">
        <w:rPr>
          <w:rFonts w:asciiTheme="minorHAnsi" w:hAnsiTheme="minorHAnsi" w:cstheme="minorHAnsi"/>
          <w:sz w:val="24"/>
          <w:szCs w:val="24"/>
        </w:rPr>
        <w:t>addressing</w:t>
      </w:r>
      <w:r w:rsidRPr="000706D1">
        <w:rPr>
          <w:rFonts w:asciiTheme="minorHAnsi" w:hAnsiTheme="minorHAnsi" w:cstheme="minorHAnsi"/>
          <w:sz w:val="24"/>
          <w:szCs w:val="24"/>
        </w:rPr>
        <w:t xml:space="preserve"> biosecurity risks and issues </w:t>
      </w:r>
      <w:r w:rsidR="00FC26AF" w:rsidRPr="000706D1">
        <w:rPr>
          <w:rFonts w:asciiTheme="minorHAnsi" w:hAnsiTheme="minorHAnsi" w:cstheme="minorHAnsi"/>
          <w:sz w:val="24"/>
          <w:szCs w:val="24"/>
        </w:rPr>
        <w:t xml:space="preserve">are </w:t>
      </w:r>
      <w:r w:rsidR="00A44061">
        <w:rPr>
          <w:rFonts w:asciiTheme="minorHAnsi" w:hAnsiTheme="minorHAnsi" w:cstheme="minorHAnsi"/>
          <w:sz w:val="24"/>
          <w:szCs w:val="24"/>
        </w:rPr>
        <w:t xml:space="preserve">currently </w:t>
      </w:r>
      <w:r w:rsidR="00FC26AF" w:rsidRPr="00A44061">
        <w:rPr>
          <w:rFonts w:asciiTheme="minorHAnsi" w:hAnsiTheme="minorHAnsi" w:cstheme="minorHAnsi"/>
          <w:sz w:val="24"/>
          <w:szCs w:val="24"/>
        </w:rPr>
        <w:t xml:space="preserve">in place across all </w:t>
      </w:r>
      <w:r w:rsidR="0005416F" w:rsidRPr="00A44061">
        <w:rPr>
          <w:rFonts w:asciiTheme="minorHAnsi" w:hAnsiTheme="minorHAnsi" w:cstheme="minorHAnsi"/>
          <w:sz w:val="24"/>
          <w:szCs w:val="24"/>
        </w:rPr>
        <w:t>program</w:t>
      </w:r>
      <w:r w:rsidR="00A44061">
        <w:rPr>
          <w:rFonts w:asciiTheme="minorHAnsi" w:hAnsiTheme="minorHAnsi" w:cstheme="minorHAnsi"/>
          <w:sz w:val="24"/>
          <w:szCs w:val="24"/>
        </w:rPr>
        <w:t xml:space="preserve"> areas</w:t>
      </w:r>
      <w:r w:rsidR="00FC26AF" w:rsidRPr="00A44061">
        <w:rPr>
          <w:rFonts w:asciiTheme="minorHAnsi" w:hAnsiTheme="minorHAnsi" w:cstheme="minorHAnsi"/>
          <w:sz w:val="24"/>
          <w:szCs w:val="24"/>
        </w:rPr>
        <w:t>. For example, livestock disease control regulations protect all livestock industries, and risk-assessment of regulated businesses helps protect mar</w:t>
      </w:r>
      <w:r w:rsidR="00FC26AF" w:rsidRPr="000706D1">
        <w:rPr>
          <w:rFonts w:asciiTheme="minorHAnsi" w:hAnsiTheme="minorHAnsi" w:cstheme="minorHAnsi"/>
          <w:sz w:val="24"/>
          <w:szCs w:val="24"/>
        </w:rPr>
        <w:t>ket access, the environment and production systems</w:t>
      </w:r>
      <w:r w:rsidR="00CB3FCE" w:rsidRPr="000706D1">
        <w:rPr>
          <w:rFonts w:asciiTheme="minorHAnsi" w:hAnsiTheme="minorHAnsi" w:cstheme="minorHAnsi"/>
          <w:sz w:val="24"/>
          <w:szCs w:val="24"/>
        </w:rPr>
        <w:t>.</w:t>
      </w:r>
      <w:r w:rsidR="00FC26AF" w:rsidRPr="000706D1">
        <w:rPr>
          <w:rFonts w:asciiTheme="minorHAnsi" w:hAnsiTheme="minorHAnsi" w:cstheme="minorHAnsi"/>
          <w:sz w:val="24"/>
          <w:szCs w:val="24"/>
        </w:rPr>
        <w:t xml:space="preserve"> Non-compliance by even one business can compromise these objectives and adversely affect other Victorian producers. These strategies</w:t>
      </w:r>
      <w:r w:rsidR="00A75BDF" w:rsidRPr="000706D1">
        <w:rPr>
          <w:rFonts w:asciiTheme="minorHAnsi" w:hAnsiTheme="minorHAnsi" w:cstheme="minorHAnsi"/>
          <w:sz w:val="24"/>
          <w:szCs w:val="24"/>
        </w:rPr>
        <w:t>, and their corresponding operational compliance plans</w:t>
      </w:r>
      <w:r w:rsidR="000706D1">
        <w:rPr>
          <w:rFonts w:asciiTheme="minorHAnsi" w:hAnsiTheme="minorHAnsi" w:cstheme="minorHAnsi"/>
          <w:sz w:val="24"/>
          <w:szCs w:val="24"/>
        </w:rPr>
        <w:t xml:space="preserve"> and enforcement processes</w:t>
      </w:r>
      <w:r w:rsidR="00A75BDF" w:rsidRPr="000706D1">
        <w:rPr>
          <w:rFonts w:asciiTheme="minorHAnsi" w:hAnsiTheme="minorHAnsi" w:cstheme="minorHAnsi"/>
          <w:sz w:val="24"/>
          <w:szCs w:val="24"/>
        </w:rPr>
        <w:t>,</w:t>
      </w:r>
      <w:r w:rsidR="00FC26AF" w:rsidRPr="000706D1">
        <w:rPr>
          <w:rFonts w:asciiTheme="minorHAnsi" w:hAnsiTheme="minorHAnsi" w:cstheme="minorHAnsi"/>
          <w:sz w:val="24"/>
          <w:szCs w:val="24"/>
        </w:rPr>
        <w:t xml:space="preserve"> will be reviewed during the term of this SOE to ensure their ongoing relevance.</w:t>
      </w:r>
    </w:p>
    <w:p w:rsidR="00FC26AF" w:rsidRPr="001A2945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FB4223" w:rsidRDefault="000706D1" w:rsidP="00FC26A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 part of the new responsibility for marine pest biosecurity in Victoria, </w:t>
      </w:r>
      <w:r w:rsidR="00A75BDF" w:rsidRPr="000706D1">
        <w:rPr>
          <w:rFonts w:asciiTheme="minorHAnsi" w:hAnsiTheme="minorHAnsi" w:cstheme="minorHAnsi"/>
          <w:sz w:val="24"/>
          <w:szCs w:val="24"/>
        </w:rPr>
        <w:t>Agriculture Victoria</w:t>
      </w:r>
      <w:r w:rsidR="00FC26AF" w:rsidRPr="000706D1">
        <w:rPr>
          <w:rFonts w:asciiTheme="minorHAnsi" w:hAnsiTheme="minorHAnsi" w:cstheme="minorHAnsi"/>
          <w:sz w:val="24"/>
          <w:szCs w:val="24"/>
        </w:rPr>
        <w:t xml:space="preserve"> will </w:t>
      </w:r>
      <w:r>
        <w:rPr>
          <w:rFonts w:asciiTheme="minorHAnsi" w:hAnsiTheme="minorHAnsi" w:cstheme="minorHAnsi"/>
          <w:sz w:val="24"/>
          <w:szCs w:val="24"/>
        </w:rPr>
        <w:t xml:space="preserve">work collaboratively with the Department of Environment, Land, Water and Planning </w:t>
      </w:r>
      <w:r w:rsidR="00E15A50">
        <w:rPr>
          <w:rFonts w:asciiTheme="minorHAnsi" w:hAnsiTheme="minorHAnsi" w:cstheme="minorHAnsi"/>
          <w:sz w:val="24"/>
          <w:szCs w:val="24"/>
        </w:rPr>
        <w:t xml:space="preserve">(DELWP) </w:t>
      </w:r>
      <w:r>
        <w:rPr>
          <w:rFonts w:asciiTheme="minorHAnsi" w:hAnsiTheme="minorHAnsi" w:cstheme="minorHAnsi"/>
          <w:sz w:val="24"/>
          <w:szCs w:val="24"/>
        </w:rPr>
        <w:t>to</w:t>
      </w:r>
      <w:r w:rsidRPr="000706D1">
        <w:rPr>
          <w:rFonts w:asciiTheme="minorHAnsi" w:hAnsiTheme="minorHAnsi" w:cstheme="minorHAnsi"/>
          <w:sz w:val="24"/>
          <w:szCs w:val="24"/>
        </w:rPr>
        <w:t xml:space="preserve"> </w:t>
      </w:r>
      <w:r w:rsidR="00EA2F25" w:rsidRPr="000706D1">
        <w:rPr>
          <w:rFonts w:asciiTheme="minorHAnsi" w:hAnsiTheme="minorHAnsi" w:cstheme="minorHAnsi"/>
          <w:sz w:val="24"/>
          <w:szCs w:val="24"/>
        </w:rPr>
        <w:t>develop policy</w:t>
      </w:r>
      <w:r w:rsidR="00D15C9B">
        <w:rPr>
          <w:rFonts w:asciiTheme="minorHAnsi" w:hAnsiTheme="minorHAnsi" w:cstheme="minorHAnsi"/>
          <w:sz w:val="24"/>
          <w:szCs w:val="24"/>
        </w:rPr>
        <w:t xml:space="preserve">, </w:t>
      </w:r>
      <w:r w:rsidR="00EA2F25" w:rsidRPr="000706D1">
        <w:rPr>
          <w:rFonts w:asciiTheme="minorHAnsi" w:hAnsiTheme="minorHAnsi" w:cstheme="minorHAnsi"/>
          <w:sz w:val="24"/>
          <w:szCs w:val="24"/>
        </w:rPr>
        <w:t xml:space="preserve">review legislation </w:t>
      </w:r>
      <w:r w:rsidR="00D15C9B">
        <w:rPr>
          <w:rFonts w:asciiTheme="minorHAnsi" w:hAnsiTheme="minorHAnsi" w:cstheme="minorHAnsi"/>
          <w:sz w:val="24"/>
          <w:szCs w:val="24"/>
        </w:rPr>
        <w:t>and identify where additional data is required to inform risk-based strategies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C26AF" w:rsidRPr="00FF34F6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1289" w:rsidRPr="00A44061" w:rsidTr="006C6828"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A44061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A44061">
              <w:rPr>
                <w:rFonts w:cstheme="minorHAnsi"/>
                <w:b/>
                <w:sz w:val="24"/>
                <w:szCs w:val="24"/>
              </w:rPr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A44061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A44061">
              <w:rPr>
                <w:rFonts w:cstheme="minorHAnsi"/>
                <w:b/>
                <w:sz w:val="24"/>
                <w:szCs w:val="24"/>
              </w:rPr>
              <w:t xml:space="preserve">Target </w:t>
            </w:r>
          </w:p>
        </w:tc>
      </w:tr>
      <w:tr w:rsidR="00D41289" w:rsidRPr="00D41289" w:rsidTr="006C6828">
        <w:tc>
          <w:tcPr>
            <w:tcW w:w="4621" w:type="dxa"/>
            <w:vAlign w:val="center"/>
          </w:tcPr>
          <w:p w:rsidR="00FC26AF" w:rsidRPr="00FF34F6" w:rsidRDefault="00FC26AF" w:rsidP="0005416F">
            <w:pPr>
              <w:rPr>
                <w:rFonts w:cstheme="minorHAnsi"/>
                <w:sz w:val="24"/>
                <w:szCs w:val="24"/>
              </w:rPr>
            </w:pPr>
            <w:r w:rsidRPr="00FB4223">
              <w:rPr>
                <w:rFonts w:cstheme="minorHAnsi"/>
                <w:sz w:val="24"/>
                <w:szCs w:val="24"/>
              </w:rPr>
              <w:t xml:space="preserve">Review and update </w:t>
            </w:r>
            <w:r w:rsidR="00485041" w:rsidRPr="00FB4223">
              <w:rPr>
                <w:rFonts w:cstheme="minorHAnsi"/>
                <w:sz w:val="24"/>
                <w:szCs w:val="24"/>
              </w:rPr>
              <w:t xml:space="preserve">all </w:t>
            </w:r>
            <w:proofErr w:type="gramStart"/>
            <w:r w:rsidR="00F1550F" w:rsidRPr="00FB4223">
              <w:rPr>
                <w:rFonts w:cstheme="minorHAnsi"/>
                <w:sz w:val="24"/>
                <w:szCs w:val="24"/>
              </w:rPr>
              <w:t>risk based</w:t>
            </w:r>
            <w:proofErr w:type="gramEnd"/>
            <w:r w:rsidR="00F1550F" w:rsidRPr="00FB4223">
              <w:rPr>
                <w:rFonts w:cstheme="minorHAnsi"/>
                <w:sz w:val="24"/>
                <w:szCs w:val="24"/>
              </w:rPr>
              <w:t xml:space="preserve"> </w:t>
            </w:r>
            <w:r w:rsidRPr="00FB4223">
              <w:rPr>
                <w:rFonts w:cstheme="minorHAnsi"/>
                <w:sz w:val="24"/>
                <w:szCs w:val="24"/>
              </w:rPr>
              <w:t>compliance strategies</w:t>
            </w:r>
            <w:r w:rsidR="00B427A4" w:rsidRPr="00FF34F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FC26AF" w:rsidRPr="00D41289" w:rsidRDefault="00FC26AF" w:rsidP="00541F68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3</w:t>
            </w:r>
            <w:r w:rsidR="00541F68" w:rsidRPr="00D41289">
              <w:rPr>
                <w:rFonts w:cstheme="minorHAnsi"/>
                <w:sz w:val="24"/>
                <w:szCs w:val="24"/>
              </w:rPr>
              <w:t>1 December 2018</w:t>
            </w:r>
          </w:p>
        </w:tc>
      </w:tr>
      <w:tr w:rsidR="00D41289" w:rsidRPr="00D41289" w:rsidTr="00144C7D">
        <w:tc>
          <w:tcPr>
            <w:tcW w:w="4621" w:type="dxa"/>
            <w:vAlign w:val="center"/>
          </w:tcPr>
          <w:p w:rsidR="002D15DA" w:rsidRPr="00D41289" w:rsidRDefault="002D15DA" w:rsidP="006028C2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 xml:space="preserve">Review and update </w:t>
            </w:r>
            <w:r w:rsidR="00485041" w:rsidRPr="00D41289">
              <w:rPr>
                <w:rFonts w:cstheme="minorHAnsi"/>
                <w:sz w:val="24"/>
                <w:szCs w:val="24"/>
              </w:rPr>
              <w:t xml:space="preserve">all </w:t>
            </w:r>
            <w:proofErr w:type="gramStart"/>
            <w:r w:rsidRPr="00D41289">
              <w:rPr>
                <w:rFonts w:cstheme="minorHAnsi"/>
                <w:sz w:val="24"/>
                <w:szCs w:val="24"/>
              </w:rPr>
              <w:t>risk based</w:t>
            </w:r>
            <w:proofErr w:type="gramEnd"/>
            <w:r w:rsidRPr="00D41289">
              <w:rPr>
                <w:rFonts w:cstheme="minorHAnsi"/>
                <w:sz w:val="24"/>
                <w:szCs w:val="24"/>
              </w:rPr>
              <w:t xml:space="preserve"> compliance operations plans</w:t>
            </w:r>
            <w:r w:rsidR="00B427A4" w:rsidRPr="00D41289">
              <w:rPr>
                <w:rFonts w:cstheme="minorHAnsi"/>
                <w:sz w:val="24"/>
                <w:szCs w:val="24"/>
              </w:rPr>
              <w:t>.</w:t>
            </w:r>
            <w:r w:rsidRPr="00D4128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:rsidR="002D15DA" w:rsidRPr="00D41289" w:rsidRDefault="00485041" w:rsidP="006028C2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30 June 2019</w:t>
            </w:r>
          </w:p>
        </w:tc>
      </w:tr>
      <w:tr w:rsidR="00D41289" w:rsidRPr="00D41289" w:rsidTr="00144C7D">
        <w:tc>
          <w:tcPr>
            <w:tcW w:w="4621" w:type="dxa"/>
            <w:vAlign w:val="center"/>
          </w:tcPr>
          <w:p w:rsidR="002D15DA" w:rsidRPr="00D41289" w:rsidRDefault="002D15DA" w:rsidP="006028C2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Investigate gaps in current legislative powers and provisions to effectively address marine pest biosecurity for Victoria.</w:t>
            </w:r>
          </w:p>
        </w:tc>
        <w:tc>
          <w:tcPr>
            <w:tcW w:w="4621" w:type="dxa"/>
            <w:vAlign w:val="center"/>
          </w:tcPr>
          <w:p w:rsidR="002D15DA" w:rsidRPr="00D41289" w:rsidRDefault="002D15DA" w:rsidP="006028C2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30 June 2019</w:t>
            </w:r>
          </w:p>
        </w:tc>
      </w:tr>
      <w:tr w:rsidR="002D15DA" w:rsidRPr="00D41289" w:rsidTr="006C6828">
        <w:tc>
          <w:tcPr>
            <w:tcW w:w="4621" w:type="dxa"/>
            <w:vAlign w:val="center"/>
          </w:tcPr>
          <w:p w:rsidR="002D15DA" w:rsidRPr="00D41289" w:rsidRDefault="002D15DA" w:rsidP="0042461A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Develop a marine pest biosecurity policy</w:t>
            </w:r>
            <w:r w:rsidR="00BD59FE">
              <w:rPr>
                <w:rFonts w:cstheme="minorHAnsi"/>
                <w:sz w:val="24"/>
                <w:szCs w:val="24"/>
              </w:rPr>
              <w:t xml:space="preserve"> </w:t>
            </w:r>
            <w:r w:rsidR="00D15C9B">
              <w:rPr>
                <w:rFonts w:cstheme="minorHAnsi"/>
                <w:sz w:val="24"/>
                <w:szCs w:val="24"/>
              </w:rPr>
              <w:t>that</w:t>
            </w:r>
            <w:r w:rsidR="00BD59FE">
              <w:rPr>
                <w:rFonts w:cstheme="minorHAnsi"/>
                <w:sz w:val="24"/>
                <w:szCs w:val="24"/>
              </w:rPr>
              <w:t xml:space="preserve"> includes </w:t>
            </w:r>
            <w:r w:rsidR="00C51FAF">
              <w:rPr>
                <w:rFonts w:cstheme="minorHAnsi"/>
                <w:sz w:val="24"/>
                <w:szCs w:val="24"/>
              </w:rPr>
              <w:t xml:space="preserve">priority areas for </w:t>
            </w:r>
            <w:r w:rsidR="00D15C9B">
              <w:rPr>
                <w:rFonts w:cstheme="minorHAnsi"/>
                <w:sz w:val="24"/>
                <w:szCs w:val="24"/>
              </w:rPr>
              <w:t>data collection</w:t>
            </w:r>
            <w:r w:rsidR="00B427A4" w:rsidRPr="00D4128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2D15DA" w:rsidRPr="00D41289" w:rsidRDefault="002D15DA" w:rsidP="006028C2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30 June 2019</w:t>
            </w:r>
          </w:p>
        </w:tc>
      </w:tr>
    </w:tbl>
    <w:p w:rsidR="00FC26AF" w:rsidRPr="00D41289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8D2E0C" w:rsidRDefault="008D2E0C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br w:type="page"/>
      </w:r>
    </w:p>
    <w:p w:rsidR="00FC26AF" w:rsidRPr="00D41289" w:rsidRDefault="00FC26AF" w:rsidP="00FC26AF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D41289">
        <w:rPr>
          <w:rFonts w:asciiTheme="minorHAnsi" w:hAnsiTheme="minorHAnsi" w:cstheme="minorHAnsi"/>
          <w:b/>
          <w:i/>
          <w:sz w:val="24"/>
          <w:szCs w:val="24"/>
        </w:rPr>
        <w:lastRenderedPageBreak/>
        <w:t>Compliance related assistance and advice</w:t>
      </w:r>
    </w:p>
    <w:p w:rsidR="00FC26AF" w:rsidRPr="00D41289" w:rsidRDefault="00FC26AF" w:rsidP="00FC26AF"/>
    <w:p w:rsidR="00FC26AF" w:rsidRPr="00D41289" w:rsidRDefault="00FC26AF" w:rsidP="00FC26AF">
      <w:pPr>
        <w:rPr>
          <w:rFonts w:asciiTheme="minorHAnsi" w:hAnsiTheme="minorHAnsi" w:cstheme="minorHAnsi"/>
          <w:sz w:val="24"/>
          <w:szCs w:val="24"/>
        </w:rPr>
      </w:pPr>
      <w:r w:rsidRPr="00D41289">
        <w:rPr>
          <w:rFonts w:asciiTheme="minorHAnsi" w:hAnsiTheme="minorHAnsi" w:cstheme="minorHAnsi"/>
          <w:sz w:val="24"/>
          <w:szCs w:val="24"/>
        </w:rPr>
        <w:t xml:space="preserve">Agriculture Victoria provides </w:t>
      </w:r>
      <w:r w:rsidR="00A75BDF" w:rsidRPr="00D41289">
        <w:rPr>
          <w:rFonts w:asciiTheme="minorHAnsi" w:hAnsiTheme="minorHAnsi" w:cstheme="minorHAnsi"/>
          <w:sz w:val="24"/>
          <w:szCs w:val="24"/>
        </w:rPr>
        <w:t xml:space="preserve">a </w:t>
      </w:r>
      <w:r w:rsidRPr="00D41289">
        <w:rPr>
          <w:rFonts w:asciiTheme="minorHAnsi" w:hAnsiTheme="minorHAnsi" w:cstheme="minorHAnsi"/>
          <w:sz w:val="24"/>
          <w:szCs w:val="24"/>
        </w:rPr>
        <w:t xml:space="preserve">considerable </w:t>
      </w:r>
      <w:r w:rsidR="00A75BDF" w:rsidRPr="00D41289">
        <w:rPr>
          <w:rFonts w:asciiTheme="minorHAnsi" w:hAnsiTheme="minorHAnsi" w:cstheme="minorHAnsi"/>
          <w:sz w:val="24"/>
          <w:szCs w:val="24"/>
        </w:rPr>
        <w:t xml:space="preserve">amount of </w:t>
      </w:r>
      <w:r w:rsidRPr="00D41289">
        <w:rPr>
          <w:rFonts w:asciiTheme="minorHAnsi" w:hAnsiTheme="minorHAnsi" w:cstheme="minorHAnsi"/>
          <w:sz w:val="24"/>
          <w:szCs w:val="24"/>
        </w:rPr>
        <w:t xml:space="preserve">advisory material </w:t>
      </w:r>
      <w:r w:rsidR="00CC255C" w:rsidRPr="00D41289">
        <w:rPr>
          <w:rFonts w:asciiTheme="minorHAnsi" w:hAnsiTheme="minorHAnsi" w:cstheme="minorHAnsi"/>
          <w:sz w:val="24"/>
          <w:szCs w:val="24"/>
        </w:rPr>
        <w:t xml:space="preserve">to regulated parties </w:t>
      </w:r>
      <w:r w:rsidR="00A75BDF" w:rsidRPr="00D41289">
        <w:rPr>
          <w:rFonts w:asciiTheme="minorHAnsi" w:hAnsiTheme="minorHAnsi" w:cstheme="minorHAnsi"/>
          <w:sz w:val="24"/>
          <w:szCs w:val="24"/>
        </w:rPr>
        <w:t>via its website. Agriculture Victoria</w:t>
      </w:r>
      <w:r w:rsidRPr="00D41289">
        <w:rPr>
          <w:rFonts w:asciiTheme="minorHAnsi" w:hAnsiTheme="minorHAnsi" w:cstheme="minorHAnsi"/>
          <w:sz w:val="24"/>
          <w:szCs w:val="24"/>
        </w:rPr>
        <w:t xml:space="preserve"> will </w:t>
      </w:r>
      <w:r w:rsidR="00A75BDF" w:rsidRPr="00D41289">
        <w:rPr>
          <w:rFonts w:asciiTheme="minorHAnsi" w:hAnsiTheme="minorHAnsi" w:cstheme="minorHAnsi"/>
          <w:sz w:val="24"/>
          <w:szCs w:val="24"/>
        </w:rPr>
        <w:t>review</w:t>
      </w:r>
      <w:r w:rsidRPr="00D41289">
        <w:rPr>
          <w:rFonts w:asciiTheme="minorHAnsi" w:hAnsiTheme="minorHAnsi" w:cstheme="minorHAnsi"/>
          <w:sz w:val="24"/>
          <w:szCs w:val="24"/>
        </w:rPr>
        <w:t xml:space="preserve"> the clarity and currency of </w:t>
      </w:r>
      <w:r w:rsidR="00CB3FCE" w:rsidRPr="00D41289">
        <w:rPr>
          <w:rFonts w:asciiTheme="minorHAnsi" w:hAnsiTheme="minorHAnsi" w:cstheme="minorHAnsi"/>
          <w:sz w:val="24"/>
          <w:szCs w:val="24"/>
        </w:rPr>
        <w:t>this material</w:t>
      </w:r>
      <w:r w:rsidR="004C337B" w:rsidRPr="004C337B">
        <w:rPr>
          <w:rFonts w:asciiTheme="minorHAnsi" w:hAnsiTheme="minorHAnsi" w:cstheme="minorHAnsi"/>
          <w:sz w:val="24"/>
          <w:szCs w:val="24"/>
        </w:rPr>
        <w:t xml:space="preserve"> during the term of this SOE</w:t>
      </w:r>
      <w:r w:rsidR="00CB3FCE" w:rsidRPr="00D4128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C26AF" w:rsidRPr="00D41289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D41289" w:rsidRDefault="00FC26AF" w:rsidP="00FC26AF">
      <w:pPr>
        <w:rPr>
          <w:rFonts w:asciiTheme="minorHAnsi" w:hAnsiTheme="minorHAnsi" w:cstheme="minorHAnsi"/>
          <w:sz w:val="24"/>
          <w:szCs w:val="24"/>
        </w:rPr>
      </w:pPr>
      <w:r w:rsidRPr="00D41289">
        <w:rPr>
          <w:rFonts w:asciiTheme="minorHAnsi" w:hAnsiTheme="minorHAnsi" w:cstheme="minorHAnsi"/>
          <w:sz w:val="24"/>
          <w:szCs w:val="24"/>
        </w:rPr>
        <w:t xml:space="preserve">The transition to electronic identification (EID) of sheep and goats in Victoria is a key area of progression for the traceability of livestock in Victoria. As part of this transition, Agriculture Victoria </w:t>
      </w:r>
      <w:r w:rsidR="00CB3FCE" w:rsidRPr="00D41289">
        <w:rPr>
          <w:rFonts w:asciiTheme="minorHAnsi" w:hAnsiTheme="minorHAnsi" w:cstheme="minorHAnsi"/>
          <w:sz w:val="24"/>
          <w:szCs w:val="24"/>
        </w:rPr>
        <w:t xml:space="preserve">is </w:t>
      </w:r>
      <w:r w:rsidRPr="00D41289">
        <w:rPr>
          <w:rFonts w:asciiTheme="minorHAnsi" w:hAnsiTheme="minorHAnsi" w:cstheme="minorHAnsi"/>
          <w:sz w:val="24"/>
          <w:szCs w:val="24"/>
        </w:rPr>
        <w:t>working closely with stakeholders in the provision of information about the new regulatory requirements. This includes online information and videos, targeted communications, on-farm workshops and guidance materials. Agriculture Victoria will use existing data collection methods to evaluate and report on the success of these services during the transition period.</w:t>
      </w:r>
    </w:p>
    <w:p w:rsidR="00970405" w:rsidRPr="00D41289" w:rsidRDefault="00970405" w:rsidP="00FC26A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1289" w:rsidRPr="00CE2AD4" w:rsidTr="006C6828">
        <w:trPr>
          <w:tblHeader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CE2AD4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CE2AD4">
              <w:rPr>
                <w:rFonts w:cstheme="minorHAnsi"/>
                <w:b/>
                <w:sz w:val="24"/>
                <w:szCs w:val="24"/>
              </w:rPr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CE2AD4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CE2AD4">
              <w:rPr>
                <w:rFonts w:cstheme="minorHAnsi"/>
                <w:b/>
                <w:sz w:val="24"/>
                <w:szCs w:val="24"/>
              </w:rPr>
              <w:t xml:space="preserve">Target </w:t>
            </w:r>
          </w:p>
        </w:tc>
      </w:tr>
      <w:tr w:rsidR="00D41289" w:rsidRPr="00D41289" w:rsidTr="006C6828">
        <w:tc>
          <w:tcPr>
            <w:tcW w:w="4621" w:type="dxa"/>
            <w:vAlign w:val="center"/>
          </w:tcPr>
          <w:p w:rsidR="00FC26AF" w:rsidRPr="00FB4223" w:rsidRDefault="00FC26AF" w:rsidP="00E24EE7">
            <w:pPr>
              <w:rPr>
                <w:rFonts w:cstheme="minorHAnsi"/>
                <w:sz w:val="24"/>
                <w:szCs w:val="24"/>
              </w:rPr>
            </w:pPr>
            <w:r w:rsidRPr="00FB4223">
              <w:rPr>
                <w:rFonts w:cstheme="minorHAnsi"/>
                <w:sz w:val="24"/>
                <w:szCs w:val="24"/>
              </w:rPr>
              <w:t xml:space="preserve">Prepare a </w:t>
            </w:r>
            <w:r w:rsidR="00CB3FCE" w:rsidRPr="00FB4223">
              <w:rPr>
                <w:rFonts w:cstheme="minorHAnsi"/>
                <w:sz w:val="24"/>
                <w:szCs w:val="24"/>
              </w:rPr>
              <w:t xml:space="preserve">plan </w:t>
            </w:r>
            <w:r w:rsidRPr="00FF34F6">
              <w:rPr>
                <w:rFonts w:cstheme="minorHAnsi"/>
                <w:sz w:val="24"/>
                <w:szCs w:val="24"/>
              </w:rPr>
              <w:t xml:space="preserve">to review </w:t>
            </w:r>
            <w:r w:rsidR="00CE2AD4">
              <w:rPr>
                <w:rFonts w:cstheme="minorHAnsi"/>
                <w:sz w:val="24"/>
                <w:szCs w:val="24"/>
              </w:rPr>
              <w:t xml:space="preserve">current </w:t>
            </w:r>
            <w:r w:rsidRPr="00FF34F6">
              <w:rPr>
                <w:rFonts w:cstheme="minorHAnsi"/>
                <w:sz w:val="24"/>
                <w:szCs w:val="24"/>
              </w:rPr>
              <w:t>web</w:t>
            </w:r>
            <w:r w:rsidR="00CB3FCE" w:rsidRPr="00FF34F6">
              <w:rPr>
                <w:rFonts w:cstheme="minorHAnsi"/>
                <w:sz w:val="24"/>
                <w:szCs w:val="24"/>
              </w:rPr>
              <w:t>site</w:t>
            </w:r>
            <w:r w:rsidR="00A75BDF" w:rsidRPr="00FF34F6">
              <w:rPr>
                <w:rFonts w:cstheme="minorHAnsi"/>
                <w:sz w:val="24"/>
                <w:szCs w:val="24"/>
              </w:rPr>
              <w:t xml:space="preserve"> content to ensure advisory material for regulated parties</w:t>
            </w:r>
            <w:r w:rsidR="00B427A4" w:rsidRPr="00CE2AD4">
              <w:rPr>
                <w:rFonts w:cstheme="minorHAnsi"/>
                <w:sz w:val="24"/>
                <w:szCs w:val="24"/>
              </w:rPr>
              <w:t xml:space="preserve"> is </w:t>
            </w:r>
            <w:r w:rsidR="00CE2AD4">
              <w:rPr>
                <w:rFonts w:cstheme="minorHAnsi"/>
                <w:sz w:val="24"/>
                <w:szCs w:val="24"/>
              </w:rPr>
              <w:t>current, relevant and accessible</w:t>
            </w:r>
            <w:r w:rsidR="00970405" w:rsidRPr="00CE2AD4">
              <w:rPr>
                <w:rFonts w:cstheme="minorHAnsi"/>
                <w:sz w:val="24"/>
                <w:szCs w:val="24"/>
              </w:rPr>
              <w:t>.</w:t>
            </w:r>
            <w:r w:rsidR="00D41289" w:rsidRPr="00CE2AD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:rsidR="00FC26AF" w:rsidRPr="007501EE" w:rsidRDefault="00FC26AF" w:rsidP="00970405">
            <w:pPr>
              <w:rPr>
                <w:rFonts w:cstheme="minorHAnsi"/>
                <w:sz w:val="24"/>
                <w:szCs w:val="24"/>
              </w:rPr>
            </w:pPr>
            <w:r w:rsidRPr="00FF34F6">
              <w:rPr>
                <w:rFonts w:cstheme="minorHAnsi"/>
                <w:sz w:val="24"/>
                <w:szCs w:val="24"/>
              </w:rPr>
              <w:t xml:space="preserve">30 </w:t>
            </w:r>
            <w:r w:rsidR="00970405" w:rsidRPr="00FF34F6">
              <w:rPr>
                <w:rFonts w:cstheme="minorHAnsi"/>
                <w:sz w:val="24"/>
                <w:szCs w:val="24"/>
              </w:rPr>
              <w:t xml:space="preserve">June </w:t>
            </w:r>
            <w:r w:rsidRPr="007501EE">
              <w:rPr>
                <w:rFonts w:cstheme="minorHAnsi"/>
                <w:sz w:val="24"/>
                <w:szCs w:val="24"/>
              </w:rPr>
              <w:t>2018</w:t>
            </w:r>
          </w:p>
        </w:tc>
      </w:tr>
      <w:tr w:rsidR="00A9733D" w:rsidRPr="00D41289" w:rsidTr="00CE2AD4">
        <w:tc>
          <w:tcPr>
            <w:tcW w:w="4621" w:type="dxa"/>
          </w:tcPr>
          <w:p w:rsidR="00A9733D" w:rsidRDefault="002B5287" w:rsidP="002B52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 first stage of website content review</w:t>
            </w:r>
            <w:r w:rsidR="00A973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A9733D" w:rsidRPr="00FF34F6" w:rsidRDefault="002B5287" w:rsidP="00CE2A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June 2019</w:t>
            </w:r>
          </w:p>
        </w:tc>
      </w:tr>
      <w:tr w:rsidR="00CE2AD4" w:rsidRPr="00D41289" w:rsidTr="00CE2AD4">
        <w:tc>
          <w:tcPr>
            <w:tcW w:w="4621" w:type="dxa"/>
          </w:tcPr>
          <w:p w:rsidR="00CE2AD4" w:rsidRPr="00CE2AD4" w:rsidRDefault="00CE2AD4" w:rsidP="006C6828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Introduce an ongoing</w:t>
            </w:r>
            <w:r w:rsidRPr="00FF34F6">
              <w:rPr>
                <w:rFonts w:cstheme="minorHAnsi"/>
                <w:sz w:val="24"/>
                <w:szCs w:val="24"/>
              </w:rPr>
              <w:t xml:space="preserve"> monitor</w:t>
            </w:r>
            <w:r>
              <w:rPr>
                <w:rFonts w:cstheme="minorHAnsi"/>
                <w:sz w:val="24"/>
                <w:szCs w:val="24"/>
              </w:rPr>
              <w:t>ing program of website content to ensure information remains contemporary to legislative requirements and appropriate for use. This will include engagement with end-users to determine their ongoing information requirements as appropriate.</w:t>
            </w:r>
          </w:p>
        </w:tc>
        <w:tc>
          <w:tcPr>
            <w:tcW w:w="4621" w:type="dxa"/>
            <w:vAlign w:val="center"/>
          </w:tcPr>
          <w:p w:rsidR="00CE2AD4" w:rsidRPr="00FB4223" w:rsidRDefault="00CE2AD4" w:rsidP="00CE2AD4">
            <w:pPr>
              <w:rPr>
                <w:sz w:val="24"/>
                <w:szCs w:val="24"/>
              </w:rPr>
            </w:pPr>
            <w:r w:rsidRPr="00FF34F6">
              <w:rPr>
                <w:rFonts w:cstheme="minorHAnsi"/>
                <w:sz w:val="24"/>
                <w:szCs w:val="24"/>
              </w:rPr>
              <w:t xml:space="preserve">30 June </w:t>
            </w:r>
            <w:r w:rsidRPr="007501EE">
              <w:rPr>
                <w:rFonts w:cstheme="minorHAnsi"/>
                <w:sz w:val="24"/>
                <w:szCs w:val="24"/>
              </w:rPr>
              <w:t>2018</w:t>
            </w:r>
          </w:p>
        </w:tc>
      </w:tr>
      <w:tr w:rsidR="00A30E68" w:rsidRPr="00D41289" w:rsidTr="00970405">
        <w:tc>
          <w:tcPr>
            <w:tcW w:w="4621" w:type="dxa"/>
          </w:tcPr>
          <w:p w:rsidR="00A30E68" w:rsidRPr="00FB4223" w:rsidRDefault="00B15090" w:rsidP="004C337B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Collect stakeholder information and r</w:t>
            </w:r>
            <w:r w:rsidR="00A30E68" w:rsidRPr="00B15090">
              <w:rPr>
                <w:sz w:val="24"/>
                <w:szCs w:val="24"/>
              </w:rPr>
              <w:t xml:space="preserve">eport on the accessibility and effectiveness of </w:t>
            </w:r>
            <w:r>
              <w:rPr>
                <w:sz w:val="24"/>
                <w:szCs w:val="24"/>
              </w:rPr>
              <w:t xml:space="preserve">available </w:t>
            </w:r>
            <w:r w:rsidR="00A30E68" w:rsidRPr="00B15090">
              <w:rPr>
                <w:sz w:val="24"/>
                <w:szCs w:val="24"/>
              </w:rPr>
              <w:t xml:space="preserve">advisory information relating to EID </w:t>
            </w:r>
            <w:r w:rsidR="004C337B">
              <w:rPr>
                <w:sz w:val="24"/>
                <w:szCs w:val="24"/>
              </w:rPr>
              <w:t>of</w:t>
            </w:r>
            <w:r w:rsidR="004C337B" w:rsidRPr="00B15090">
              <w:rPr>
                <w:sz w:val="24"/>
                <w:szCs w:val="24"/>
              </w:rPr>
              <w:t xml:space="preserve"> </w:t>
            </w:r>
            <w:r w:rsidR="00A30E68" w:rsidRPr="00B15090">
              <w:rPr>
                <w:sz w:val="24"/>
                <w:szCs w:val="24"/>
              </w:rPr>
              <w:t>sheep and goats in Victoria</w:t>
            </w:r>
            <w:r w:rsidR="00A30E68" w:rsidRPr="00FB42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Report responses to any </w:t>
            </w:r>
            <w:r w:rsidR="00F86B0B">
              <w:rPr>
                <w:sz w:val="24"/>
                <w:szCs w:val="24"/>
              </w:rPr>
              <w:t>recommend</w:t>
            </w:r>
            <w:r w:rsidR="002B5287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>improvement</w:t>
            </w:r>
            <w:r w:rsidR="002B528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21" w:type="dxa"/>
          </w:tcPr>
          <w:p w:rsidR="00A30E68" w:rsidRPr="00FF34F6" w:rsidRDefault="00A30E68" w:rsidP="006C6828">
            <w:pPr>
              <w:rPr>
                <w:rFonts w:cstheme="minorHAnsi"/>
                <w:sz w:val="24"/>
                <w:szCs w:val="24"/>
              </w:rPr>
            </w:pPr>
            <w:r w:rsidRPr="00FB4223">
              <w:rPr>
                <w:sz w:val="24"/>
                <w:szCs w:val="24"/>
              </w:rPr>
              <w:t>31 December 2018</w:t>
            </w:r>
          </w:p>
        </w:tc>
      </w:tr>
    </w:tbl>
    <w:p w:rsidR="00FC26AF" w:rsidRPr="00CE2AD4" w:rsidRDefault="00FC26AF" w:rsidP="00FC26AF">
      <w:pPr>
        <w:rPr>
          <w:i/>
        </w:rPr>
      </w:pPr>
    </w:p>
    <w:p w:rsidR="00352936" w:rsidRPr="00FB4223" w:rsidRDefault="00FC26AF" w:rsidP="0035293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FB4223">
        <w:rPr>
          <w:rFonts w:asciiTheme="minorHAnsi" w:hAnsiTheme="minorHAnsi" w:cstheme="minorHAnsi"/>
          <w:b/>
          <w:i/>
          <w:sz w:val="24"/>
          <w:szCs w:val="24"/>
        </w:rPr>
        <w:t>Role clarity</w:t>
      </w:r>
    </w:p>
    <w:p w:rsidR="00F24146" w:rsidRDefault="00826948" w:rsidP="00FC26A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Agriculture Victoria’s m</w:t>
      </w:r>
      <w:r w:rsidR="00F24146" w:rsidRPr="00F24146">
        <w:rPr>
          <w:rFonts w:asciiTheme="minorHAnsi" w:hAnsiTheme="minorHAnsi" w:cstheme="minorHAnsi"/>
          <w:sz w:val="24"/>
          <w:szCs w:val="24"/>
        </w:rPr>
        <w:t xml:space="preserve">onitoring and </w:t>
      </w:r>
      <w:r>
        <w:rPr>
          <w:rFonts w:asciiTheme="minorHAnsi" w:hAnsiTheme="minorHAnsi" w:cstheme="minorHAnsi"/>
          <w:sz w:val="24"/>
          <w:szCs w:val="24"/>
        </w:rPr>
        <w:t xml:space="preserve">performance </w:t>
      </w:r>
      <w:r w:rsidR="00F24146" w:rsidRPr="00F24146">
        <w:rPr>
          <w:rFonts w:asciiTheme="minorHAnsi" w:hAnsiTheme="minorHAnsi" w:cstheme="minorHAnsi"/>
          <w:sz w:val="24"/>
          <w:szCs w:val="24"/>
        </w:rPr>
        <w:t xml:space="preserve">assurance </w:t>
      </w:r>
      <w:r>
        <w:rPr>
          <w:rFonts w:asciiTheme="minorHAnsi" w:hAnsiTheme="minorHAnsi" w:cstheme="minorHAnsi"/>
          <w:sz w:val="24"/>
          <w:szCs w:val="24"/>
        </w:rPr>
        <w:t xml:space="preserve">regime is managed under the </w:t>
      </w:r>
      <w:r w:rsidR="00417384">
        <w:rPr>
          <w:rFonts w:asciiTheme="minorHAnsi" w:hAnsiTheme="minorHAnsi" w:cstheme="minorHAnsi"/>
          <w:sz w:val="24"/>
          <w:szCs w:val="24"/>
        </w:rPr>
        <w:t xml:space="preserve">Biosecurity Evidence Framework (BEF) </w:t>
      </w:r>
      <w:r w:rsidR="00F24146" w:rsidRPr="00F24146">
        <w:rPr>
          <w:rFonts w:asciiTheme="minorHAnsi" w:hAnsiTheme="minorHAnsi" w:cstheme="minorHAnsi"/>
          <w:sz w:val="24"/>
          <w:szCs w:val="24"/>
        </w:rPr>
        <w:t xml:space="preserve">to ensure that our regulatory objectives are being met. </w:t>
      </w:r>
      <w:r w:rsidR="00417384">
        <w:rPr>
          <w:rFonts w:asciiTheme="minorHAnsi" w:hAnsiTheme="minorHAnsi" w:cstheme="minorHAnsi"/>
          <w:sz w:val="24"/>
          <w:szCs w:val="24"/>
        </w:rPr>
        <w:t>The BEF</w:t>
      </w:r>
      <w:r w:rsidR="00F24146" w:rsidRPr="00F24146">
        <w:rPr>
          <w:rFonts w:asciiTheme="minorHAnsi" w:hAnsiTheme="minorHAnsi" w:cstheme="minorHAnsi"/>
          <w:sz w:val="24"/>
          <w:szCs w:val="24"/>
        </w:rPr>
        <w:t xml:space="preserve"> identifies key aspects of performance, including the effectiveness, efficiency, impact, and continuous improvement of regulatory performance</w:t>
      </w:r>
      <w:r w:rsidR="00292A60">
        <w:rPr>
          <w:rFonts w:asciiTheme="minorHAnsi" w:hAnsiTheme="minorHAnsi" w:cstheme="minorHAnsi"/>
          <w:sz w:val="24"/>
          <w:szCs w:val="24"/>
        </w:rPr>
        <w:t xml:space="preserve"> and assigns p</w:t>
      </w:r>
      <w:r w:rsidR="00F24146" w:rsidRPr="00F24146">
        <w:rPr>
          <w:rFonts w:asciiTheme="minorHAnsi" w:hAnsiTheme="minorHAnsi" w:cstheme="minorHAnsi"/>
          <w:sz w:val="24"/>
          <w:szCs w:val="24"/>
        </w:rPr>
        <w:t xml:space="preserve">erformance indicators to each business area </w:t>
      </w:r>
      <w:r w:rsidR="00292A60">
        <w:rPr>
          <w:rFonts w:asciiTheme="minorHAnsi" w:hAnsiTheme="minorHAnsi" w:cstheme="minorHAnsi"/>
          <w:sz w:val="24"/>
          <w:szCs w:val="24"/>
        </w:rPr>
        <w:t xml:space="preserve">to report against and </w:t>
      </w:r>
      <w:r w:rsidR="00F24146" w:rsidRPr="00F24146">
        <w:rPr>
          <w:rFonts w:asciiTheme="minorHAnsi" w:hAnsiTheme="minorHAnsi" w:cstheme="minorHAnsi"/>
          <w:sz w:val="24"/>
          <w:szCs w:val="24"/>
        </w:rPr>
        <w:t>demonstrate progression against performance goals.</w:t>
      </w:r>
      <w:r w:rsidR="00F241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4146" w:rsidRDefault="00F24146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7501EE" w:rsidRDefault="00FC26AF" w:rsidP="00FC26AF">
      <w:pPr>
        <w:rPr>
          <w:rFonts w:asciiTheme="minorHAnsi" w:hAnsiTheme="minorHAnsi" w:cstheme="minorHAnsi"/>
          <w:sz w:val="24"/>
          <w:szCs w:val="24"/>
        </w:rPr>
      </w:pPr>
      <w:r w:rsidRPr="00FF34F6">
        <w:rPr>
          <w:rFonts w:asciiTheme="minorHAnsi" w:hAnsiTheme="minorHAnsi" w:cstheme="minorHAnsi"/>
          <w:sz w:val="24"/>
          <w:szCs w:val="24"/>
        </w:rPr>
        <w:t xml:space="preserve">Regulation of new industries sometimes results in new regulators, or new parties </w:t>
      </w:r>
      <w:r w:rsidR="004C337B">
        <w:rPr>
          <w:rFonts w:asciiTheme="minorHAnsi" w:hAnsiTheme="minorHAnsi" w:cstheme="minorHAnsi"/>
          <w:sz w:val="24"/>
          <w:szCs w:val="24"/>
        </w:rPr>
        <w:t xml:space="preserve">entering </w:t>
      </w:r>
      <w:r w:rsidRPr="00FF34F6">
        <w:rPr>
          <w:rFonts w:asciiTheme="minorHAnsi" w:hAnsiTheme="minorHAnsi" w:cstheme="minorHAnsi"/>
          <w:sz w:val="24"/>
          <w:szCs w:val="24"/>
        </w:rPr>
        <w:t>a regulatory framework. Coordination and accountability will be enhanced by the development and review of agreements</w:t>
      </w:r>
      <w:r w:rsidR="00F50B77" w:rsidRPr="007501EE">
        <w:rPr>
          <w:rFonts w:asciiTheme="minorHAnsi" w:hAnsiTheme="minorHAnsi" w:cstheme="minorHAnsi"/>
          <w:sz w:val="24"/>
          <w:szCs w:val="24"/>
        </w:rPr>
        <w:t xml:space="preserve"> for new and existing regulatory activities</w:t>
      </w:r>
      <w:r w:rsidRPr="007501EE">
        <w:rPr>
          <w:rFonts w:asciiTheme="minorHAnsi" w:hAnsiTheme="minorHAnsi" w:cstheme="minorHAnsi"/>
          <w:sz w:val="24"/>
          <w:szCs w:val="24"/>
        </w:rPr>
        <w:t>.</w:t>
      </w:r>
      <w:r w:rsidR="00B86E65" w:rsidRPr="007501E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5287" w:rsidRDefault="002B528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1289" w:rsidRPr="00BD4FD7" w:rsidTr="006C6828"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BD4FD7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BD4FD7">
              <w:rPr>
                <w:rFonts w:cstheme="minorHAnsi"/>
                <w:b/>
                <w:sz w:val="24"/>
                <w:szCs w:val="24"/>
              </w:rPr>
              <w:lastRenderedPageBreak/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BD4FD7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BD4FD7">
              <w:rPr>
                <w:rFonts w:cstheme="minorHAnsi"/>
                <w:b/>
                <w:sz w:val="24"/>
                <w:szCs w:val="24"/>
              </w:rPr>
              <w:t xml:space="preserve">Target </w:t>
            </w:r>
          </w:p>
        </w:tc>
      </w:tr>
      <w:tr w:rsidR="00D41289" w:rsidRPr="00D41289" w:rsidTr="00903B7D">
        <w:tc>
          <w:tcPr>
            <w:tcW w:w="4621" w:type="dxa"/>
            <w:vAlign w:val="center"/>
          </w:tcPr>
          <w:p w:rsidR="00903B7D" w:rsidRPr="00FF34F6" w:rsidRDefault="00903B7D" w:rsidP="00593BBC">
            <w:pPr>
              <w:tabs>
                <w:tab w:val="left" w:pos="2225"/>
              </w:tabs>
              <w:autoSpaceDE w:val="0"/>
              <w:autoSpaceDN w:val="0"/>
              <w:adjustRightInd w:val="0"/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FB4223">
              <w:rPr>
                <w:rFonts w:eastAsia="Times New Roman" w:cstheme="minorHAnsi"/>
                <w:sz w:val="24"/>
                <w:szCs w:val="24"/>
              </w:rPr>
              <w:t>Review</w:t>
            </w:r>
            <w:r w:rsidR="00593BBC">
              <w:rPr>
                <w:rFonts w:eastAsia="Times New Roman" w:cstheme="minorHAnsi"/>
                <w:sz w:val="24"/>
                <w:szCs w:val="24"/>
              </w:rPr>
              <w:t xml:space="preserve"> current</w:t>
            </w:r>
            <w:r w:rsidR="009B6F79" w:rsidRPr="00FB422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B4223">
              <w:rPr>
                <w:rFonts w:eastAsia="Times New Roman" w:cstheme="minorHAnsi"/>
                <w:sz w:val="24"/>
                <w:szCs w:val="24"/>
              </w:rPr>
              <w:t>agreement on operational arrangements between DEDJTR and Victoria Police for regulating poppy and hemp production.</w:t>
            </w:r>
          </w:p>
        </w:tc>
        <w:tc>
          <w:tcPr>
            <w:tcW w:w="4621" w:type="dxa"/>
            <w:vAlign w:val="center"/>
          </w:tcPr>
          <w:p w:rsidR="00903B7D" w:rsidRPr="007501EE" w:rsidRDefault="00903B7D" w:rsidP="00903B7D">
            <w:pPr>
              <w:tabs>
                <w:tab w:val="left" w:pos="2225"/>
              </w:tabs>
              <w:autoSpaceDE w:val="0"/>
              <w:autoSpaceDN w:val="0"/>
              <w:adjustRightInd w:val="0"/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FF34F6">
              <w:rPr>
                <w:rFonts w:eastAsia="Times New Roman" w:cstheme="minorHAnsi"/>
                <w:sz w:val="24"/>
                <w:szCs w:val="24"/>
              </w:rPr>
              <w:t>30 June 2018</w:t>
            </w:r>
          </w:p>
        </w:tc>
      </w:tr>
      <w:tr w:rsidR="00D41289" w:rsidRPr="00D41289" w:rsidTr="006C6828">
        <w:tc>
          <w:tcPr>
            <w:tcW w:w="4621" w:type="dxa"/>
            <w:vAlign w:val="center"/>
          </w:tcPr>
          <w:p w:rsidR="00FC26AF" w:rsidRPr="00D41289" w:rsidRDefault="00970405" w:rsidP="006C6828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Develop an a</w:t>
            </w:r>
            <w:r w:rsidR="00FC26AF" w:rsidRPr="00D41289">
              <w:rPr>
                <w:rFonts w:cstheme="minorHAnsi"/>
                <w:sz w:val="24"/>
                <w:szCs w:val="24"/>
              </w:rPr>
              <w:t xml:space="preserve">greement with Department of Health and Human Services for Agriculture Victoria staff to be authorised under the </w:t>
            </w:r>
            <w:r w:rsidR="00FC26AF" w:rsidRPr="00D41289">
              <w:rPr>
                <w:rFonts w:cstheme="minorHAnsi"/>
                <w:i/>
                <w:sz w:val="24"/>
                <w:szCs w:val="24"/>
              </w:rPr>
              <w:t>Drugs Poisons and Controlled Substances Act 1981</w:t>
            </w:r>
            <w:r w:rsidR="00FC26AF" w:rsidRPr="00D41289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621" w:type="dxa"/>
            <w:vAlign w:val="center"/>
          </w:tcPr>
          <w:p w:rsidR="00FC26AF" w:rsidRPr="00D41289" w:rsidRDefault="00FC26AF" w:rsidP="006C6828">
            <w:pPr>
              <w:rPr>
                <w:rFonts w:cstheme="minorHAnsi"/>
                <w:sz w:val="24"/>
                <w:szCs w:val="24"/>
              </w:rPr>
            </w:pPr>
            <w:r w:rsidRPr="00D41289">
              <w:rPr>
                <w:rFonts w:cstheme="minorHAnsi"/>
                <w:sz w:val="24"/>
                <w:szCs w:val="24"/>
              </w:rPr>
              <w:t>30 June 2018</w:t>
            </w:r>
          </w:p>
        </w:tc>
      </w:tr>
      <w:tr w:rsidR="00A20BE4" w:rsidRPr="00A20BE4" w:rsidTr="006C6828">
        <w:tc>
          <w:tcPr>
            <w:tcW w:w="4621" w:type="dxa"/>
            <w:vAlign w:val="center"/>
          </w:tcPr>
          <w:p w:rsidR="008E2C62" w:rsidRPr="00FB4223" w:rsidRDefault="008E2C62" w:rsidP="006C6828">
            <w:pPr>
              <w:rPr>
                <w:rFonts w:cstheme="minorHAnsi"/>
                <w:sz w:val="24"/>
                <w:szCs w:val="24"/>
              </w:rPr>
            </w:pPr>
            <w:r w:rsidRPr="00593BBC">
              <w:rPr>
                <w:rFonts w:cs="Helv"/>
                <w:sz w:val="24"/>
                <w:szCs w:val="24"/>
              </w:rPr>
              <w:t xml:space="preserve">Clarify roles and responsibilities between DEDJTR and Department of Health and Human Services for primary production related food safety incident management under the </w:t>
            </w:r>
            <w:r w:rsidRPr="00593BBC">
              <w:rPr>
                <w:rFonts w:cs="Helv"/>
                <w:i/>
                <w:iCs/>
                <w:sz w:val="24"/>
                <w:szCs w:val="24"/>
              </w:rPr>
              <w:t>Victorian Food Act 1984.</w:t>
            </w:r>
          </w:p>
        </w:tc>
        <w:tc>
          <w:tcPr>
            <w:tcW w:w="4621" w:type="dxa"/>
            <w:vAlign w:val="center"/>
          </w:tcPr>
          <w:p w:rsidR="008E2C62" w:rsidRPr="00FF34F6" w:rsidRDefault="00A75BDF" w:rsidP="000F6F45">
            <w:pPr>
              <w:rPr>
                <w:rFonts w:cstheme="minorHAnsi"/>
                <w:sz w:val="24"/>
                <w:szCs w:val="24"/>
              </w:rPr>
            </w:pPr>
            <w:r w:rsidRPr="00FB4223">
              <w:rPr>
                <w:rFonts w:cstheme="minorHAnsi"/>
                <w:sz w:val="24"/>
                <w:szCs w:val="24"/>
              </w:rPr>
              <w:t>30 June 2018</w:t>
            </w:r>
          </w:p>
        </w:tc>
      </w:tr>
      <w:tr w:rsidR="00A20BE4" w:rsidRPr="00A20BE4" w:rsidTr="00E60807">
        <w:tc>
          <w:tcPr>
            <w:tcW w:w="4621" w:type="dxa"/>
            <w:vAlign w:val="center"/>
          </w:tcPr>
          <w:p w:rsidR="00F50B77" w:rsidRPr="00806593" w:rsidRDefault="003D194C" w:rsidP="00651D0C">
            <w:pPr>
              <w:rPr>
                <w:rFonts w:cstheme="minorHAnsi"/>
                <w:sz w:val="24"/>
                <w:szCs w:val="24"/>
              </w:rPr>
            </w:pPr>
            <w:r w:rsidRPr="00806593">
              <w:rPr>
                <w:rFonts w:cstheme="minorHAnsi"/>
                <w:sz w:val="24"/>
                <w:szCs w:val="24"/>
              </w:rPr>
              <w:t xml:space="preserve">Publish </w:t>
            </w:r>
            <w:r w:rsidR="00806593" w:rsidRPr="00806593">
              <w:rPr>
                <w:rFonts w:cstheme="minorHAnsi"/>
                <w:sz w:val="24"/>
                <w:szCs w:val="24"/>
              </w:rPr>
              <w:t>a statement c</w:t>
            </w:r>
            <w:r w:rsidRPr="00806593">
              <w:rPr>
                <w:rFonts w:cstheme="minorHAnsi"/>
                <w:sz w:val="24"/>
                <w:szCs w:val="24"/>
              </w:rPr>
              <w:t>larify</w:t>
            </w:r>
            <w:r w:rsidR="00806593" w:rsidRPr="00806593">
              <w:rPr>
                <w:rFonts w:cstheme="minorHAnsi"/>
                <w:sz w:val="24"/>
                <w:szCs w:val="24"/>
              </w:rPr>
              <w:t>ing the arrangement</w:t>
            </w:r>
            <w:r w:rsidRPr="00806593">
              <w:rPr>
                <w:rFonts w:cstheme="minorHAnsi"/>
                <w:sz w:val="24"/>
                <w:szCs w:val="24"/>
              </w:rPr>
              <w:t xml:space="preserve"> between </w:t>
            </w:r>
            <w:r w:rsidR="00A75BDF" w:rsidRPr="00806593">
              <w:rPr>
                <w:rFonts w:cstheme="minorHAnsi"/>
                <w:sz w:val="24"/>
                <w:szCs w:val="24"/>
              </w:rPr>
              <w:t xml:space="preserve">the </w:t>
            </w:r>
            <w:r w:rsidR="00F50B77" w:rsidRPr="00806593">
              <w:rPr>
                <w:rFonts w:cstheme="minorHAnsi"/>
                <w:sz w:val="24"/>
                <w:szCs w:val="24"/>
              </w:rPr>
              <w:t xml:space="preserve">RSPCA Victoria and DEDJTR in </w:t>
            </w:r>
            <w:r w:rsidR="00651D0C">
              <w:rPr>
                <w:rFonts w:cstheme="minorHAnsi"/>
                <w:sz w:val="24"/>
                <w:szCs w:val="24"/>
              </w:rPr>
              <w:t xml:space="preserve">relation to </w:t>
            </w:r>
            <w:r w:rsidR="00F50B77" w:rsidRPr="00806593">
              <w:rPr>
                <w:rFonts w:cstheme="minorHAnsi"/>
                <w:sz w:val="24"/>
                <w:szCs w:val="24"/>
              </w:rPr>
              <w:t>animal welfare</w:t>
            </w:r>
            <w:r w:rsidR="00806593" w:rsidRPr="00806593">
              <w:rPr>
                <w:rFonts w:cstheme="minorHAnsi"/>
                <w:sz w:val="24"/>
                <w:szCs w:val="24"/>
              </w:rPr>
              <w:t xml:space="preserve"> on the Agriculture Victoria website to provide the public community with an overview of the different roles and </w:t>
            </w:r>
            <w:r w:rsidR="00F86B0B" w:rsidRPr="00806593">
              <w:rPr>
                <w:rFonts w:cstheme="minorHAnsi"/>
                <w:sz w:val="24"/>
                <w:szCs w:val="24"/>
              </w:rPr>
              <w:t>responsibilities</w:t>
            </w:r>
            <w:r w:rsidR="00806593" w:rsidRPr="00806593">
              <w:rPr>
                <w:rFonts w:cstheme="minorHAnsi"/>
                <w:sz w:val="24"/>
                <w:szCs w:val="24"/>
              </w:rPr>
              <w:t xml:space="preserve"> of </w:t>
            </w:r>
            <w:r w:rsidR="00651D0C">
              <w:rPr>
                <w:rFonts w:cstheme="minorHAnsi"/>
                <w:sz w:val="24"/>
                <w:szCs w:val="24"/>
              </w:rPr>
              <w:t xml:space="preserve">the </w:t>
            </w:r>
            <w:proofErr w:type="gramStart"/>
            <w:r w:rsidR="00651D0C">
              <w:rPr>
                <w:rFonts w:cstheme="minorHAnsi"/>
                <w:sz w:val="24"/>
                <w:szCs w:val="24"/>
              </w:rPr>
              <w:t xml:space="preserve">respective </w:t>
            </w:r>
            <w:r w:rsidR="00651D0C" w:rsidRPr="00806593">
              <w:rPr>
                <w:rFonts w:cstheme="minorHAnsi"/>
                <w:sz w:val="24"/>
                <w:szCs w:val="24"/>
              </w:rPr>
              <w:t xml:space="preserve"> </w:t>
            </w:r>
            <w:r w:rsidR="00806593" w:rsidRPr="00806593">
              <w:rPr>
                <w:rFonts w:cstheme="minorHAnsi"/>
                <w:sz w:val="24"/>
                <w:szCs w:val="24"/>
              </w:rPr>
              <w:t>organisation</w:t>
            </w:r>
            <w:r w:rsidR="00651D0C">
              <w:rPr>
                <w:rFonts w:cstheme="minorHAnsi"/>
                <w:sz w:val="24"/>
                <w:szCs w:val="24"/>
              </w:rPr>
              <w:t>s</w:t>
            </w:r>
            <w:proofErr w:type="gramEnd"/>
            <w:r w:rsidR="00806593" w:rsidRPr="0080659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F50B77" w:rsidRPr="00806593" w:rsidRDefault="00F50B77" w:rsidP="00E60807">
            <w:pPr>
              <w:rPr>
                <w:rFonts w:cstheme="minorHAnsi"/>
                <w:sz w:val="24"/>
                <w:szCs w:val="24"/>
              </w:rPr>
            </w:pPr>
            <w:r w:rsidRPr="00806593">
              <w:rPr>
                <w:rFonts w:cstheme="minorHAnsi"/>
                <w:sz w:val="24"/>
                <w:szCs w:val="24"/>
              </w:rPr>
              <w:t>30 June 2018</w:t>
            </w:r>
          </w:p>
        </w:tc>
      </w:tr>
      <w:tr w:rsidR="00F50B77" w:rsidRPr="00A20BE4" w:rsidTr="00E60807">
        <w:tc>
          <w:tcPr>
            <w:tcW w:w="4621" w:type="dxa"/>
            <w:vAlign w:val="center"/>
          </w:tcPr>
          <w:p w:rsidR="00F50B77" w:rsidRPr="00A20BE4" w:rsidRDefault="00F50B77" w:rsidP="00E60807">
            <w:pPr>
              <w:rPr>
                <w:rFonts w:cstheme="minorHAnsi"/>
                <w:sz w:val="24"/>
                <w:szCs w:val="24"/>
              </w:rPr>
            </w:pPr>
            <w:r w:rsidRPr="00A20BE4">
              <w:rPr>
                <w:rFonts w:cstheme="minorHAnsi"/>
                <w:sz w:val="24"/>
                <w:szCs w:val="24"/>
              </w:rPr>
              <w:t xml:space="preserve">Document the Victorian enforcement framework for animal welfare in Victoria and identify where greater clarity is required. </w:t>
            </w:r>
          </w:p>
        </w:tc>
        <w:tc>
          <w:tcPr>
            <w:tcW w:w="4621" w:type="dxa"/>
            <w:vAlign w:val="center"/>
          </w:tcPr>
          <w:p w:rsidR="00F50B77" w:rsidRPr="00A20BE4" w:rsidRDefault="00F50B77" w:rsidP="00E60807">
            <w:pPr>
              <w:rPr>
                <w:rFonts w:cstheme="minorHAnsi"/>
                <w:sz w:val="24"/>
                <w:szCs w:val="24"/>
              </w:rPr>
            </w:pPr>
            <w:r w:rsidRPr="00A20BE4">
              <w:rPr>
                <w:rFonts w:cstheme="minorHAnsi"/>
                <w:sz w:val="24"/>
                <w:szCs w:val="24"/>
              </w:rPr>
              <w:t>30 June 2018</w:t>
            </w:r>
          </w:p>
        </w:tc>
      </w:tr>
    </w:tbl>
    <w:p w:rsidR="00FC26AF" w:rsidRPr="00A20BE4" w:rsidRDefault="00FC26AF" w:rsidP="00352936">
      <w:pPr>
        <w:rPr>
          <w:rFonts w:asciiTheme="minorHAnsi" w:hAnsiTheme="minorHAnsi" w:cstheme="minorHAnsi"/>
          <w:sz w:val="24"/>
          <w:szCs w:val="24"/>
        </w:rPr>
      </w:pPr>
    </w:p>
    <w:p w:rsidR="00352936" w:rsidRPr="00A20BE4" w:rsidRDefault="00FC26AF" w:rsidP="0035293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A20BE4">
        <w:rPr>
          <w:rFonts w:asciiTheme="minorHAnsi" w:hAnsiTheme="minorHAnsi" w:cstheme="minorHAnsi"/>
          <w:b/>
          <w:i/>
          <w:sz w:val="24"/>
          <w:szCs w:val="24"/>
        </w:rPr>
        <w:t>Cooperation among regulators</w:t>
      </w:r>
    </w:p>
    <w:p w:rsidR="00352936" w:rsidRPr="00A20BE4" w:rsidRDefault="00352936" w:rsidP="00352936">
      <w:pPr>
        <w:rPr>
          <w:rFonts w:ascii="Arial" w:hAnsi="Arial" w:cs="Tahoma"/>
          <w:sz w:val="22"/>
          <w:szCs w:val="22"/>
          <w:lang w:eastAsia="en-AU"/>
        </w:rPr>
      </w:pPr>
    </w:p>
    <w:p w:rsidR="00FC26AF" w:rsidRPr="00A20BE4" w:rsidRDefault="00FC26AF" w:rsidP="00FC26AF">
      <w:pPr>
        <w:rPr>
          <w:rFonts w:asciiTheme="minorHAnsi" w:hAnsiTheme="minorHAnsi" w:cstheme="minorHAnsi"/>
          <w:sz w:val="24"/>
          <w:szCs w:val="24"/>
        </w:rPr>
      </w:pPr>
      <w:r w:rsidRPr="00A20BE4">
        <w:rPr>
          <w:rFonts w:asciiTheme="minorHAnsi" w:hAnsiTheme="minorHAnsi" w:cstheme="minorHAnsi"/>
          <w:sz w:val="24"/>
          <w:szCs w:val="24"/>
        </w:rPr>
        <w:t xml:space="preserve">Agriculture </w:t>
      </w:r>
      <w:r w:rsidR="00A30E68" w:rsidRPr="00A20BE4">
        <w:rPr>
          <w:rFonts w:asciiTheme="minorHAnsi" w:hAnsiTheme="minorHAnsi" w:cstheme="minorHAnsi"/>
          <w:sz w:val="24"/>
          <w:szCs w:val="24"/>
        </w:rPr>
        <w:t xml:space="preserve">Victoria </w:t>
      </w:r>
      <w:r w:rsidR="009C6801">
        <w:rPr>
          <w:rFonts w:asciiTheme="minorHAnsi" w:hAnsiTheme="minorHAnsi" w:cstheme="minorHAnsi"/>
          <w:sz w:val="24"/>
          <w:szCs w:val="24"/>
        </w:rPr>
        <w:t xml:space="preserve">regularly </w:t>
      </w:r>
      <w:r w:rsidRPr="00A20BE4">
        <w:rPr>
          <w:rFonts w:asciiTheme="minorHAnsi" w:hAnsiTheme="minorHAnsi" w:cstheme="minorHAnsi"/>
          <w:sz w:val="24"/>
          <w:szCs w:val="24"/>
        </w:rPr>
        <w:t>conduct</w:t>
      </w:r>
      <w:r w:rsidR="009C6801">
        <w:rPr>
          <w:rFonts w:asciiTheme="minorHAnsi" w:hAnsiTheme="minorHAnsi" w:cstheme="minorHAnsi"/>
          <w:sz w:val="24"/>
          <w:szCs w:val="24"/>
        </w:rPr>
        <w:t xml:space="preserve">s </w:t>
      </w:r>
      <w:r w:rsidRPr="00A20BE4">
        <w:rPr>
          <w:rFonts w:asciiTheme="minorHAnsi" w:hAnsiTheme="minorHAnsi" w:cstheme="minorHAnsi"/>
          <w:sz w:val="24"/>
          <w:szCs w:val="24"/>
        </w:rPr>
        <w:t xml:space="preserve">emergency </w:t>
      </w:r>
      <w:r w:rsidR="002B5A2F">
        <w:rPr>
          <w:rFonts w:asciiTheme="minorHAnsi" w:hAnsiTheme="minorHAnsi" w:cstheme="minorHAnsi"/>
          <w:sz w:val="24"/>
          <w:szCs w:val="24"/>
        </w:rPr>
        <w:t xml:space="preserve">response </w:t>
      </w:r>
      <w:r w:rsidRPr="00A20BE4">
        <w:rPr>
          <w:rFonts w:asciiTheme="minorHAnsi" w:hAnsiTheme="minorHAnsi" w:cstheme="minorHAnsi"/>
          <w:sz w:val="24"/>
          <w:szCs w:val="24"/>
        </w:rPr>
        <w:t xml:space="preserve">exercises </w:t>
      </w:r>
      <w:r w:rsidR="00B427A4" w:rsidRPr="00A20BE4">
        <w:rPr>
          <w:rFonts w:asciiTheme="minorHAnsi" w:hAnsiTheme="minorHAnsi" w:cstheme="minorHAnsi"/>
          <w:sz w:val="24"/>
          <w:szCs w:val="24"/>
        </w:rPr>
        <w:t>for biosecurity related incidents</w:t>
      </w:r>
      <w:r w:rsidR="00CD659E">
        <w:rPr>
          <w:rFonts w:asciiTheme="minorHAnsi" w:hAnsiTheme="minorHAnsi" w:cstheme="minorHAnsi"/>
          <w:sz w:val="24"/>
          <w:szCs w:val="24"/>
        </w:rPr>
        <w:t>.</w:t>
      </w:r>
      <w:r w:rsidR="002B5A2F">
        <w:rPr>
          <w:rFonts w:asciiTheme="minorHAnsi" w:hAnsiTheme="minorHAnsi" w:cstheme="minorHAnsi"/>
          <w:sz w:val="24"/>
          <w:szCs w:val="24"/>
        </w:rPr>
        <w:t xml:space="preserve"> </w:t>
      </w:r>
      <w:r w:rsidR="009C6801">
        <w:rPr>
          <w:rFonts w:asciiTheme="minorHAnsi" w:hAnsiTheme="minorHAnsi" w:cstheme="minorHAnsi"/>
          <w:sz w:val="24"/>
          <w:szCs w:val="24"/>
        </w:rPr>
        <w:t>Recent</w:t>
      </w:r>
      <w:r w:rsidR="009C6801" w:rsidRPr="00A20BE4">
        <w:rPr>
          <w:rFonts w:asciiTheme="minorHAnsi" w:hAnsiTheme="minorHAnsi" w:cstheme="minorHAnsi"/>
          <w:sz w:val="24"/>
          <w:szCs w:val="24"/>
        </w:rPr>
        <w:t xml:space="preserve">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exercises included </w:t>
      </w:r>
      <w:r w:rsidRPr="00A20BE4">
        <w:rPr>
          <w:rFonts w:asciiTheme="minorHAnsi" w:hAnsiTheme="minorHAnsi" w:cstheme="minorHAnsi"/>
          <w:sz w:val="24"/>
          <w:szCs w:val="24"/>
        </w:rPr>
        <w:t xml:space="preserve">attendance from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several </w:t>
      </w:r>
      <w:r w:rsidRPr="00A20BE4">
        <w:rPr>
          <w:rFonts w:asciiTheme="minorHAnsi" w:hAnsiTheme="minorHAnsi" w:cstheme="minorHAnsi"/>
          <w:sz w:val="24"/>
          <w:szCs w:val="24"/>
        </w:rPr>
        <w:t xml:space="preserve">key agencies such as Victoria Police,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the </w:t>
      </w:r>
      <w:r w:rsidRPr="00A20BE4">
        <w:rPr>
          <w:rFonts w:asciiTheme="minorHAnsi" w:hAnsiTheme="minorHAnsi" w:cstheme="minorHAnsi"/>
          <w:sz w:val="24"/>
          <w:szCs w:val="24"/>
        </w:rPr>
        <w:t>Department of Health</w:t>
      </w:r>
      <w:r w:rsidR="004C5B15" w:rsidRPr="00A20BE4">
        <w:rPr>
          <w:rFonts w:asciiTheme="minorHAnsi" w:hAnsiTheme="minorHAnsi" w:cstheme="minorHAnsi"/>
          <w:sz w:val="24"/>
          <w:szCs w:val="24"/>
        </w:rPr>
        <w:t xml:space="preserve"> and Human Services, and f</w:t>
      </w:r>
      <w:r w:rsidRPr="00A20BE4">
        <w:rPr>
          <w:rFonts w:asciiTheme="minorHAnsi" w:hAnsiTheme="minorHAnsi" w:cstheme="minorHAnsi"/>
          <w:sz w:val="24"/>
          <w:szCs w:val="24"/>
        </w:rPr>
        <w:t>ederal agencies including the Department of Agriculture and Water Resources</w:t>
      </w:r>
      <w:r w:rsidR="004C5B15" w:rsidRPr="00A20BE4">
        <w:rPr>
          <w:rFonts w:asciiTheme="minorHAnsi" w:hAnsiTheme="minorHAnsi" w:cstheme="minorHAnsi"/>
          <w:sz w:val="24"/>
          <w:szCs w:val="24"/>
        </w:rPr>
        <w:t>,</w:t>
      </w:r>
      <w:r w:rsidR="00A30E68" w:rsidRPr="00A20BE4">
        <w:rPr>
          <w:rFonts w:asciiTheme="minorHAnsi" w:hAnsiTheme="minorHAnsi" w:cstheme="minorHAnsi"/>
          <w:sz w:val="24"/>
          <w:szCs w:val="24"/>
        </w:rPr>
        <w:t xml:space="preserve"> and </w:t>
      </w:r>
      <w:r w:rsidRPr="00A20BE4">
        <w:rPr>
          <w:rFonts w:asciiTheme="minorHAnsi" w:hAnsiTheme="minorHAnsi" w:cstheme="minorHAnsi"/>
          <w:sz w:val="24"/>
          <w:szCs w:val="24"/>
        </w:rPr>
        <w:t xml:space="preserve">Plant Health Australia. </w:t>
      </w:r>
      <w:r w:rsidR="009C6801">
        <w:rPr>
          <w:rFonts w:asciiTheme="minorHAnsi" w:hAnsiTheme="minorHAnsi" w:cstheme="minorHAnsi"/>
          <w:sz w:val="24"/>
          <w:szCs w:val="24"/>
        </w:rPr>
        <w:t xml:space="preserve"> </w:t>
      </w:r>
      <w:r w:rsidRPr="00A20BE4">
        <w:rPr>
          <w:rFonts w:asciiTheme="minorHAnsi" w:hAnsiTheme="minorHAnsi" w:cstheme="minorHAnsi"/>
          <w:sz w:val="24"/>
          <w:szCs w:val="24"/>
        </w:rPr>
        <w:t>All exercises are evaluated</w:t>
      </w:r>
      <w:r w:rsidR="00B427A4" w:rsidRPr="00A20BE4">
        <w:rPr>
          <w:rFonts w:asciiTheme="minorHAnsi" w:hAnsiTheme="minorHAnsi" w:cstheme="minorHAnsi"/>
          <w:sz w:val="24"/>
          <w:szCs w:val="24"/>
        </w:rPr>
        <w:t>,</w:t>
      </w:r>
      <w:r w:rsidRPr="00A20BE4">
        <w:rPr>
          <w:rFonts w:asciiTheme="minorHAnsi" w:hAnsiTheme="minorHAnsi" w:cstheme="minorHAnsi"/>
          <w:sz w:val="24"/>
          <w:szCs w:val="24"/>
        </w:rPr>
        <w:t xml:space="preserve"> with </w:t>
      </w:r>
      <w:r w:rsidR="00B427A4" w:rsidRPr="00A20BE4">
        <w:rPr>
          <w:rFonts w:asciiTheme="minorHAnsi" w:hAnsiTheme="minorHAnsi" w:cstheme="minorHAnsi"/>
          <w:sz w:val="24"/>
          <w:szCs w:val="24"/>
        </w:rPr>
        <w:t>a range</w:t>
      </w:r>
      <w:r w:rsidRPr="00A20BE4">
        <w:rPr>
          <w:rFonts w:asciiTheme="minorHAnsi" w:hAnsiTheme="minorHAnsi" w:cstheme="minorHAnsi"/>
          <w:sz w:val="24"/>
          <w:szCs w:val="24"/>
        </w:rPr>
        <w:t xml:space="preserve"> of recommendations developed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 for consideration</w:t>
      </w:r>
      <w:r w:rsidRPr="00A20BE4">
        <w:rPr>
          <w:rFonts w:asciiTheme="minorHAnsi" w:hAnsiTheme="minorHAnsi" w:cstheme="minorHAnsi"/>
          <w:sz w:val="24"/>
          <w:szCs w:val="24"/>
        </w:rPr>
        <w:t>.</w:t>
      </w:r>
      <w:r w:rsidR="002B5A2F">
        <w:rPr>
          <w:rFonts w:asciiTheme="minorHAnsi" w:hAnsiTheme="minorHAnsi" w:cstheme="minorHAnsi"/>
          <w:sz w:val="24"/>
          <w:szCs w:val="24"/>
        </w:rPr>
        <w:t xml:space="preserve"> Agriculture Victoria will continue to run emergency response exercises</w:t>
      </w:r>
      <w:r w:rsidR="000C3FE5">
        <w:rPr>
          <w:rFonts w:asciiTheme="minorHAnsi" w:hAnsiTheme="minorHAnsi" w:cstheme="minorHAnsi"/>
          <w:sz w:val="24"/>
          <w:szCs w:val="24"/>
        </w:rPr>
        <w:t xml:space="preserve"> focusing on coordination between DEDJTR and other emergency response agencies</w:t>
      </w:r>
      <w:r w:rsidR="009C6801">
        <w:rPr>
          <w:rFonts w:asciiTheme="minorHAnsi" w:hAnsiTheme="minorHAnsi" w:cstheme="minorHAnsi"/>
          <w:sz w:val="24"/>
          <w:szCs w:val="24"/>
        </w:rPr>
        <w:t xml:space="preserve">, with an increased </w:t>
      </w:r>
      <w:r w:rsidR="002B5A2F">
        <w:rPr>
          <w:rFonts w:asciiTheme="minorHAnsi" w:hAnsiTheme="minorHAnsi" w:cstheme="minorHAnsi"/>
          <w:sz w:val="24"/>
          <w:szCs w:val="24"/>
        </w:rPr>
        <w:t xml:space="preserve">focus </w:t>
      </w:r>
      <w:r w:rsidR="000C3FE5">
        <w:rPr>
          <w:rFonts w:asciiTheme="minorHAnsi" w:hAnsiTheme="minorHAnsi" w:cstheme="minorHAnsi"/>
          <w:sz w:val="24"/>
          <w:szCs w:val="24"/>
        </w:rPr>
        <w:t>o</w:t>
      </w:r>
      <w:r w:rsidR="009C6801">
        <w:rPr>
          <w:rFonts w:asciiTheme="minorHAnsi" w:hAnsiTheme="minorHAnsi" w:cstheme="minorHAnsi"/>
          <w:sz w:val="24"/>
          <w:szCs w:val="24"/>
        </w:rPr>
        <w:t>n</w:t>
      </w:r>
      <w:r w:rsidR="000C3FE5">
        <w:rPr>
          <w:rFonts w:asciiTheme="minorHAnsi" w:hAnsiTheme="minorHAnsi" w:cstheme="minorHAnsi"/>
          <w:sz w:val="24"/>
          <w:szCs w:val="24"/>
        </w:rPr>
        <w:t xml:space="preserve"> implementing</w:t>
      </w:r>
      <w:r w:rsidR="002B5A2F">
        <w:rPr>
          <w:rFonts w:asciiTheme="minorHAnsi" w:hAnsiTheme="minorHAnsi" w:cstheme="minorHAnsi"/>
          <w:sz w:val="24"/>
          <w:szCs w:val="24"/>
        </w:rPr>
        <w:t xml:space="preserve"> lessons learn</w:t>
      </w:r>
      <w:r w:rsidR="009C6801">
        <w:rPr>
          <w:rFonts w:asciiTheme="minorHAnsi" w:hAnsiTheme="minorHAnsi" w:cstheme="minorHAnsi"/>
          <w:sz w:val="24"/>
          <w:szCs w:val="24"/>
        </w:rPr>
        <w:t>ed.</w:t>
      </w:r>
    </w:p>
    <w:p w:rsidR="00FC26AF" w:rsidRPr="00A20BE4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A20BE4" w:rsidRDefault="00A30E68" w:rsidP="00FC26AF">
      <w:pPr>
        <w:rPr>
          <w:rFonts w:asciiTheme="minorHAnsi" w:hAnsiTheme="minorHAnsi"/>
          <w:sz w:val="24"/>
          <w:szCs w:val="24"/>
        </w:rPr>
      </w:pPr>
      <w:r w:rsidRPr="00A20BE4">
        <w:rPr>
          <w:rFonts w:asciiTheme="minorHAnsi" w:hAnsiTheme="minorHAnsi" w:cstheme="minorHAnsi"/>
          <w:sz w:val="24"/>
          <w:szCs w:val="24"/>
        </w:rPr>
        <w:t>Agriculture Victoria</w:t>
      </w:r>
      <w:r w:rsidR="00870266" w:rsidRPr="00A20BE4">
        <w:rPr>
          <w:rFonts w:asciiTheme="minorHAnsi" w:hAnsiTheme="minorHAnsi" w:cstheme="minorHAnsi"/>
          <w:sz w:val="24"/>
          <w:szCs w:val="24"/>
        </w:rPr>
        <w:t>’s</w:t>
      </w:r>
      <w:r w:rsidRPr="00A20B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51D0C">
        <w:rPr>
          <w:rFonts w:asciiTheme="minorHAnsi" w:hAnsiTheme="minorHAnsi" w:cstheme="minorHAnsi"/>
          <w:sz w:val="24"/>
          <w:szCs w:val="24"/>
        </w:rPr>
        <w:t>i</w:t>
      </w:r>
      <w:r w:rsidR="00FC26AF" w:rsidRPr="00A20BE4">
        <w:rPr>
          <w:rFonts w:asciiTheme="minorHAnsi" w:hAnsiTheme="minorHAnsi" w:cstheme="minorHAnsi"/>
          <w:sz w:val="24"/>
          <w:szCs w:val="24"/>
        </w:rPr>
        <w:t>nvasives</w:t>
      </w:r>
      <w:proofErr w:type="spellEnd"/>
      <w:r w:rsidR="00FC26AF" w:rsidRPr="00A20BE4">
        <w:rPr>
          <w:rFonts w:asciiTheme="minorHAnsi" w:hAnsiTheme="minorHAnsi" w:cstheme="minorHAnsi"/>
          <w:sz w:val="24"/>
          <w:szCs w:val="24"/>
        </w:rPr>
        <w:t xml:space="preserve"> program will </w:t>
      </w:r>
      <w:r w:rsidR="00AE70BE" w:rsidRPr="00A20BE4">
        <w:rPr>
          <w:rFonts w:asciiTheme="minorHAnsi" w:hAnsiTheme="minorHAnsi" w:cstheme="minorHAnsi"/>
          <w:sz w:val="24"/>
          <w:szCs w:val="24"/>
        </w:rPr>
        <w:t xml:space="preserve">continue to work collaboratively with </w:t>
      </w:r>
      <w:r w:rsidRPr="00A20BE4">
        <w:rPr>
          <w:rFonts w:asciiTheme="minorHAnsi" w:hAnsiTheme="minorHAnsi" w:cstheme="minorHAnsi"/>
          <w:sz w:val="24"/>
          <w:szCs w:val="24"/>
        </w:rPr>
        <w:t xml:space="preserve">the </w:t>
      </w:r>
      <w:r w:rsidR="00AE70BE" w:rsidRPr="00A20BE4">
        <w:rPr>
          <w:rFonts w:asciiTheme="minorHAnsi" w:hAnsiTheme="minorHAnsi" w:cstheme="minorHAnsi"/>
          <w:sz w:val="24"/>
          <w:szCs w:val="24"/>
        </w:rPr>
        <w:t xml:space="preserve">DELWP to monitor and regulate </w:t>
      </w:r>
      <w:r w:rsidR="00FC26AF" w:rsidRPr="00A20BE4">
        <w:rPr>
          <w:rFonts w:asciiTheme="minorHAnsi" w:hAnsiTheme="minorHAnsi" w:cstheme="minorHAnsi"/>
          <w:sz w:val="24"/>
          <w:szCs w:val="24"/>
        </w:rPr>
        <w:t>the illegal trade in exotic pest animals.</w:t>
      </w:r>
      <w:r w:rsidR="00AE70BE" w:rsidRPr="00A20BE4">
        <w:rPr>
          <w:rFonts w:asciiTheme="minorHAnsi" w:hAnsiTheme="minorHAnsi" w:cstheme="minorHAnsi"/>
          <w:sz w:val="24"/>
          <w:szCs w:val="24"/>
        </w:rPr>
        <w:t xml:space="preserve"> </w:t>
      </w:r>
      <w:r w:rsidR="00AE70BE" w:rsidRPr="00A20BE4">
        <w:rPr>
          <w:rFonts w:asciiTheme="minorHAnsi" w:hAnsiTheme="minorHAnsi"/>
          <w:sz w:val="24"/>
          <w:szCs w:val="24"/>
        </w:rPr>
        <w:t xml:space="preserve">The </w:t>
      </w:r>
      <w:proofErr w:type="spellStart"/>
      <w:r w:rsidR="00651D0C">
        <w:rPr>
          <w:rFonts w:asciiTheme="minorHAnsi" w:hAnsiTheme="minorHAnsi"/>
          <w:sz w:val="24"/>
          <w:szCs w:val="24"/>
        </w:rPr>
        <w:t>i</w:t>
      </w:r>
      <w:r w:rsidR="00AE70BE" w:rsidRPr="00A20BE4">
        <w:rPr>
          <w:rFonts w:asciiTheme="minorHAnsi" w:hAnsiTheme="minorHAnsi"/>
          <w:sz w:val="24"/>
          <w:szCs w:val="24"/>
        </w:rPr>
        <w:t>nvasive</w:t>
      </w:r>
      <w:r w:rsidR="00B427A4" w:rsidRPr="00A20BE4">
        <w:rPr>
          <w:rFonts w:asciiTheme="minorHAnsi" w:hAnsiTheme="minorHAnsi"/>
          <w:sz w:val="24"/>
          <w:szCs w:val="24"/>
        </w:rPr>
        <w:t>s</w:t>
      </w:r>
      <w:proofErr w:type="spellEnd"/>
      <w:r w:rsidR="00AE70BE" w:rsidRPr="00A20BE4">
        <w:rPr>
          <w:rFonts w:asciiTheme="minorHAnsi" w:hAnsiTheme="minorHAnsi"/>
          <w:sz w:val="24"/>
          <w:szCs w:val="24"/>
        </w:rPr>
        <w:t xml:space="preserve"> program will also work alongside Crime Stoppers Victoria to encour</w:t>
      </w:r>
      <w:r w:rsidR="00B427A4" w:rsidRPr="00A20BE4">
        <w:rPr>
          <w:rFonts w:asciiTheme="minorHAnsi" w:hAnsiTheme="minorHAnsi"/>
          <w:sz w:val="24"/>
          <w:szCs w:val="24"/>
        </w:rPr>
        <w:t xml:space="preserve">age the community to report any activities or information relating to the </w:t>
      </w:r>
      <w:r w:rsidR="00AE70BE" w:rsidRPr="00A20BE4">
        <w:rPr>
          <w:rFonts w:asciiTheme="minorHAnsi" w:hAnsiTheme="minorHAnsi"/>
          <w:sz w:val="24"/>
          <w:szCs w:val="24"/>
        </w:rPr>
        <w:t xml:space="preserve">illegal trade of </w:t>
      </w:r>
      <w:proofErr w:type="gramStart"/>
      <w:r w:rsidR="00AE70BE" w:rsidRPr="00A20BE4">
        <w:rPr>
          <w:rFonts w:asciiTheme="minorHAnsi" w:hAnsiTheme="minorHAnsi"/>
          <w:sz w:val="24"/>
          <w:szCs w:val="24"/>
        </w:rPr>
        <w:t>high risk</w:t>
      </w:r>
      <w:proofErr w:type="gramEnd"/>
      <w:r w:rsidR="00AE70BE" w:rsidRPr="00A20BE4">
        <w:rPr>
          <w:rFonts w:asciiTheme="minorHAnsi" w:hAnsiTheme="minorHAnsi"/>
          <w:sz w:val="24"/>
          <w:szCs w:val="24"/>
        </w:rPr>
        <w:t xml:space="preserve"> invasive animals.</w:t>
      </w:r>
    </w:p>
    <w:p w:rsidR="008D2E0C" w:rsidRDefault="008D2E0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FC26AF" w:rsidRPr="00A621F2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0BE4" w:rsidRPr="00A621F2" w:rsidTr="006C6828"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A621F2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A621F2">
              <w:rPr>
                <w:rFonts w:cstheme="minorHAnsi"/>
                <w:b/>
                <w:sz w:val="24"/>
                <w:szCs w:val="24"/>
              </w:rPr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A621F2" w:rsidRDefault="00FC26AF" w:rsidP="006C6828">
            <w:pPr>
              <w:rPr>
                <w:rFonts w:cstheme="minorHAnsi"/>
                <w:b/>
                <w:sz w:val="24"/>
                <w:szCs w:val="24"/>
              </w:rPr>
            </w:pPr>
            <w:r w:rsidRPr="00A621F2">
              <w:rPr>
                <w:rFonts w:cstheme="minorHAnsi"/>
                <w:b/>
                <w:sz w:val="24"/>
                <w:szCs w:val="24"/>
              </w:rPr>
              <w:t xml:space="preserve">Target </w:t>
            </w:r>
          </w:p>
        </w:tc>
      </w:tr>
      <w:tr w:rsidR="00A20BE4" w:rsidRPr="00A20BE4" w:rsidTr="006C6828">
        <w:tc>
          <w:tcPr>
            <w:tcW w:w="4621" w:type="dxa"/>
            <w:vAlign w:val="center"/>
          </w:tcPr>
          <w:p w:rsidR="00FC26AF" w:rsidRPr="00FB4223" w:rsidRDefault="00FC26AF" w:rsidP="0044388B">
            <w:pPr>
              <w:rPr>
                <w:rFonts w:cstheme="minorHAnsi"/>
                <w:sz w:val="24"/>
                <w:szCs w:val="24"/>
              </w:rPr>
            </w:pPr>
            <w:r w:rsidRPr="00A621F2">
              <w:rPr>
                <w:rFonts w:cstheme="minorHAnsi"/>
                <w:sz w:val="24"/>
                <w:szCs w:val="24"/>
              </w:rPr>
              <w:t xml:space="preserve">Conduct at </w:t>
            </w:r>
            <w:r w:rsidRPr="00D35FFC">
              <w:rPr>
                <w:rFonts w:cstheme="minorHAnsi"/>
                <w:sz w:val="24"/>
                <w:szCs w:val="24"/>
              </w:rPr>
              <w:t xml:space="preserve">least </w:t>
            </w:r>
            <w:r w:rsidR="0044388B">
              <w:rPr>
                <w:rFonts w:cstheme="minorHAnsi"/>
                <w:sz w:val="24"/>
                <w:szCs w:val="24"/>
              </w:rPr>
              <w:t>one</w:t>
            </w:r>
            <w:r w:rsidR="0044388B" w:rsidRPr="00D35FFC">
              <w:rPr>
                <w:rFonts w:cstheme="minorHAnsi"/>
                <w:sz w:val="24"/>
                <w:szCs w:val="24"/>
              </w:rPr>
              <w:t xml:space="preserve"> </w:t>
            </w:r>
            <w:r w:rsidR="00A621F2" w:rsidRPr="00D35FFC">
              <w:rPr>
                <w:rFonts w:cstheme="minorHAnsi"/>
                <w:sz w:val="24"/>
                <w:szCs w:val="24"/>
              </w:rPr>
              <w:t xml:space="preserve">disease </w:t>
            </w:r>
            <w:r w:rsidRPr="00D35FFC">
              <w:rPr>
                <w:rFonts w:cstheme="minorHAnsi"/>
                <w:sz w:val="24"/>
                <w:szCs w:val="24"/>
              </w:rPr>
              <w:t xml:space="preserve">emergency </w:t>
            </w:r>
            <w:r w:rsidR="00202B21" w:rsidRPr="00D35FFC">
              <w:rPr>
                <w:rFonts w:cstheme="minorHAnsi"/>
                <w:sz w:val="24"/>
                <w:szCs w:val="24"/>
              </w:rPr>
              <w:t>exercise per</w:t>
            </w:r>
            <w:r w:rsidRPr="00D35FFC">
              <w:rPr>
                <w:rFonts w:cstheme="minorHAnsi"/>
                <w:sz w:val="24"/>
                <w:szCs w:val="24"/>
              </w:rPr>
              <w:t xml:space="preserve"> year </w:t>
            </w:r>
            <w:r w:rsidR="00202B21" w:rsidRPr="00D35FFC">
              <w:rPr>
                <w:rFonts w:cstheme="minorHAnsi"/>
                <w:sz w:val="24"/>
                <w:szCs w:val="24"/>
              </w:rPr>
              <w:t>in consultation with other state and federal departments</w:t>
            </w:r>
            <w:r w:rsidR="00202B21">
              <w:rPr>
                <w:rFonts w:cstheme="minorHAnsi"/>
                <w:sz w:val="24"/>
                <w:szCs w:val="24"/>
              </w:rPr>
              <w:t xml:space="preserve"> as required.</w:t>
            </w:r>
          </w:p>
        </w:tc>
        <w:tc>
          <w:tcPr>
            <w:tcW w:w="4621" w:type="dxa"/>
            <w:vAlign w:val="center"/>
          </w:tcPr>
          <w:p w:rsidR="00FC26AF" w:rsidRPr="007501EE" w:rsidRDefault="00B427A4" w:rsidP="006C6828">
            <w:pPr>
              <w:rPr>
                <w:rFonts w:cstheme="minorHAnsi"/>
                <w:sz w:val="24"/>
                <w:szCs w:val="24"/>
              </w:rPr>
            </w:pPr>
            <w:r w:rsidRPr="00FF34F6">
              <w:rPr>
                <w:rFonts w:cstheme="minorHAnsi"/>
                <w:sz w:val="24"/>
                <w:szCs w:val="24"/>
              </w:rPr>
              <w:t>Annually</w:t>
            </w:r>
            <w:r w:rsidR="00FC26AF" w:rsidRPr="00FF34F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5FFC" w:rsidRPr="00A20BE4" w:rsidTr="006C6828">
        <w:tc>
          <w:tcPr>
            <w:tcW w:w="4621" w:type="dxa"/>
            <w:vAlign w:val="center"/>
          </w:tcPr>
          <w:p w:rsidR="00FC26AF" w:rsidRPr="00FF34F6" w:rsidRDefault="005B04F0" w:rsidP="00D35F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Undertake a monitoring and reporting program in association with at least one other </w:t>
            </w:r>
            <w:r w:rsidR="00D35FFC">
              <w:rPr>
                <w:rFonts w:cstheme="minorHAnsi"/>
                <w:sz w:val="24"/>
                <w:szCs w:val="24"/>
              </w:rPr>
              <w:t xml:space="preserve">regulator to increase community reporting of </w:t>
            </w:r>
            <w:proofErr w:type="gramStart"/>
            <w:r w:rsidR="00D35FFC">
              <w:rPr>
                <w:rFonts w:cstheme="minorHAnsi"/>
                <w:sz w:val="24"/>
                <w:szCs w:val="24"/>
              </w:rPr>
              <w:t>high risk</w:t>
            </w:r>
            <w:proofErr w:type="gramEnd"/>
            <w:r w:rsidR="00D35FFC">
              <w:rPr>
                <w:rFonts w:cstheme="minorHAnsi"/>
                <w:sz w:val="24"/>
                <w:szCs w:val="24"/>
              </w:rPr>
              <w:t xml:space="preserve"> invasive animal activity in Victoria. </w:t>
            </w:r>
          </w:p>
        </w:tc>
        <w:tc>
          <w:tcPr>
            <w:tcW w:w="4621" w:type="dxa"/>
            <w:vAlign w:val="center"/>
          </w:tcPr>
          <w:p w:rsidR="00FC26AF" w:rsidRPr="00963507" w:rsidRDefault="00FC26AF" w:rsidP="006C6828">
            <w:pPr>
              <w:rPr>
                <w:rFonts w:cstheme="minorHAnsi"/>
                <w:sz w:val="24"/>
                <w:szCs w:val="24"/>
              </w:rPr>
            </w:pPr>
            <w:r w:rsidRPr="00FF34F6">
              <w:rPr>
                <w:rFonts w:cstheme="minorHAnsi"/>
                <w:sz w:val="24"/>
                <w:szCs w:val="24"/>
              </w:rPr>
              <w:t xml:space="preserve">30 June </w:t>
            </w:r>
            <w:r w:rsidR="00504F64" w:rsidRPr="007501EE">
              <w:rPr>
                <w:rFonts w:cstheme="minorHAnsi"/>
                <w:sz w:val="24"/>
                <w:szCs w:val="24"/>
              </w:rPr>
              <w:t>2019</w:t>
            </w:r>
          </w:p>
        </w:tc>
      </w:tr>
    </w:tbl>
    <w:p w:rsidR="00FC26AF" w:rsidRPr="00A20BE4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352936" w:rsidRPr="00A20BE4" w:rsidRDefault="00352936" w:rsidP="0035293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A20BE4">
        <w:rPr>
          <w:rFonts w:asciiTheme="minorHAnsi" w:hAnsiTheme="minorHAnsi" w:cstheme="minorHAnsi"/>
          <w:b/>
          <w:i/>
          <w:sz w:val="24"/>
          <w:szCs w:val="24"/>
        </w:rPr>
        <w:t>Stakeholder consultation and engagement</w:t>
      </w:r>
    </w:p>
    <w:p w:rsidR="00352936" w:rsidRPr="00A20BE4" w:rsidRDefault="00352936" w:rsidP="00352936">
      <w:pPr>
        <w:rPr>
          <w:rFonts w:ascii="Arial" w:hAnsi="Arial" w:cs="Tahoma"/>
          <w:sz w:val="22"/>
          <w:szCs w:val="22"/>
          <w:lang w:eastAsia="en-AU"/>
        </w:rPr>
      </w:pPr>
    </w:p>
    <w:p w:rsidR="004C5B15" w:rsidRPr="00A20BE4" w:rsidRDefault="00870266" w:rsidP="00870266">
      <w:pPr>
        <w:rPr>
          <w:rFonts w:ascii="Arial" w:hAnsi="Arial" w:cs="Tahoma"/>
          <w:sz w:val="22"/>
          <w:szCs w:val="22"/>
          <w:lang w:eastAsia="en-AU"/>
        </w:rPr>
      </w:pPr>
      <w:r w:rsidRPr="00A20BE4">
        <w:rPr>
          <w:rFonts w:ascii="Calibri" w:eastAsia="Calibri" w:hAnsi="Calibri" w:cs="Calibri"/>
          <w:sz w:val="24"/>
          <w:szCs w:val="24"/>
          <w:lang w:eastAsia="en-AU"/>
        </w:rPr>
        <w:t xml:space="preserve">Agriculture Victoria recognises the importance of proactive engagement with stakeholders and </w:t>
      </w:r>
      <w:r w:rsidR="00B427A4" w:rsidRPr="00A20BE4">
        <w:rPr>
          <w:rFonts w:ascii="Calibri" w:eastAsia="Calibri" w:hAnsi="Calibri" w:cs="Calibri"/>
          <w:sz w:val="24"/>
          <w:szCs w:val="24"/>
          <w:lang w:eastAsia="en-AU"/>
        </w:rPr>
        <w:t xml:space="preserve">the broader </w:t>
      </w:r>
      <w:r w:rsidRPr="00A20BE4">
        <w:rPr>
          <w:rFonts w:ascii="Calibri" w:eastAsia="Calibri" w:hAnsi="Calibri" w:cs="Calibri"/>
          <w:sz w:val="24"/>
          <w:szCs w:val="24"/>
          <w:lang w:eastAsia="en-AU"/>
        </w:rPr>
        <w:t xml:space="preserve">community to support the delivery of policies, programs and information. It is committed to seeking input on legislative reform </w:t>
      </w:r>
      <w:r w:rsidR="00627960" w:rsidRPr="00A20BE4">
        <w:rPr>
          <w:rFonts w:ascii="Calibri" w:eastAsia="Calibri" w:hAnsi="Calibri" w:cs="Calibri"/>
          <w:sz w:val="24"/>
          <w:szCs w:val="24"/>
          <w:lang w:eastAsia="en-AU"/>
        </w:rPr>
        <w:t xml:space="preserve">and </w:t>
      </w:r>
      <w:r w:rsidRPr="00A20BE4">
        <w:rPr>
          <w:rFonts w:ascii="Calibri" w:eastAsia="Calibri" w:hAnsi="Calibri" w:cs="Calibri"/>
          <w:sz w:val="24"/>
          <w:szCs w:val="24"/>
          <w:lang w:eastAsia="en-AU"/>
        </w:rPr>
        <w:t>regulatory reviews</w:t>
      </w:r>
      <w:r w:rsidR="00627960" w:rsidRPr="00A20BE4">
        <w:rPr>
          <w:rFonts w:ascii="Calibri" w:eastAsia="Calibri" w:hAnsi="Calibri" w:cs="Calibri"/>
          <w:sz w:val="24"/>
          <w:szCs w:val="24"/>
          <w:lang w:eastAsia="en-AU"/>
        </w:rPr>
        <w:t xml:space="preserve"> and will look for new opportunities to engage</w:t>
      </w:r>
      <w:r w:rsidR="00B427A4" w:rsidRPr="00A20BE4">
        <w:rPr>
          <w:rFonts w:ascii="Calibri" w:eastAsia="Calibri" w:hAnsi="Calibri" w:cs="Calibri"/>
          <w:sz w:val="24"/>
          <w:szCs w:val="24"/>
          <w:lang w:eastAsia="en-AU"/>
        </w:rPr>
        <w:t xml:space="preserve"> on new regulatory reforms</w:t>
      </w:r>
      <w:r w:rsidRPr="00A20BE4">
        <w:rPr>
          <w:rFonts w:ascii="Calibri" w:eastAsia="Calibri" w:hAnsi="Calibri" w:cs="Calibri"/>
          <w:sz w:val="24"/>
          <w:szCs w:val="24"/>
          <w:lang w:eastAsia="en-AU"/>
        </w:rPr>
        <w:t>.</w:t>
      </w:r>
    </w:p>
    <w:p w:rsidR="00FC26AF" w:rsidRPr="00A20BE4" w:rsidRDefault="00FC26AF" w:rsidP="00FC26AF">
      <w:pPr>
        <w:spacing w:before="10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0BE4" w:rsidRPr="003D194C" w:rsidTr="006C6828"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3D194C" w:rsidRDefault="00FC26AF" w:rsidP="006C682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3D194C">
              <w:rPr>
                <w:rFonts w:eastAsia="Times New Roman" w:cstheme="minorHAnsi"/>
                <w:b/>
                <w:sz w:val="24"/>
                <w:szCs w:val="24"/>
              </w:rPr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3D194C" w:rsidRDefault="00FC26AF" w:rsidP="006C682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3D194C">
              <w:rPr>
                <w:rFonts w:eastAsia="Times New Roman" w:cstheme="minorHAnsi"/>
                <w:b/>
                <w:sz w:val="24"/>
                <w:szCs w:val="24"/>
              </w:rPr>
              <w:t xml:space="preserve">Target </w:t>
            </w:r>
          </w:p>
        </w:tc>
      </w:tr>
      <w:tr w:rsidR="00A20BE4" w:rsidRPr="00A20BE4" w:rsidTr="006C6828">
        <w:tc>
          <w:tcPr>
            <w:tcW w:w="4621" w:type="dxa"/>
            <w:vAlign w:val="center"/>
          </w:tcPr>
          <w:p w:rsidR="00FC26AF" w:rsidRPr="00FF34F6" w:rsidRDefault="00870266" w:rsidP="0068216B">
            <w:pPr>
              <w:rPr>
                <w:rFonts w:eastAsia="Times New Roman" w:cstheme="minorHAnsi"/>
                <w:sz w:val="24"/>
                <w:szCs w:val="24"/>
              </w:rPr>
            </w:pPr>
            <w:r w:rsidRPr="0068216B">
              <w:rPr>
                <w:rFonts w:eastAsia="Times New Roman" w:cstheme="minorHAnsi"/>
                <w:sz w:val="24"/>
                <w:szCs w:val="24"/>
              </w:rPr>
              <w:t xml:space="preserve">Identify </w:t>
            </w:r>
            <w:r w:rsidR="00B02FAB" w:rsidRPr="0068216B">
              <w:rPr>
                <w:rFonts w:eastAsia="Times New Roman" w:cstheme="minorHAnsi"/>
                <w:sz w:val="24"/>
                <w:szCs w:val="24"/>
              </w:rPr>
              <w:t xml:space="preserve">and plan </w:t>
            </w:r>
            <w:r w:rsidRPr="0068216B">
              <w:rPr>
                <w:rFonts w:eastAsia="Times New Roman" w:cstheme="minorHAnsi"/>
                <w:sz w:val="24"/>
                <w:szCs w:val="24"/>
              </w:rPr>
              <w:t>opportunities to increase consultation and engagement</w:t>
            </w:r>
            <w:r w:rsidR="00996263" w:rsidRPr="0068216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68216B">
              <w:rPr>
                <w:rFonts w:eastAsia="Times New Roman" w:cstheme="minorHAnsi"/>
                <w:sz w:val="24"/>
                <w:szCs w:val="24"/>
              </w:rPr>
              <w:t>with key stakeholders (including but not limited to consultative committees, representative bodies, product manufacturers, producers, and exporters)</w:t>
            </w:r>
            <w:r w:rsidRPr="00FB422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427A4" w:rsidRPr="00FB4223">
              <w:rPr>
                <w:rFonts w:eastAsia="Times New Roman" w:cstheme="minorHAnsi"/>
                <w:sz w:val="24"/>
                <w:szCs w:val="24"/>
              </w:rPr>
              <w:t>regarding new regulatory reforms.</w:t>
            </w:r>
          </w:p>
        </w:tc>
        <w:tc>
          <w:tcPr>
            <w:tcW w:w="4621" w:type="dxa"/>
            <w:vAlign w:val="center"/>
          </w:tcPr>
          <w:p w:rsidR="00FC26AF" w:rsidRPr="007501EE" w:rsidRDefault="00627960" w:rsidP="006C6828">
            <w:pPr>
              <w:rPr>
                <w:rFonts w:eastAsia="Times New Roman" w:cstheme="minorHAnsi"/>
                <w:sz w:val="24"/>
                <w:szCs w:val="24"/>
              </w:rPr>
            </w:pPr>
            <w:r w:rsidRPr="00FF34F6">
              <w:rPr>
                <w:rFonts w:eastAsia="Times New Roman" w:cstheme="minorHAnsi"/>
                <w:sz w:val="24"/>
                <w:szCs w:val="24"/>
              </w:rPr>
              <w:t>30 June 2018</w:t>
            </w:r>
          </w:p>
        </w:tc>
      </w:tr>
      <w:tr w:rsidR="00F33CC3" w:rsidRPr="00A20BE4" w:rsidTr="006C6828">
        <w:tc>
          <w:tcPr>
            <w:tcW w:w="4621" w:type="dxa"/>
            <w:vAlign w:val="center"/>
          </w:tcPr>
          <w:p w:rsidR="00F33CC3" w:rsidRDefault="00F33C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Undertake stakeholder consultation on 100% of regulatory reviews.</w:t>
            </w:r>
          </w:p>
        </w:tc>
        <w:tc>
          <w:tcPr>
            <w:tcW w:w="4621" w:type="dxa"/>
            <w:vAlign w:val="center"/>
          </w:tcPr>
          <w:p w:rsidR="00F33CC3" w:rsidRPr="000105D3" w:rsidRDefault="00F33CC3" w:rsidP="006C6828">
            <w:pPr>
              <w:rPr>
                <w:rFonts w:cstheme="minorHAnsi"/>
                <w:sz w:val="24"/>
                <w:szCs w:val="24"/>
              </w:rPr>
            </w:pPr>
            <w:r w:rsidRPr="000105D3">
              <w:rPr>
                <w:rFonts w:eastAsia="Times New Roman" w:cstheme="minorHAnsi"/>
                <w:sz w:val="24"/>
                <w:szCs w:val="24"/>
              </w:rPr>
              <w:t>Ongoing</w:t>
            </w:r>
          </w:p>
        </w:tc>
      </w:tr>
      <w:tr w:rsidR="00FC26AF" w:rsidRPr="00A20BE4" w:rsidTr="006C6828">
        <w:tc>
          <w:tcPr>
            <w:tcW w:w="4621" w:type="dxa"/>
            <w:vAlign w:val="center"/>
          </w:tcPr>
          <w:p w:rsidR="00FC26AF" w:rsidRPr="00296D3A" w:rsidRDefault="00296D3A" w:rsidP="00296D3A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Provide feedback to a</w:t>
            </w:r>
            <w:r w:rsidR="00FC26AF" w:rsidRPr="00296D3A">
              <w:rPr>
                <w:rFonts w:eastAsia="Times New Roman" w:cstheme="minorHAnsi"/>
                <w:sz w:val="24"/>
                <w:szCs w:val="24"/>
              </w:rPr>
              <w:t>ll parties making submissions on proposed regulatory review</w:t>
            </w:r>
            <w:r w:rsidR="004C5B15" w:rsidRPr="00296D3A">
              <w:rPr>
                <w:rFonts w:eastAsia="Times New Roman" w:cstheme="minorHAnsi"/>
                <w:sz w:val="24"/>
                <w:szCs w:val="24"/>
              </w:rPr>
              <w:t>s</w:t>
            </w:r>
            <w:r w:rsidR="00FC26AF" w:rsidRPr="00296D3A">
              <w:rPr>
                <w:rFonts w:eastAsia="Times New Roman" w:cstheme="minorHAnsi"/>
                <w:sz w:val="24"/>
                <w:szCs w:val="24"/>
              </w:rPr>
              <w:t xml:space="preserve"> within two months of the comment period closing. </w:t>
            </w:r>
          </w:p>
        </w:tc>
        <w:tc>
          <w:tcPr>
            <w:tcW w:w="4621" w:type="dxa"/>
            <w:vAlign w:val="center"/>
          </w:tcPr>
          <w:p w:rsidR="00FC26AF" w:rsidRPr="000105D3" w:rsidRDefault="004C5B15" w:rsidP="006C6828">
            <w:pPr>
              <w:rPr>
                <w:rFonts w:eastAsia="Times New Roman" w:cstheme="minorHAnsi"/>
                <w:sz w:val="24"/>
                <w:szCs w:val="24"/>
              </w:rPr>
            </w:pPr>
            <w:r w:rsidRPr="000105D3">
              <w:rPr>
                <w:rFonts w:eastAsia="Times New Roman" w:cstheme="minorHAnsi"/>
                <w:sz w:val="24"/>
                <w:szCs w:val="24"/>
              </w:rPr>
              <w:t>Ongoing</w:t>
            </w:r>
            <w:r w:rsidR="00FC26AF" w:rsidRPr="000105D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C85052" w:rsidRPr="00A20BE4" w:rsidTr="006C6828">
        <w:tc>
          <w:tcPr>
            <w:tcW w:w="4621" w:type="dxa"/>
            <w:vAlign w:val="center"/>
          </w:tcPr>
          <w:p w:rsidR="00C85052" w:rsidRDefault="00C85052" w:rsidP="00C850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Engage with stakeholders about reform of Victoria’s animal welfare legislation through written documents and face-to-face consultation.</w:t>
            </w:r>
          </w:p>
        </w:tc>
        <w:tc>
          <w:tcPr>
            <w:tcW w:w="4621" w:type="dxa"/>
            <w:vAlign w:val="center"/>
          </w:tcPr>
          <w:p w:rsidR="00C85052" w:rsidRPr="000105D3" w:rsidRDefault="00C85052" w:rsidP="006C68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September 2018</w:t>
            </w:r>
          </w:p>
        </w:tc>
      </w:tr>
    </w:tbl>
    <w:p w:rsidR="00FC26AF" w:rsidRPr="00A20BE4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A20BE4" w:rsidRDefault="00FC26AF" w:rsidP="00FC26AF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A20BE4">
        <w:rPr>
          <w:rFonts w:asciiTheme="minorHAnsi" w:hAnsiTheme="minorHAnsi" w:cstheme="minorHAnsi"/>
          <w:b/>
          <w:i/>
          <w:sz w:val="24"/>
          <w:szCs w:val="24"/>
        </w:rPr>
        <w:t>Clear and consistent regulatory activities</w:t>
      </w:r>
    </w:p>
    <w:p w:rsidR="00627960" w:rsidRPr="00A20BE4" w:rsidRDefault="00627960" w:rsidP="00352936">
      <w:pPr>
        <w:rPr>
          <w:rFonts w:asciiTheme="minorHAnsi" w:hAnsiTheme="minorHAnsi" w:cstheme="minorHAnsi"/>
          <w:sz w:val="24"/>
          <w:szCs w:val="24"/>
        </w:rPr>
      </w:pPr>
    </w:p>
    <w:p w:rsidR="00FC26AF" w:rsidRPr="00A20BE4" w:rsidRDefault="00627960" w:rsidP="00627960">
      <w:pPr>
        <w:rPr>
          <w:rFonts w:asciiTheme="minorHAnsi" w:hAnsiTheme="minorHAnsi" w:cstheme="minorHAnsi"/>
          <w:sz w:val="24"/>
          <w:szCs w:val="24"/>
        </w:rPr>
      </w:pPr>
      <w:r w:rsidRPr="00A20BE4">
        <w:rPr>
          <w:rFonts w:asciiTheme="minorHAnsi" w:hAnsiTheme="minorHAnsi" w:cstheme="minorHAnsi"/>
          <w:sz w:val="24"/>
          <w:szCs w:val="24"/>
        </w:rPr>
        <w:t xml:space="preserve">Agriculture Victoria monitors </w:t>
      </w:r>
      <w:r w:rsidR="00342FD6" w:rsidRPr="00A20BE4">
        <w:rPr>
          <w:rFonts w:asciiTheme="minorHAnsi" w:hAnsiTheme="minorHAnsi" w:cstheme="minorHAnsi"/>
          <w:sz w:val="24"/>
          <w:szCs w:val="24"/>
        </w:rPr>
        <w:t xml:space="preserve">changing external environments and identifies </w:t>
      </w:r>
      <w:r w:rsidRPr="00A20BE4">
        <w:rPr>
          <w:rFonts w:asciiTheme="minorHAnsi" w:hAnsiTheme="minorHAnsi" w:cstheme="minorHAnsi"/>
          <w:sz w:val="24"/>
          <w:szCs w:val="24"/>
        </w:rPr>
        <w:t xml:space="preserve">opportunities to increase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the </w:t>
      </w:r>
      <w:r w:rsidRPr="00A20BE4">
        <w:rPr>
          <w:rFonts w:asciiTheme="minorHAnsi" w:hAnsiTheme="minorHAnsi" w:cstheme="minorHAnsi"/>
          <w:sz w:val="24"/>
          <w:szCs w:val="24"/>
        </w:rPr>
        <w:t xml:space="preserve">efficiency of its operations. </w:t>
      </w:r>
      <w:r w:rsidR="00B427A4" w:rsidRPr="00A20BE4">
        <w:rPr>
          <w:rFonts w:asciiTheme="minorHAnsi" w:hAnsiTheme="minorHAnsi" w:cstheme="minorHAnsi"/>
          <w:sz w:val="24"/>
          <w:szCs w:val="24"/>
        </w:rPr>
        <w:t>Agriculture Victoria</w:t>
      </w:r>
      <w:r w:rsidRPr="00A20BE4">
        <w:rPr>
          <w:rFonts w:asciiTheme="minorHAnsi" w:hAnsiTheme="minorHAnsi" w:cstheme="minorHAnsi"/>
          <w:sz w:val="24"/>
          <w:szCs w:val="24"/>
        </w:rPr>
        <w:t xml:space="preserve"> will investigate options for a new case management system to </w:t>
      </w:r>
      <w:r w:rsidR="00FC26AF" w:rsidRPr="00A20BE4">
        <w:rPr>
          <w:rFonts w:asciiTheme="minorHAnsi" w:hAnsiTheme="minorHAnsi" w:cstheme="minorHAnsi"/>
          <w:sz w:val="24"/>
          <w:szCs w:val="24"/>
        </w:rPr>
        <w:t xml:space="preserve">enhance data collection and tracking of inspections and investigations. </w:t>
      </w:r>
    </w:p>
    <w:p w:rsidR="00FC26AF" w:rsidRPr="00A20BE4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A20BE4" w:rsidRDefault="00627960" w:rsidP="00FC26AF">
      <w:pPr>
        <w:rPr>
          <w:rFonts w:asciiTheme="minorHAnsi" w:hAnsiTheme="minorHAnsi" w:cstheme="minorHAnsi"/>
          <w:sz w:val="24"/>
          <w:szCs w:val="24"/>
        </w:rPr>
      </w:pPr>
      <w:r w:rsidRPr="00A20BE4">
        <w:rPr>
          <w:rFonts w:asciiTheme="minorHAnsi" w:hAnsiTheme="minorHAnsi" w:cstheme="minorHAnsi"/>
          <w:sz w:val="24"/>
          <w:szCs w:val="24"/>
        </w:rPr>
        <w:t xml:space="preserve">Regulations </w:t>
      </w:r>
      <w:r w:rsidR="00B427A4" w:rsidRPr="00A20BE4">
        <w:rPr>
          <w:rFonts w:asciiTheme="minorHAnsi" w:hAnsiTheme="minorHAnsi" w:cstheme="minorHAnsi"/>
          <w:sz w:val="24"/>
          <w:szCs w:val="24"/>
        </w:rPr>
        <w:t>provide</w:t>
      </w:r>
      <w:r w:rsidRPr="00A20BE4">
        <w:rPr>
          <w:rFonts w:asciiTheme="minorHAnsi" w:hAnsiTheme="minorHAnsi" w:cstheme="minorHAnsi"/>
          <w:sz w:val="24"/>
          <w:szCs w:val="24"/>
        </w:rPr>
        <w:t xml:space="preserve"> Agriculture Victoria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with </w:t>
      </w:r>
      <w:r w:rsidRPr="00A20BE4">
        <w:rPr>
          <w:rFonts w:asciiTheme="minorHAnsi" w:hAnsiTheme="minorHAnsi" w:cstheme="minorHAnsi"/>
          <w:sz w:val="24"/>
          <w:szCs w:val="24"/>
        </w:rPr>
        <w:t xml:space="preserve">emergency response powers to enable swift and effective action when required. </w:t>
      </w:r>
      <w:r w:rsidR="00B427A4" w:rsidRPr="00A20BE4">
        <w:rPr>
          <w:rFonts w:asciiTheme="minorHAnsi" w:hAnsiTheme="minorHAnsi" w:cstheme="minorHAnsi"/>
          <w:sz w:val="24"/>
          <w:szCs w:val="24"/>
        </w:rPr>
        <w:t>Agriculture Victoria</w:t>
      </w:r>
      <w:r w:rsidR="00CA42CB" w:rsidRPr="00A20BE4">
        <w:rPr>
          <w:rFonts w:asciiTheme="minorHAnsi" w:hAnsiTheme="minorHAnsi" w:cstheme="minorHAnsi"/>
          <w:sz w:val="24"/>
          <w:szCs w:val="24"/>
        </w:rPr>
        <w:t xml:space="preserve"> </w:t>
      </w:r>
      <w:r w:rsidR="00FC26AF" w:rsidRPr="00A20BE4">
        <w:rPr>
          <w:rFonts w:asciiTheme="minorHAnsi" w:hAnsiTheme="minorHAnsi" w:cstheme="minorHAnsi"/>
          <w:sz w:val="24"/>
          <w:szCs w:val="24"/>
        </w:rPr>
        <w:t xml:space="preserve">evaluates </w:t>
      </w:r>
      <w:r w:rsidR="00342FD6" w:rsidRPr="00A20BE4">
        <w:rPr>
          <w:rFonts w:asciiTheme="minorHAnsi" w:hAnsiTheme="minorHAnsi" w:cstheme="minorHAnsi"/>
          <w:sz w:val="24"/>
          <w:szCs w:val="24"/>
        </w:rPr>
        <w:t xml:space="preserve">its performance in </w:t>
      </w:r>
      <w:r w:rsidR="00B427A4" w:rsidRPr="00A20BE4">
        <w:rPr>
          <w:rFonts w:asciiTheme="minorHAnsi" w:hAnsiTheme="minorHAnsi" w:cstheme="minorHAnsi"/>
          <w:sz w:val="24"/>
          <w:szCs w:val="24"/>
        </w:rPr>
        <w:t>biosecurity emergency responses</w:t>
      </w:r>
      <w:r w:rsidR="00FC26AF" w:rsidRPr="00A20BE4">
        <w:rPr>
          <w:rFonts w:asciiTheme="minorHAnsi" w:hAnsiTheme="minorHAnsi" w:cstheme="minorHAnsi"/>
          <w:sz w:val="24"/>
          <w:szCs w:val="24"/>
        </w:rPr>
        <w:t xml:space="preserve"> to </w:t>
      </w:r>
      <w:r w:rsidR="00342FD6" w:rsidRPr="00A20BE4">
        <w:rPr>
          <w:rFonts w:asciiTheme="minorHAnsi" w:hAnsiTheme="minorHAnsi" w:cstheme="minorHAnsi"/>
          <w:sz w:val="24"/>
          <w:szCs w:val="24"/>
        </w:rPr>
        <w:t xml:space="preserve">ensure continuous improvement in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biosecurity incident </w:t>
      </w:r>
      <w:r w:rsidR="00B427A4" w:rsidRPr="00A20BE4">
        <w:rPr>
          <w:rFonts w:asciiTheme="minorHAnsi" w:hAnsiTheme="minorHAnsi" w:cstheme="minorHAnsi"/>
          <w:sz w:val="24"/>
          <w:szCs w:val="24"/>
        </w:rPr>
        <w:lastRenderedPageBreak/>
        <w:t xml:space="preserve">and other emergency management incident </w:t>
      </w:r>
      <w:r w:rsidR="00342FD6" w:rsidRPr="00A20BE4">
        <w:rPr>
          <w:rFonts w:asciiTheme="minorHAnsi" w:hAnsiTheme="minorHAnsi" w:cstheme="minorHAnsi"/>
          <w:sz w:val="24"/>
          <w:szCs w:val="24"/>
        </w:rPr>
        <w:t xml:space="preserve">preparedness and response. </w:t>
      </w:r>
      <w:r w:rsidR="00B427A4" w:rsidRPr="00A20BE4">
        <w:rPr>
          <w:rFonts w:asciiTheme="minorHAnsi" w:hAnsiTheme="minorHAnsi" w:cstheme="minorHAnsi"/>
          <w:sz w:val="24"/>
          <w:szCs w:val="24"/>
        </w:rPr>
        <w:t>Agriculture Victoria</w:t>
      </w:r>
      <w:r w:rsidR="00FC26AF" w:rsidRPr="00A20BE4">
        <w:rPr>
          <w:rFonts w:asciiTheme="minorHAnsi" w:hAnsiTheme="minorHAnsi" w:cstheme="minorHAnsi"/>
          <w:sz w:val="24"/>
          <w:szCs w:val="24"/>
        </w:rPr>
        <w:t xml:space="preserve"> will </w:t>
      </w:r>
      <w:r w:rsidR="00CA42CB" w:rsidRPr="00A20BE4">
        <w:rPr>
          <w:rFonts w:asciiTheme="minorHAnsi" w:hAnsiTheme="minorHAnsi" w:cstheme="minorHAnsi"/>
          <w:sz w:val="24"/>
          <w:szCs w:val="24"/>
        </w:rPr>
        <w:t xml:space="preserve">implement recommendations arising from emergency responses and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the </w:t>
      </w:r>
      <w:r w:rsidR="00CA42CB" w:rsidRPr="00A20BE4">
        <w:rPr>
          <w:rFonts w:asciiTheme="minorHAnsi" w:hAnsiTheme="minorHAnsi" w:cstheme="minorHAnsi"/>
          <w:sz w:val="24"/>
          <w:szCs w:val="24"/>
        </w:rPr>
        <w:t>evaluation of emergency response exercises.</w:t>
      </w:r>
    </w:p>
    <w:p w:rsidR="00FC26AF" w:rsidRPr="00A20BE4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0BE4" w:rsidRPr="000105D3" w:rsidTr="006C6828"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0105D3" w:rsidRDefault="00FC26AF" w:rsidP="006C682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0105D3">
              <w:rPr>
                <w:rFonts w:eastAsia="Times New Roman" w:cstheme="minorHAnsi"/>
                <w:b/>
                <w:sz w:val="24"/>
                <w:szCs w:val="24"/>
              </w:rPr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FC26AF" w:rsidRPr="000105D3" w:rsidRDefault="00FC26AF" w:rsidP="006C682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0105D3">
              <w:rPr>
                <w:rFonts w:eastAsia="Times New Roman" w:cstheme="minorHAnsi"/>
                <w:b/>
                <w:sz w:val="24"/>
                <w:szCs w:val="24"/>
              </w:rPr>
              <w:t xml:space="preserve">Target </w:t>
            </w:r>
          </w:p>
        </w:tc>
      </w:tr>
      <w:tr w:rsidR="00A20BE4" w:rsidRPr="00A20BE4" w:rsidTr="006C6828">
        <w:tc>
          <w:tcPr>
            <w:tcW w:w="4621" w:type="dxa"/>
            <w:vAlign w:val="center"/>
          </w:tcPr>
          <w:p w:rsidR="00FC26AF" w:rsidRPr="00A20BE4" w:rsidRDefault="00627960" w:rsidP="00B427A4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A20BE4">
              <w:rPr>
                <w:rFonts w:cstheme="minorHAnsi"/>
                <w:sz w:val="24"/>
                <w:szCs w:val="24"/>
              </w:rPr>
              <w:t xml:space="preserve">Identify options for a new </w:t>
            </w:r>
            <w:r w:rsidR="00FC26AF" w:rsidRPr="00A20BE4">
              <w:rPr>
                <w:rFonts w:cstheme="minorHAnsi"/>
                <w:sz w:val="24"/>
                <w:szCs w:val="24"/>
              </w:rPr>
              <w:t xml:space="preserve">case management system for </w:t>
            </w:r>
            <w:r w:rsidR="00DC041B">
              <w:rPr>
                <w:rFonts w:cstheme="minorHAnsi"/>
                <w:sz w:val="24"/>
                <w:szCs w:val="24"/>
              </w:rPr>
              <w:t>a</w:t>
            </w:r>
            <w:r w:rsidR="00FC26AF" w:rsidRPr="00A20BE4">
              <w:rPr>
                <w:rFonts w:cstheme="minorHAnsi"/>
                <w:sz w:val="24"/>
                <w:szCs w:val="24"/>
              </w:rPr>
              <w:t xml:space="preserve">nimal </w:t>
            </w:r>
            <w:r w:rsidR="00DC041B">
              <w:rPr>
                <w:rFonts w:cstheme="minorHAnsi"/>
                <w:sz w:val="24"/>
                <w:szCs w:val="24"/>
              </w:rPr>
              <w:t>h</w:t>
            </w:r>
            <w:r w:rsidR="00FC26AF" w:rsidRPr="00A20BE4">
              <w:rPr>
                <w:rFonts w:cstheme="minorHAnsi"/>
                <w:sz w:val="24"/>
                <w:szCs w:val="24"/>
              </w:rPr>
              <w:t xml:space="preserve">ealth and </w:t>
            </w:r>
            <w:r w:rsidR="00DC041B">
              <w:rPr>
                <w:rFonts w:cstheme="minorHAnsi"/>
                <w:sz w:val="24"/>
                <w:szCs w:val="24"/>
              </w:rPr>
              <w:t>w</w:t>
            </w:r>
            <w:r w:rsidR="00FC26AF" w:rsidRPr="00A20BE4">
              <w:rPr>
                <w:rFonts w:cstheme="minorHAnsi"/>
                <w:sz w:val="24"/>
                <w:szCs w:val="24"/>
              </w:rPr>
              <w:t>elfare to centralise compliance systems, processes</w:t>
            </w:r>
            <w:r w:rsidR="00B427A4" w:rsidRPr="00A20BE4">
              <w:rPr>
                <w:rFonts w:cstheme="minorHAnsi"/>
                <w:sz w:val="24"/>
                <w:szCs w:val="24"/>
              </w:rPr>
              <w:t>,</w:t>
            </w:r>
            <w:r w:rsidR="00FC26AF" w:rsidRPr="00A20BE4">
              <w:rPr>
                <w:rFonts w:cstheme="minorHAnsi"/>
                <w:sz w:val="24"/>
                <w:szCs w:val="24"/>
              </w:rPr>
              <w:t xml:space="preserve"> and data management.</w:t>
            </w:r>
          </w:p>
        </w:tc>
        <w:tc>
          <w:tcPr>
            <w:tcW w:w="4621" w:type="dxa"/>
            <w:vAlign w:val="center"/>
          </w:tcPr>
          <w:p w:rsidR="00FC26AF" w:rsidRPr="00A20BE4" w:rsidRDefault="00CA42CB" w:rsidP="006C6828">
            <w:pPr>
              <w:rPr>
                <w:rFonts w:eastAsia="Times New Roman" w:cstheme="minorHAnsi"/>
                <w:sz w:val="24"/>
                <w:szCs w:val="24"/>
              </w:rPr>
            </w:pPr>
            <w:r w:rsidRPr="00A20BE4">
              <w:rPr>
                <w:rFonts w:cstheme="minorHAnsi"/>
                <w:sz w:val="24"/>
                <w:szCs w:val="24"/>
              </w:rPr>
              <w:t xml:space="preserve">30 </w:t>
            </w:r>
            <w:r w:rsidR="00FC26AF" w:rsidRPr="00A20BE4">
              <w:rPr>
                <w:rFonts w:cstheme="minorHAnsi"/>
                <w:sz w:val="24"/>
                <w:szCs w:val="24"/>
              </w:rPr>
              <w:t>June 2018</w:t>
            </w:r>
          </w:p>
        </w:tc>
      </w:tr>
      <w:tr w:rsidR="00FC26AF" w:rsidRPr="00A20BE4" w:rsidTr="006C6828">
        <w:tc>
          <w:tcPr>
            <w:tcW w:w="4621" w:type="dxa"/>
            <w:vAlign w:val="center"/>
          </w:tcPr>
          <w:p w:rsidR="00FC26AF" w:rsidRPr="00CE2AD4" w:rsidRDefault="00723E62" w:rsidP="000105D3">
            <w:pPr>
              <w:tabs>
                <w:tab w:val="left" w:pos="1376"/>
              </w:tabs>
              <w:rPr>
                <w:rFonts w:eastAsia="Times New Roman" w:cstheme="minorHAnsi"/>
                <w:sz w:val="24"/>
                <w:szCs w:val="24"/>
              </w:rPr>
            </w:pPr>
            <w:r w:rsidRPr="00FB4223">
              <w:rPr>
                <w:rFonts w:eastAsia="Times New Roman" w:cstheme="minorHAnsi"/>
                <w:sz w:val="24"/>
                <w:szCs w:val="24"/>
              </w:rPr>
              <w:t>M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 xml:space="preserve">onitor </w:t>
            </w:r>
            <w:r w:rsidR="00FC26AF" w:rsidRPr="00FF34F6">
              <w:rPr>
                <w:rFonts w:eastAsia="Times New Roman" w:cstheme="minorHAnsi"/>
                <w:sz w:val="24"/>
                <w:szCs w:val="24"/>
              </w:rPr>
              <w:t xml:space="preserve">the </w:t>
            </w:r>
            <w:r w:rsidRPr="00FF34F6">
              <w:rPr>
                <w:rFonts w:eastAsia="Times New Roman" w:cstheme="minorHAnsi"/>
                <w:sz w:val="24"/>
                <w:szCs w:val="24"/>
              </w:rPr>
              <w:t xml:space="preserve">implementation of </w:t>
            </w:r>
            <w:r w:rsidR="00FC26AF" w:rsidRPr="00FF34F6">
              <w:rPr>
                <w:rFonts w:eastAsia="Times New Roman" w:cstheme="minorHAnsi"/>
                <w:sz w:val="24"/>
                <w:szCs w:val="24"/>
              </w:rPr>
              <w:t>changes that have been made in response to evaluation of emergency response</w:t>
            </w:r>
            <w:r w:rsidR="00CA42CB" w:rsidRPr="00963507">
              <w:rPr>
                <w:rFonts w:eastAsia="Times New Roman" w:cstheme="minorHAnsi"/>
                <w:sz w:val="24"/>
                <w:szCs w:val="24"/>
              </w:rPr>
              <w:t>s</w:t>
            </w:r>
            <w:r w:rsidR="00FC26AF" w:rsidRPr="000706D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427A4" w:rsidRPr="00CE2AD4">
              <w:rPr>
                <w:rFonts w:eastAsia="Times New Roman" w:cstheme="minorHAnsi"/>
                <w:sz w:val="24"/>
                <w:szCs w:val="24"/>
              </w:rPr>
              <w:t>and</w:t>
            </w:r>
            <w:r w:rsidR="00DC041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FC26AF" w:rsidRPr="00CE2AD4">
              <w:rPr>
                <w:rFonts w:eastAsia="Times New Roman" w:cstheme="minorHAnsi"/>
                <w:sz w:val="24"/>
                <w:szCs w:val="24"/>
              </w:rPr>
              <w:t>or exercise</w:t>
            </w:r>
            <w:r w:rsidR="00CA42CB" w:rsidRPr="00CE2AD4">
              <w:rPr>
                <w:rFonts w:eastAsia="Times New Roman" w:cstheme="minorHAnsi"/>
                <w:sz w:val="24"/>
                <w:szCs w:val="24"/>
              </w:rPr>
              <w:t>s</w:t>
            </w:r>
            <w:r w:rsidR="00FC26AF" w:rsidRPr="00CE2AD4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621" w:type="dxa"/>
            <w:vAlign w:val="center"/>
          </w:tcPr>
          <w:p w:rsidR="00FC26AF" w:rsidRPr="00B15090" w:rsidRDefault="00B427A4" w:rsidP="006C6828">
            <w:pPr>
              <w:rPr>
                <w:rFonts w:eastAsia="Times New Roman" w:cstheme="minorHAnsi"/>
                <w:sz w:val="24"/>
                <w:szCs w:val="24"/>
              </w:rPr>
            </w:pPr>
            <w:r w:rsidRPr="00B15090">
              <w:rPr>
                <w:rFonts w:eastAsia="Times New Roman" w:cstheme="minorHAnsi"/>
                <w:sz w:val="24"/>
                <w:szCs w:val="24"/>
              </w:rPr>
              <w:t>Annually</w:t>
            </w:r>
          </w:p>
        </w:tc>
      </w:tr>
    </w:tbl>
    <w:p w:rsidR="00FC26AF" w:rsidRPr="00A20BE4" w:rsidRDefault="00FC26AF" w:rsidP="00FC26AF">
      <w:pPr>
        <w:rPr>
          <w:rFonts w:asciiTheme="minorHAnsi" w:hAnsiTheme="minorHAnsi" w:cstheme="minorHAnsi"/>
          <w:sz w:val="24"/>
          <w:szCs w:val="24"/>
        </w:rPr>
      </w:pPr>
    </w:p>
    <w:p w:rsidR="00FC26AF" w:rsidRPr="001A2945" w:rsidRDefault="00FC26AF" w:rsidP="00FC26AF">
      <w:pPr>
        <w:rPr>
          <w:rFonts w:asciiTheme="minorHAnsi" w:hAnsiTheme="minorHAnsi" w:cstheme="minorHAnsi"/>
          <w:sz w:val="24"/>
          <w:szCs w:val="24"/>
        </w:rPr>
      </w:pPr>
      <w:r w:rsidRPr="00A20BE4">
        <w:rPr>
          <w:rFonts w:asciiTheme="minorHAnsi" w:hAnsiTheme="minorHAnsi" w:cstheme="minorHAnsi"/>
          <w:sz w:val="24"/>
          <w:szCs w:val="24"/>
        </w:rPr>
        <w:t xml:space="preserve">In developing actions to achieve these improvements and targets, Agriculture Victoria </w:t>
      </w:r>
      <w:r w:rsidR="0042461A">
        <w:rPr>
          <w:rFonts w:asciiTheme="minorHAnsi" w:hAnsiTheme="minorHAnsi" w:cstheme="minorHAnsi"/>
          <w:sz w:val="24"/>
          <w:szCs w:val="24"/>
        </w:rPr>
        <w:t>will</w:t>
      </w:r>
      <w:r w:rsidRPr="00A20BE4">
        <w:rPr>
          <w:rFonts w:asciiTheme="minorHAnsi" w:hAnsiTheme="minorHAnsi" w:cstheme="minorHAnsi"/>
          <w:sz w:val="24"/>
          <w:szCs w:val="24"/>
        </w:rPr>
        <w:t xml:space="preserve"> consult with the Red Tape Commissioner, business</w:t>
      </w:r>
      <w:r w:rsidR="0042461A">
        <w:rPr>
          <w:rFonts w:asciiTheme="minorHAnsi" w:hAnsiTheme="minorHAnsi" w:cstheme="minorHAnsi"/>
          <w:sz w:val="24"/>
          <w:szCs w:val="24"/>
        </w:rPr>
        <w:t>es</w:t>
      </w:r>
      <w:r w:rsidR="00B427A4" w:rsidRPr="00A20BE4">
        <w:rPr>
          <w:rFonts w:asciiTheme="minorHAnsi" w:hAnsiTheme="minorHAnsi" w:cstheme="minorHAnsi"/>
          <w:sz w:val="24"/>
          <w:szCs w:val="24"/>
        </w:rPr>
        <w:t>,</w:t>
      </w:r>
      <w:r w:rsidRPr="00A20BE4">
        <w:rPr>
          <w:rFonts w:asciiTheme="minorHAnsi" w:hAnsiTheme="minorHAnsi" w:cstheme="minorHAnsi"/>
          <w:sz w:val="24"/>
          <w:szCs w:val="24"/>
        </w:rPr>
        <w:t xml:space="preserve"> </w:t>
      </w:r>
      <w:r w:rsidR="00B427A4" w:rsidRPr="00A20BE4">
        <w:rPr>
          <w:rFonts w:asciiTheme="minorHAnsi" w:hAnsiTheme="minorHAnsi" w:cstheme="minorHAnsi"/>
          <w:sz w:val="24"/>
          <w:szCs w:val="24"/>
        </w:rPr>
        <w:t xml:space="preserve">other regulated parties </w:t>
      </w:r>
      <w:r w:rsidR="00B427A4" w:rsidRPr="001A2945">
        <w:rPr>
          <w:rFonts w:asciiTheme="minorHAnsi" w:hAnsiTheme="minorHAnsi" w:cstheme="minorHAnsi"/>
          <w:sz w:val="24"/>
          <w:szCs w:val="24"/>
        </w:rPr>
        <w:t xml:space="preserve">and </w:t>
      </w:r>
      <w:r w:rsidRPr="001A2945">
        <w:rPr>
          <w:rFonts w:asciiTheme="minorHAnsi" w:hAnsiTheme="minorHAnsi" w:cstheme="minorHAnsi"/>
          <w:sz w:val="24"/>
          <w:szCs w:val="24"/>
        </w:rPr>
        <w:t xml:space="preserve">the broader community as appropriate. </w:t>
      </w: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</w:p>
    <w:p w:rsidR="008A7CD9" w:rsidRPr="001A2945" w:rsidRDefault="008A7CD9" w:rsidP="008A7CD9">
      <w:pPr>
        <w:rPr>
          <w:rFonts w:asciiTheme="minorHAnsi" w:hAnsiTheme="minorHAnsi" w:cstheme="minorHAnsi"/>
          <w:b/>
          <w:sz w:val="24"/>
          <w:szCs w:val="24"/>
        </w:rPr>
      </w:pPr>
      <w:r w:rsidRPr="001A2945">
        <w:rPr>
          <w:rFonts w:asciiTheme="minorHAnsi" w:hAnsiTheme="minorHAnsi" w:cstheme="minorHAnsi"/>
          <w:b/>
          <w:sz w:val="24"/>
          <w:szCs w:val="24"/>
        </w:rPr>
        <w:t>Evaluation</w:t>
      </w:r>
    </w:p>
    <w:p w:rsidR="008A7CD9" w:rsidRPr="001A2945" w:rsidRDefault="008A7CD9" w:rsidP="008A7CD9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 xml:space="preserve">An evaluation of the performance improvements contained in the SOE including reporting against </w:t>
      </w:r>
      <w:r w:rsidR="00C13812">
        <w:rPr>
          <w:rFonts w:asciiTheme="minorHAnsi" w:hAnsiTheme="minorHAnsi" w:cstheme="minorHAnsi"/>
          <w:sz w:val="24"/>
          <w:szCs w:val="24"/>
        </w:rPr>
        <w:t>Agriculture Victoria’s</w:t>
      </w:r>
      <w:r w:rsidRPr="001A2945">
        <w:rPr>
          <w:rFonts w:asciiTheme="minorHAnsi" w:hAnsiTheme="minorHAnsi" w:cstheme="minorHAnsi"/>
          <w:sz w:val="24"/>
          <w:szCs w:val="24"/>
        </w:rPr>
        <w:t xml:space="preserve"> compliance outcomes will be included in the annual report.</w:t>
      </w:r>
    </w:p>
    <w:p w:rsidR="008A7CD9" w:rsidRPr="001A2945" w:rsidRDefault="008A7CD9" w:rsidP="008A7CD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A2945" w:rsidRPr="001A2945" w:rsidTr="005D47BE"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8A7CD9" w:rsidRPr="001A2945" w:rsidRDefault="008A7CD9" w:rsidP="005D47B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1A2945">
              <w:rPr>
                <w:rFonts w:eastAsia="Times New Roman" w:cstheme="minorHAnsi"/>
                <w:b/>
                <w:sz w:val="24"/>
                <w:szCs w:val="24"/>
              </w:rPr>
              <w:t>Improvement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8A7CD9" w:rsidRPr="001A2945" w:rsidRDefault="008A7CD9" w:rsidP="005D47B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1A2945">
              <w:rPr>
                <w:rFonts w:eastAsia="Times New Roman" w:cstheme="minorHAnsi"/>
                <w:b/>
                <w:sz w:val="24"/>
                <w:szCs w:val="24"/>
              </w:rPr>
              <w:t>Target</w:t>
            </w:r>
          </w:p>
        </w:tc>
      </w:tr>
      <w:tr w:rsidR="001A2945" w:rsidRPr="001A2945" w:rsidTr="005D47BE">
        <w:tc>
          <w:tcPr>
            <w:tcW w:w="4621" w:type="dxa"/>
            <w:vAlign w:val="center"/>
          </w:tcPr>
          <w:p w:rsidR="008A7CD9" w:rsidRPr="001A2945" w:rsidRDefault="008A7CD9" w:rsidP="005D47BE">
            <w:pPr>
              <w:rPr>
                <w:rFonts w:eastAsia="Times New Roman" w:cstheme="minorHAnsi"/>
                <w:sz w:val="24"/>
                <w:szCs w:val="24"/>
              </w:rPr>
            </w:pPr>
            <w:r w:rsidRPr="001A2945">
              <w:rPr>
                <w:rFonts w:eastAsia="Times New Roman" w:cstheme="minorHAnsi"/>
                <w:sz w:val="24"/>
                <w:szCs w:val="24"/>
              </w:rPr>
              <w:t>Evaluate the performance improvements and targets contained in the SOE.</w:t>
            </w:r>
          </w:p>
        </w:tc>
        <w:tc>
          <w:tcPr>
            <w:tcW w:w="4621" w:type="dxa"/>
            <w:vAlign w:val="center"/>
          </w:tcPr>
          <w:p w:rsidR="008A7CD9" w:rsidRPr="001A2945" w:rsidRDefault="0044388B" w:rsidP="0044388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="008A7CD9" w:rsidRPr="001A2945">
              <w:rPr>
                <w:rFonts w:eastAsia="Times New Roman" w:cstheme="minorHAnsi"/>
                <w:sz w:val="24"/>
                <w:szCs w:val="24"/>
              </w:rPr>
              <w:t>nnual</w:t>
            </w:r>
            <w:r>
              <w:rPr>
                <w:rFonts w:eastAsia="Times New Roman" w:cstheme="minorHAnsi"/>
                <w:sz w:val="24"/>
                <w:szCs w:val="24"/>
              </w:rPr>
              <w:t>ly</w:t>
            </w:r>
          </w:p>
        </w:tc>
      </w:tr>
    </w:tbl>
    <w:p w:rsidR="008A7CD9" w:rsidRPr="001A2945" w:rsidRDefault="008A7CD9" w:rsidP="00352936">
      <w:pPr>
        <w:rPr>
          <w:rFonts w:asciiTheme="minorHAnsi" w:hAnsiTheme="minorHAnsi" w:cstheme="minorHAnsi"/>
          <w:sz w:val="24"/>
          <w:szCs w:val="24"/>
        </w:rPr>
      </w:pPr>
    </w:p>
    <w:p w:rsidR="002600FF" w:rsidRPr="001A2945" w:rsidRDefault="002600FF" w:rsidP="00352936">
      <w:pPr>
        <w:rPr>
          <w:rFonts w:asciiTheme="minorHAnsi" w:hAnsiTheme="minorHAnsi" w:cstheme="minorHAnsi"/>
          <w:b/>
          <w:sz w:val="24"/>
          <w:szCs w:val="24"/>
        </w:rPr>
      </w:pPr>
      <w:r w:rsidRPr="001A2945">
        <w:rPr>
          <w:rFonts w:asciiTheme="minorHAnsi" w:hAnsiTheme="minorHAnsi" w:cstheme="minorHAnsi"/>
          <w:b/>
          <w:sz w:val="24"/>
          <w:szCs w:val="24"/>
        </w:rPr>
        <w:t>Reporting</w:t>
      </w:r>
    </w:p>
    <w:p w:rsidR="002600FF" w:rsidRPr="001A2945" w:rsidRDefault="002600FF" w:rsidP="00352936">
      <w:pPr>
        <w:rPr>
          <w:rFonts w:asciiTheme="minorHAnsi" w:hAnsiTheme="minorHAnsi" w:cstheme="minorHAnsi"/>
          <w:sz w:val="24"/>
          <w:szCs w:val="24"/>
        </w:rPr>
      </w:pP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 xml:space="preserve">I confirm that </w:t>
      </w:r>
      <w:r w:rsidR="00B427A4" w:rsidRPr="001A2945">
        <w:rPr>
          <w:rFonts w:asciiTheme="minorHAnsi" w:hAnsiTheme="minorHAnsi" w:cstheme="minorHAnsi"/>
          <w:sz w:val="24"/>
          <w:szCs w:val="24"/>
        </w:rPr>
        <w:t>Agriculture Victoria</w:t>
      </w:r>
      <w:r w:rsidRPr="001A2945">
        <w:rPr>
          <w:rFonts w:asciiTheme="minorHAnsi" w:hAnsiTheme="minorHAnsi" w:cstheme="minorHAnsi"/>
          <w:sz w:val="24"/>
          <w:szCs w:val="24"/>
        </w:rPr>
        <w:t xml:space="preserve"> will report on the achievement of </w:t>
      </w:r>
      <w:r w:rsidR="00B427A4" w:rsidRPr="001A2945">
        <w:rPr>
          <w:rFonts w:asciiTheme="minorHAnsi" w:hAnsiTheme="minorHAnsi" w:cstheme="minorHAnsi"/>
          <w:sz w:val="24"/>
          <w:szCs w:val="24"/>
        </w:rPr>
        <w:t>these performance targets in the department’s</w:t>
      </w:r>
      <w:r w:rsidRPr="001A2945">
        <w:rPr>
          <w:rFonts w:asciiTheme="minorHAnsi" w:hAnsiTheme="minorHAnsi" w:cstheme="minorHAnsi"/>
          <w:sz w:val="24"/>
          <w:szCs w:val="24"/>
        </w:rPr>
        <w:t xml:space="preserve"> 201</w:t>
      </w:r>
      <w:r w:rsidR="002600FF" w:rsidRPr="001A2945">
        <w:rPr>
          <w:rFonts w:asciiTheme="minorHAnsi" w:hAnsiTheme="minorHAnsi" w:cstheme="minorHAnsi"/>
          <w:sz w:val="24"/>
          <w:szCs w:val="24"/>
        </w:rPr>
        <w:t>7-18</w:t>
      </w:r>
      <w:r w:rsidRPr="001A2945">
        <w:rPr>
          <w:rFonts w:asciiTheme="minorHAnsi" w:hAnsiTheme="minorHAnsi" w:cstheme="minorHAnsi"/>
          <w:sz w:val="24"/>
          <w:szCs w:val="24"/>
        </w:rPr>
        <w:t xml:space="preserve"> </w:t>
      </w:r>
      <w:r w:rsidR="00784F4C">
        <w:rPr>
          <w:rFonts w:asciiTheme="minorHAnsi" w:hAnsiTheme="minorHAnsi" w:cstheme="minorHAnsi"/>
          <w:sz w:val="24"/>
          <w:szCs w:val="24"/>
        </w:rPr>
        <w:t xml:space="preserve">and 2018-19 </w:t>
      </w:r>
      <w:r w:rsidRPr="001A2945">
        <w:rPr>
          <w:rFonts w:asciiTheme="minorHAnsi" w:hAnsiTheme="minorHAnsi" w:cstheme="minorHAnsi"/>
          <w:sz w:val="24"/>
          <w:szCs w:val="24"/>
        </w:rPr>
        <w:t>annual report</w:t>
      </w:r>
      <w:r w:rsidR="00784F4C">
        <w:rPr>
          <w:rFonts w:asciiTheme="minorHAnsi" w:hAnsiTheme="minorHAnsi" w:cstheme="minorHAnsi"/>
          <w:sz w:val="24"/>
          <w:szCs w:val="24"/>
        </w:rPr>
        <w:t>s</w:t>
      </w:r>
      <w:r w:rsidRPr="001A294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 xml:space="preserve">Thank you again for your direction </w:t>
      </w:r>
      <w:r w:rsidR="00AA04D0">
        <w:rPr>
          <w:rFonts w:asciiTheme="minorHAnsi" w:hAnsiTheme="minorHAnsi" w:cstheme="minorHAnsi"/>
          <w:sz w:val="24"/>
          <w:szCs w:val="24"/>
        </w:rPr>
        <w:t xml:space="preserve">in </w:t>
      </w:r>
      <w:r w:rsidRPr="001A2945">
        <w:rPr>
          <w:rFonts w:asciiTheme="minorHAnsi" w:hAnsiTheme="minorHAnsi" w:cstheme="minorHAnsi"/>
          <w:sz w:val="24"/>
          <w:szCs w:val="24"/>
        </w:rPr>
        <w:t xml:space="preserve">future </w:t>
      </w:r>
      <w:r w:rsidR="002600FF" w:rsidRPr="001A2945">
        <w:rPr>
          <w:rFonts w:asciiTheme="minorHAnsi" w:hAnsiTheme="minorHAnsi" w:cstheme="minorHAnsi"/>
          <w:sz w:val="24"/>
          <w:szCs w:val="24"/>
        </w:rPr>
        <w:t>regulat</w:t>
      </w:r>
      <w:r w:rsidR="00AA04D0">
        <w:rPr>
          <w:rFonts w:asciiTheme="minorHAnsi" w:hAnsiTheme="minorHAnsi" w:cstheme="minorHAnsi"/>
          <w:sz w:val="24"/>
          <w:szCs w:val="24"/>
        </w:rPr>
        <w:t xml:space="preserve">ory improvement of Agriculture Victoria. </w:t>
      </w: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>Yours sincerely</w:t>
      </w:r>
    </w:p>
    <w:p w:rsidR="00352936" w:rsidRPr="001A2945" w:rsidRDefault="00352936" w:rsidP="00352936">
      <w:pPr>
        <w:rPr>
          <w:rFonts w:ascii="Arial" w:hAnsi="Arial" w:cs="Tahoma"/>
          <w:sz w:val="22"/>
          <w:szCs w:val="22"/>
          <w:lang w:eastAsia="en-AU"/>
        </w:rPr>
      </w:pPr>
    </w:p>
    <w:p w:rsidR="00352936" w:rsidRPr="001A2945" w:rsidRDefault="00352936" w:rsidP="00352936">
      <w:pPr>
        <w:rPr>
          <w:rFonts w:ascii="Arial" w:hAnsi="Arial" w:cs="Tahoma"/>
          <w:sz w:val="22"/>
          <w:szCs w:val="22"/>
          <w:lang w:eastAsia="en-AU"/>
        </w:rPr>
      </w:pPr>
    </w:p>
    <w:p w:rsidR="00352936" w:rsidRPr="001A2945" w:rsidRDefault="00352936" w:rsidP="00352936">
      <w:pPr>
        <w:rPr>
          <w:rFonts w:ascii="Arial" w:hAnsi="Arial" w:cs="Tahoma"/>
          <w:sz w:val="22"/>
          <w:szCs w:val="22"/>
          <w:lang w:eastAsia="en-AU"/>
        </w:rPr>
      </w:pPr>
    </w:p>
    <w:p w:rsidR="00352936" w:rsidRPr="001A2945" w:rsidRDefault="00352936" w:rsidP="00352936">
      <w:pPr>
        <w:rPr>
          <w:rFonts w:ascii="Arial" w:hAnsi="Arial" w:cs="Tahoma"/>
          <w:sz w:val="22"/>
          <w:szCs w:val="22"/>
          <w:lang w:eastAsia="en-AU"/>
        </w:rPr>
      </w:pPr>
    </w:p>
    <w:p w:rsidR="00352936" w:rsidRPr="001A2945" w:rsidRDefault="00352936" w:rsidP="00352936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A2945">
        <w:rPr>
          <w:rFonts w:asciiTheme="minorHAnsi" w:hAnsiTheme="minorHAnsi" w:cstheme="minorHAnsi"/>
          <w:b/>
          <w:sz w:val="24"/>
          <w:szCs w:val="24"/>
        </w:rPr>
        <w:t>Richard Bolt</w:t>
      </w: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>Secretary</w:t>
      </w:r>
    </w:p>
    <w:p w:rsidR="00352936" w:rsidRPr="001A2945" w:rsidRDefault="00352936" w:rsidP="00352936">
      <w:pPr>
        <w:rPr>
          <w:rFonts w:asciiTheme="minorHAnsi" w:hAnsiTheme="minorHAnsi" w:cstheme="minorHAnsi"/>
          <w:sz w:val="24"/>
          <w:szCs w:val="24"/>
        </w:rPr>
      </w:pPr>
    </w:p>
    <w:p w:rsidR="00AF1416" w:rsidRPr="001A2945" w:rsidRDefault="00933091" w:rsidP="0039482B">
      <w:pPr>
        <w:rPr>
          <w:rFonts w:asciiTheme="minorHAnsi" w:hAnsiTheme="minorHAnsi" w:cstheme="minorHAnsi"/>
          <w:sz w:val="24"/>
          <w:szCs w:val="24"/>
        </w:rPr>
      </w:pPr>
      <w:r w:rsidRPr="001A2945">
        <w:rPr>
          <w:rFonts w:asciiTheme="minorHAnsi" w:hAnsiTheme="minorHAnsi" w:cstheme="minorHAnsi"/>
          <w:sz w:val="24"/>
          <w:szCs w:val="24"/>
        </w:rPr>
        <w:t>Date:</w:t>
      </w:r>
      <w:r w:rsidR="000B7CC6">
        <w:rPr>
          <w:rFonts w:asciiTheme="minorHAnsi" w:hAnsiTheme="minorHAnsi" w:cstheme="minorHAnsi"/>
          <w:sz w:val="24"/>
          <w:szCs w:val="24"/>
        </w:rPr>
        <w:t xml:space="preserve"> January</w:t>
      </w:r>
      <w:r w:rsidR="000F60E5">
        <w:rPr>
          <w:rFonts w:asciiTheme="minorHAnsi" w:hAnsiTheme="minorHAnsi" w:cstheme="minorHAnsi"/>
          <w:sz w:val="24"/>
          <w:szCs w:val="24"/>
        </w:rPr>
        <w:t xml:space="preserve"> </w:t>
      </w:r>
      <w:r w:rsidR="002600FF" w:rsidRPr="001A2945">
        <w:rPr>
          <w:rFonts w:asciiTheme="minorHAnsi" w:hAnsiTheme="minorHAnsi" w:cstheme="minorHAnsi"/>
          <w:sz w:val="24"/>
          <w:szCs w:val="24"/>
        </w:rPr>
        <w:t>201</w:t>
      </w:r>
      <w:r w:rsidR="000B7CC6">
        <w:rPr>
          <w:rFonts w:asciiTheme="minorHAnsi" w:hAnsiTheme="minorHAnsi" w:cstheme="minorHAnsi"/>
          <w:sz w:val="24"/>
          <w:szCs w:val="24"/>
        </w:rPr>
        <w:t>8</w:t>
      </w:r>
    </w:p>
    <w:p w:rsidR="00E027CA" w:rsidRPr="001A2945" w:rsidRDefault="00E027CA" w:rsidP="0039482B">
      <w:pPr>
        <w:rPr>
          <w:rFonts w:asciiTheme="minorHAnsi" w:hAnsiTheme="minorHAnsi" w:cstheme="minorHAnsi"/>
          <w:sz w:val="24"/>
          <w:szCs w:val="24"/>
        </w:rPr>
      </w:pPr>
    </w:p>
    <w:sectPr w:rsidR="00E027CA" w:rsidRPr="001A2945" w:rsidSect="002D75F4">
      <w:headerReference w:type="default" r:id="rId10"/>
      <w:footerReference w:type="default" r:id="rId11"/>
      <w:type w:val="continuous"/>
      <w:pgSz w:w="11906" w:h="16838"/>
      <w:pgMar w:top="1106" w:right="1418" w:bottom="1418" w:left="1418" w:header="113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8CA" w:rsidRDefault="000D68CA">
      <w:r>
        <w:separator/>
      </w:r>
    </w:p>
  </w:endnote>
  <w:endnote w:type="continuationSeparator" w:id="0">
    <w:p w:rsidR="000D68CA" w:rsidRDefault="000D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29" w:rsidRDefault="00BC382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0" allowOverlap="1" wp14:anchorId="14579DEC" wp14:editId="00521FFC">
          <wp:simplePos x="0" y="0"/>
          <wp:positionH relativeFrom="page">
            <wp:posOffset>6105525</wp:posOffset>
          </wp:positionH>
          <wp:positionV relativeFrom="page">
            <wp:posOffset>9809480</wp:posOffset>
          </wp:positionV>
          <wp:extent cx="963295" cy="654685"/>
          <wp:effectExtent l="0" t="0" r="8255" b="0"/>
          <wp:wrapNone/>
          <wp:docPr id="4" name="Picture 4" descr="Logo of the State Government of Victor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10" t="-1001" r="9145" b="35999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3829" w:rsidRDefault="00BC3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170706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2D75F4" w:rsidRPr="00FD52AF" w:rsidRDefault="002D75F4" w:rsidP="002D75F4">
        <w:pPr>
          <w:pStyle w:val="Footer"/>
          <w:jc w:val="center"/>
          <w:rPr>
            <w:rFonts w:asciiTheme="minorHAnsi" w:hAnsiTheme="minorHAnsi"/>
          </w:rPr>
        </w:pPr>
        <w:r w:rsidRPr="00FD52AF">
          <w:rPr>
            <w:rFonts w:asciiTheme="minorHAnsi" w:hAnsiTheme="minorHAnsi"/>
          </w:rPr>
          <w:t xml:space="preserve">Page | </w:t>
        </w:r>
        <w:r w:rsidRPr="00FD52AF">
          <w:rPr>
            <w:rFonts w:asciiTheme="minorHAnsi" w:hAnsiTheme="minorHAnsi"/>
          </w:rPr>
          <w:fldChar w:fldCharType="begin"/>
        </w:r>
        <w:r w:rsidRPr="00FD52AF">
          <w:rPr>
            <w:rFonts w:asciiTheme="minorHAnsi" w:hAnsiTheme="minorHAnsi"/>
          </w:rPr>
          <w:instrText xml:space="preserve"> PAGE   \* MERGEFORMAT </w:instrText>
        </w:r>
        <w:r w:rsidRPr="00FD52AF">
          <w:rPr>
            <w:rFonts w:asciiTheme="minorHAnsi" w:hAnsiTheme="minorHAnsi"/>
          </w:rPr>
          <w:fldChar w:fldCharType="separate"/>
        </w:r>
        <w:r w:rsidR="001C7BFB">
          <w:rPr>
            <w:rFonts w:asciiTheme="minorHAnsi" w:hAnsiTheme="minorHAnsi"/>
            <w:noProof/>
          </w:rPr>
          <w:t>4</w:t>
        </w:r>
        <w:r w:rsidRPr="00FD52AF">
          <w:rPr>
            <w:rFonts w:asciiTheme="minorHAnsi" w:hAnsiTheme="minorHAnsi"/>
            <w:noProof/>
          </w:rPr>
          <w:fldChar w:fldCharType="end"/>
        </w:r>
      </w:p>
    </w:sdtContent>
  </w:sdt>
  <w:p w:rsidR="00BC3829" w:rsidRDefault="00BC3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8CA" w:rsidRDefault="000D68CA">
      <w:r>
        <w:separator/>
      </w:r>
    </w:p>
  </w:footnote>
  <w:footnote w:type="continuationSeparator" w:id="0">
    <w:p w:rsidR="000D68CA" w:rsidRDefault="000D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29" w:rsidRDefault="00BC382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0" allowOverlap="1" wp14:anchorId="029CC090" wp14:editId="52940A2F">
          <wp:simplePos x="0" y="0"/>
          <wp:positionH relativeFrom="page">
            <wp:posOffset>775970</wp:posOffset>
          </wp:positionH>
          <wp:positionV relativeFrom="page">
            <wp:posOffset>316230</wp:posOffset>
          </wp:positionV>
          <wp:extent cx="6240145" cy="1816100"/>
          <wp:effectExtent l="0" t="0" r="8255" b="0"/>
          <wp:wrapNone/>
          <wp:docPr id="3" name="Picture 3" descr="Department of Economic Development, Jobs, Transport and Resources letterhead an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22" t="11456" r="6862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6240145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3829" w:rsidRDefault="00BC3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29" w:rsidRPr="00BC3829" w:rsidRDefault="00BC3829" w:rsidP="00BC3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B7F39"/>
    <w:multiLevelType w:val="hybridMultilevel"/>
    <w:tmpl w:val="F96C6C8E"/>
    <w:lvl w:ilvl="0" w:tplc="86FE5B60">
      <w:start w:val="1"/>
      <w:numFmt w:val="bullet"/>
      <w:pStyle w:val="CPESGuidelinesBullet1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2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AE9"/>
    <w:rsid w:val="000105D3"/>
    <w:rsid w:val="00035815"/>
    <w:rsid w:val="0005416F"/>
    <w:rsid w:val="00061612"/>
    <w:rsid w:val="000706D1"/>
    <w:rsid w:val="00076AE9"/>
    <w:rsid w:val="00097D62"/>
    <w:rsid w:val="000B7CC6"/>
    <w:rsid w:val="000B7D64"/>
    <w:rsid w:val="000C3FE5"/>
    <w:rsid w:val="000D68CA"/>
    <w:rsid w:val="000E26A8"/>
    <w:rsid w:val="000F14B5"/>
    <w:rsid w:val="000F60E5"/>
    <w:rsid w:val="000F6F45"/>
    <w:rsid w:val="00105AD3"/>
    <w:rsid w:val="00126E11"/>
    <w:rsid w:val="001331B0"/>
    <w:rsid w:val="00137D63"/>
    <w:rsid w:val="001729A3"/>
    <w:rsid w:val="00187ED0"/>
    <w:rsid w:val="00192776"/>
    <w:rsid w:val="0019448C"/>
    <w:rsid w:val="00195E95"/>
    <w:rsid w:val="001A2903"/>
    <w:rsid w:val="001A2945"/>
    <w:rsid w:val="001C0C70"/>
    <w:rsid w:val="001C7BFB"/>
    <w:rsid w:val="001D1B71"/>
    <w:rsid w:val="001D53BB"/>
    <w:rsid w:val="001E197F"/>
    <w:rsid w:val="001E62C9"/>
    <w:rsid w:val="001F5DAA"/>
    <w:rsid w:val="001F622E"/>
    <w:rsid w:val="00202B21"/>
    <w:rsid w:val="00212998"/>
    <w:rsid w:val="00221CEC"/>
    <w:rsid w:val="0022220B"/>
    <w:rsid w:val="00247ED6"/>
    <w:rsid w:val="00252D1A"/>
    <w:rsid w:val="002600FF"/>
    <w:rsid w:val="00265FEE"/>
    <w:rsid w:val="00286E79"/>
    <w:rsid w:val="00292A60"/>
    <w:rsid w:val="0029339F"/>
    <w:rsid w:val="00294164"/>
    <w:rsid w:val="00295A4F"/>
    <w:rsid w:val="00296D3A"/>
    <w:rsid w:val="002A440F"/>
    <w:rsid w:val="002B0F83"/>
    <w:rsid w:val="002B27C0"/>
    <w:rsid w:val="002B5287"/>
    <w:rsid w:val="002B5A2F"/>
    <w:rsid w:val="002D15DA"/>
    <w:rsid w:val="002D75F4"/>
    <w:rsid w:val="002F1424"/>
    <w:rsid w:val="00301313"/>
    <w:rsid w:val="003212D8"/>
    <w:rsid w:val="00322149"/>
    <w:rsid w:val="00334BC8"/>
    <w:rsid w:val="00334D78"/>
    <w:rsid w:val="003428C8"/>
    <w:rsid w:val="00342FD6"/>
    <w:rsid w:val="00352936"/>
    <w:rsid w:val="00357A43"/>
    <w:rsid w:val="00360DD0"/>
    <w:rsid w:val="0036106B"/>
    <w:rsid w:val="00365269"/>
    <w:rsid w:val="0037482D"/>
    <w:rsid w:val="0039482B"/>
    <w:rsid w:val="003B7DBB"/>
    <w:rsid w:val="003C4E44"/>
    <w:rsid w:val="003C7451"/>
    <w:rsid w:val="003D194C"/>
    <w:rsid w:val="0040269F"/>
    <w:rsid w:val="00411031"/>
    <w:rsid w:val="00417384"/>
    <w:rsid w:val="0042461A"/>
    <w:rsid w:val="00434D14"/>
    <w:rsid w:val="0044388B"/>
    <w:rsid w:val="004473E9"/>
    <w:rsid w:val="00450DFA"/>
    <w:rsid w:val="004629A2"/>
    <w:rsid w:val="00466CA1"/>
    <w:rsid w:val="00485041"/>
    <w:rsid w:val="004912E3"/>
    <w:rsid w:val="004A009F"/>
    <w:rsid w:val="004A6B8A"/>
    <w:rsid w:val="004C337B"/>
    <w:rsid w:val="004C5B15"/>
    <w:rsid w:val="004D0005"/>
    <w:rsid w:val="00504F64"/>
    <w:rsid w:val="00505495"/>
    <w:rsid w:val="005071FD"/>
    <w:rsid w:val="00507FC7"/>
    <w:rsid w:val="005207AE"/>
    <w:rsid w:val="00541F68"/>
    <w:rsid w:val="005508A4"/>
    <w:rsid w:val="005635A4"/>
    <w:rsid w:val="00593071"/>
    <w:rsid w:val="00593BBC"/>
    <w:rsid w:val="005B04F0"/>
    <w:rsid w:val="005D3B41"/>
    <w:rsid w:val="005E14D5"/>
    <w:rsid w:val="005F0B89"/>
    <w:rsid w:val="00614031"/>
    <w:rsid w:val="00624606"/>
    <w:rsid w:val="00627960"/>
    <w:rsid w:val="00627E57"/>
    <w:rsid w:val="006412E7"/>
    <w:rsid w:val="00651B02"/>
    <w:rsid w:val="00651D0C"/>
    <w:rsid w:val="00655FAB"/>
    <w:rsid w:val="00664695"/>
    <w:rsid w:val="00664EC4"/>
    <w:rsid w:val="00666F52"/>
    <w:rsid w:val="0068112C"/>
    <w:rsid w:val="0068216B"/>
    <w:rsid w:val="00683F23"/>
    <w:rsid w:val="006A5D37"/>
    <w:rsid w:val="006B1F22"/>
    <w:rsid w:val="006B38BE"/>
    <w:rsid w:val="006C6828"/>
    <w:rsid w:val="006C71BF"/>
    <w:rsid w:val="006D6472"/>
    <w:rsid w:val="00703351"/>
    <w:rsid w:val="00712D09"/>
    <w:rsid w:val="00715A8C"/>
    <w:rsid w:val="00723E62"/>
    <w:rsid w:val="007501EE"/>
    <w:rsid w:val="00753163"/>
    <w:rsid w:val="00756C80"/>
    <w:rsid w:val="007844CE"/>
    <w:rsid w:val="00784F4C"/>
    <w:rsid w:val="00791A4B"/>
    <w:rsid w:val="007A5330"/>
    <w:rsid w:val="007F116F"/>
    <w:rsid w:val="00801C37"/>
    <w:rsid w:val="00806593"/>
    <w:rsid w:val="008113FC"/>
    <w:rsid w:val="00820010"/>
    <w:rsid w:val="00826948"/>
    <w:rsid w:val="00831BAF"/>
    <w:rsid w:val="00855083"/>
    <w:rsid w:val="0085750F"/>
    <w:rsid w:val="00870266"/>
    <w:rsid w:val="008716A4"/>
    <w:rsid w:val="008925B0"/>
    <w:rsid w:val="008A1B96"/>
    <w:rsid w:val="008A7CD9"/>
    <w:rsid w:val="008C04D3"/>
    <w:rsid w:val="008D2E0C"/>
    <w:rsid w:val="008D744A"/>
    <w:rsid w:val="008E2C62"/>
    <w:rsid w:val="00903B7D"/>
    <w:rsid w:val="00911D71"/>
    <w:rsid w:val="00933091"/>
    <w:rsid w:val="00952071"/>
    <w:rsid w:val="00954961"/>
    <w:rsid w:val="00963507"/>
    <w:rsid w:val="00970405"/>
    <w:rsid w:val="0097645F"/>
    <w:rsid w:val="00996263"/>
    <w:rsid w:val="009B6F79"/>
    <w:rsid w:val="009B78F5"/>
    <w:rsid w:val="009C6801"/>
    <w:rsid w:val="009E4AF3"/>
    <w:rsid w:val="009F2B91"/>
    <w:rsid w:val="00A00A04"/>
    <w:rsid w:val="00A03CA5"/>
    <w:rsid w:val="00A20BE4"/>
    <w:rsid w:val="00A30E68"/>
    <w:rsid w:val="00A32557"/>
    <w:rsid w:val="00A3552C"/>
    <w:rsid w:val="00A364CF"/>
    <w:rsid w:val="00A44061"/>
    <w:rsid w:val="00A50F5A"/>
    <w:rsid w:val="00A621F2"/>
    <w:rsid w:val="00A64A26"/>
    <w:rsid w:val="00A72B78"/>
    <w:rsid w:val="00A75BDF"/>
    <w:rsid w:val="00A84777"/>
    <w:rsid w:val="00A9733D"/>
    <w:rsid w:val="00AA04D0"/>
    <w:rsid w:val="00AB0974"/>
    <w:rsid w:val="00AB0FC6"/>
    <w:rsid w:val="00AC7BAA"/>
    <w:rsid w:val="00AE36F6"/>
    <w:rsid w:val="00AE70BE"/>
    <w:rsid w:val="00AF1416"/>
    <w:rsid w:val="00AF41B4"/>
    <w:rsid w:val="00AF7581"/>
    <w:rsid w:val="00AF7A85"/>
    <w:rsid w:val="00B02FAB"/>
    <w:rsid w:val="00B15090"/>
    <w:rsid w:val="00B30C50"/>
    <w:rsid w:val="00B34803"/>
    <w:rsid w:val="00B427A4"/>
    <w:rsid w:val="00B43E76"/>
    <w:rsid w:val="00B76105"/>
    <w:rsid w:val="00B86E65"/>
    <w:rsid w:val="00B975D7"/>
    <w:rsid w:val="00BA406D"/>
    <w:rsid w:val="00BB3993"/>
    <w:rsid w:val="00BC3829"/>
    <w:rsid w:val="00BD4F12"/>
    <w:rsid w:val="00BD4FD7"/>
    <w:rsid w:val="00BD59FE"/>
    <w:rsid w:val="00BF6E57"/>
    <w:rsid w:val="00C011F6"/>
    <w:rsid w:val="00C13812"/>
    <w:rsid w:val="00C238EB"/>
    <w:rsid w:val="00C47F8E"/>
    <w:rsid w:val="00C51FAF"/>
    <w:rsid w:val="00C74D1C"/>
    <w:rsid w:val="00C834D7"/>
    <w:rsid w:val="00C85052"/>
    <w:rsid w:val="00C870AD"/>
    <w:rsid w:val="00C96EDF"/>
    <w:rsid w:val="00CA42CB"/>
    <w:rsid w:val="00CB3FCE"/>
    <w:rsid w:val="00CC255C"/>
    <w:rsid w:val="00CD2931"/>
    <w:rsid w:val="00CD659E"/>
    <w:rsid w:val="00CE2AD4"/>
    <w:rsid w:val="00D02583"/>
    <w:rsid w:val="00D15C9B"/>
    <w:rsid w:val="00D24BC0"/>
    <w:rsid w:val="00D33C48"/>
    <w:rsid w:val="00D35D60"/>
    <w:rsid w:val="00D35FFC"/>
    <w:rsid w:val="00D41289"/>
    <w:rsid w:val="00D605C7"/>
    <w:rsid w:val="00D80880"/>
    <w:rsid w:val="00D80DDD"/>
    <w:rsid w:val="00D832E2"/>
    <w:rsid w:val="00DA0F90"/>
    <w:rsid w:val="00DA72AB"/>
    <w:rsid w:val="00DB4F31"/>
    <w:rsid w:val="00DC041B"/>
    <w:rsid w:val="00DF32F9"/>
    <w:rsid w:val="00E027CA"/>
    <w:rsid w:val="00E07ACA"/>
    <w:rsid w:val="00E15A50"/>
    <w:rsid w:val="00E15F41"/>
    <w:rsid w:val="00E24EE7"/>
    <w:rsid w:val="00E31854"/>
    <w:rsid w:val="00E3714A"/>
    <w:rsid w:val="00E55044"/>
    <w:rsid w:val="00E630E1"/>
    <w:rsid w:val="00E63F18"/>
    <w:rsid w:val="00E732CF"/>
    <w:rsid w:val="00E81326"/>
    <w:rsid w:val="00E9376B"/>
    <w:rsid w:val="00EA207E"/>
    <w:rsid w:val="00EA2F25"/>
    <w:rsid w:val="00EA5C70"/>
    <w:rsid w:val="00EC2955"/>
    <w:rsid w:val="00EC5744"/>
    <w:rsid w:val="00EE2B0F"/>
    <w:rsid w:val="00EE62C2"/>
    <w:rsid w:val="00F1550F"/>
    <w:rsid w:val="00F17239"/>
    <w:rsid w:val="00F22251"/>
    <w:rsid w:val="00F2324C"/>
    <w:rsid w:val="00F240EA"/>
    <w:rsid w:val="00F24146"/>
    <w:rsid w:val="00F3251C"/>
    <w:rsid w:val="00F33CC3"/>
    <w:rsid w:val="00F50B77"/>
    <w:rsid w:val="00F67278"/>
    <w:rsid w:val="00F76810"/>
    <w:rsid w:val="00F86B0B"/>
    <w:rsid w:val="00F9527B"/>
    <w:rsid w:val="00F975CA"/>
    <w:rsid w:val="00FA6F65"/>
    <w:rsid w:val="00FB4223"/>
    <w:rsid w:val="00FC26AF"/>
    <w:rsid w:val="00FD52AF"/>
    <w:rsid w:val="00FF24E2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78B729C2-589B-49D7-83A5-6F9C630A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851"/>
      </w:tabs>
      <w:ind w:left="851" w:hanging="851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E62C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nstructions">
    <w:name w:val="# instructions"/>
    <w:basedOn w:val="Normal"/>
    <w:link w:val="instructionsChar"/>
    <w:rsid w:val="0036106B"/>
    <w:rPr>
      <w:rFonts w:ascii="Tahoma" w:hAnsi="Tahoma" w:cs="Tahoma"/>
      <w:i/>
      <w:color w:val="FF0000"/>
      <w:sz w:val="22"/>
      <w:szCs w:val="22"/>
      <w:lang w:eastAsia="en-AU"/>
    </w:rPr>
  </w:style>
  <w:style w:type="character" w:customStyle="1" w:styleId="instructionsChar">
    <w:name w:val="# instructions Char"/>
    <w:basedOn w:val="DefaultParagraphFont"/>
    <w:link w:val="instructions"/>
    <w:rsid w:val="0036106B"/>
    <w:rPr>
      <w:rFonts w:ascii="Tahoma" w:hAnsi="Tahoma" w:cs="Tahoma"/>
      <w:i/>
      <w:color w:val="FF0000"/>
      <w:sz w:val="22"/>
      <w:szCs w:val="22"/>
    </w:rPr>
  </w:style>
  <w:style w:type="paragraph" w:customStyle="1" w:styleId="CPESGuidelinesBullet1">
    <w:name w:val="CPES Guidelines Bullet 1"/>
    <w:rsid w:val="00D832E2"/>
    <w:pPr>
      <w:widowControl w:val="0"/>
      <w:numPr>
        <w:numId w:val="1"/>
      </w:num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lang w:eastAsia="en-US"/>
    </w:rPr>
  </w:style>
  <w:style w:type="paragraph" w:customStyle="1" w:styleId="stxt">
    <w:name w:val="stxt"/>
    <w:link w:val="stxtChar"/>
    <w:rsid w:val="00D832E2"/>
    <w:pPr>
      <w:jc w:val="both"/>
    </w:pPr>
    <w:rPr>
      <w:sz w:val="24"/>
      <w:lang w:eastAsia="en-US"/>
    </w:rPr>
  </w:style>
  <w:style w:type="character" w:customStyle="1" w:styleId="stxtChar">
    <w:name w:val="stxt Char"/>
    <w:basedOn w:val="DefaultParagraphFont"/>
    <w:link w:val="stxt"/>
    <w:rsid w:val="00D832E2"/>
    <w:rPr>
      <w:sz w:val="24"/>
      <w:lang w:eastAsia="en-US"/>
    </w:rPr>
  </w:style>
  <w:style w:type="paragraph" w:customStyle="1" w:styleId="CPESHanging">
    <w:name w:val="CPES Hanging"/>
    <w:rsid w:val="00AF1416"/>
    <w:pPr>
      <w:spacing w:before="240"/>
      <w:ind w:left="1134" w:hanging="567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3829"/>
    <w:rPr>
      <w:lang w:eastAsia="en-US"/>
    </w:rPr>
  </w:style>
  <w:style w:type="paragraph" w:styleId="BalloonText">
    <w:name w:val="Balloon Text"/>
    <w:basedOn w:val="Normal"/>
    <w:link w:val="BalloonTextChar"/>
    <w:rsid w:val="00BC3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82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3829"/>
    <w:rPr>
      <w:lang w:eastAsia="en-US"/>
    </w:rPr>
  </w:style>
  <w:style w:type="character" w:styleId="LineNumber">
    <w:name w:val="line number"/>
    <w:basedOn w:val="DefaultParagraphFont"/>
    <w:rsid w:val="00A03CA5"/>
  </w:style>
  <w:style w:type="paragraph" w:styleId="NoSpacing">
    <w:name w:val="No Spacing"/>
    <w:link w:val="NoSpacingChar"/>
    <w:uiPriority w:val="1"/>
    <w:qFormat/>
    <w:rsid w:val="002D75F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D75F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FC26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C2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6AF"/>
    <w:pPr>
      <w:spacing w:before="160" w:after="100"/>
    </w:pPr>
    <w:rPr>
      <w:rFonts w:asciiTheme="minorHAnsi" w:eastAsiaTheme="minorEastAsia" w:hAnsiTheme="minorHAnsi" w:cstheme="minorBidi"/>
      <w:spacing w:val="2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6AF"/>
    <w:rPr>
      <w:rFonts w:asciiTheme="minorHAnsi" w:eastAsiaTheme="minorEastAsia" w:hAnsiTheme="minorHAnsi" w:cstheme="minorBidi"/>
      <w:spacing w:val="2"/>
    </w:rPr>
  </w:style>
  <w:style w:type="paragraph" w:styleId="CommentSubject">
    <w:name w:val="annotation subject"/>
    <w:basedOn w:val="CommentText"/>
    <w:next w:val="CommentText"/>
    <w:link w:val="CommentSubjectChar"/>
    <w:rsid w:val="00F1550F"/>
    <w:pPr>
      <w:spacing w:before="0" w:after="0"/>
    </w:pPr>
    <w:rPr>
      <w:rFonts w:ascii="Times New Roman" w:eastAsia="Times New Roman" w:hAnsi="Times New Roman" w:cs="Times New Roman"/>
      <w:b/>
      <w:bCs/>
      <w:spacing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1550F"/>
    <w:rPr>
      <w:rFonts w:asciiTheme="minorHAnsi" w:eastAsiaTheme="minorEastAsia" w:hAnsiTheme="minorHAnsi" w:cstheme="minorBidi"/>
      <w:b/>
      <w:bCs/>
      <w:spacing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st%20Template\Standard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FAD2-4769-4B46-9433-2609E80F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 Template.dot</Template>
  <TotalTime>0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Letter Template</vt:lpstr>
    </vt:vector>
  </TitlesOfParts>
  <Manager>Portfolio Co-ordination and Strategic Management</Manager>
  <Company>Dept of State and Regional Development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Letter Template</dc:title>
  <dc:creator>Ann Bullen</dc:creator>
  <dc:description>Created from .dot 1/11/2000, A Bullen 9651 9321</dc:description>
  <cp:lastModifiedBy>Lisa McLennan (DJPR)</cp:lastModifiedBy>
  <cp:revision>2</cp:revision>
  <cp:lastPrinted>2018-01-18T04:48:00Z</cp:lastPrinted>
  <dcterms:created xsi:type="dcterms:W3CDTF">2020-05-28T05:57:00Z</dcterms:created>
  <dcterms:modified xsi:type="dcterms:W3CDTF">2020-05-28T05:57:00Z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TitusGUID">
    <vt:lpwstr>e788c26d-6881-4152-861d-ff39c7b17cfd</vt:lpwstr>
  </property>
  <property fmtid="{D5CDD505-2E9C-101B-9397-08002B2CF9AE}" pid="4" name="DSDBI ClassificationCLASSIFICATION">
    <vt:lpwstr>UNCLASSIFIED</vt:lpwstr>
  </property>
  <property fmtid="{D5CDD505-2E9C-101B-9397-08002B2CF9AE}" pid="5" name="DSDBI ClassificationDLM FOR SEC-MARKINGS">
    <vt:lpwstr>NONE</vt:lpwstr>
  </property>
  <property fmtid="{D5CDD505-2E9C-101B-9397-08002B2CF9AE}" pid="6" name="Classification">
    <vt:lpwstr>UNCLASSIFIED
NONE
Alison Healy (DEDJTR)</vt:lpwstr>
  </property>
</Properties>
</file>