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2E184E" w14:textId="77777777" w:rsidR="00CE3205" w:rsidRDefault="00CC6E7E" w:rsidP="00B84BB9">
      <w:pPr>
        <w:pStyle w:val="Agcovertitle1"/>
        <w:rPr>
          <w:sz w:val="32"/>
          <w:szCs w:val="32"/>
        </w:rPr>
      </w:pPr>
      <w:bookmarkStart w:id="0" w:name="_Hlk525550539"/>
      <w:bookmarkStart w:id="1" w:name="_GoBack"/>
      <w:bookmarkEnd w:id="1"/>
      <w:r w:rsidRPr="00D470FE">
        <w:drawing>
          <wp:anchor distT="0" distB="0" distL="114300" distR="114300" simplePos="0" relativeHeight="251661824" behindDoc="1" locked="0" layoutInCell="1" allowOverlap="1" wp14:anchorId="536CD60F" wp14:editId="115CD904">
            <wp:simplePos x="0" y="0"/>
            <wp:positionH relativeFrom="page">
              <wp:posOffset>7687945</wp:posOffset>
            </wp:positionH>
            <wp:positionV relativeFrom="page">
              <wp:posOffset>0</wp:posOffset>
            </wp:positionV>
            <wp:extent cx="7609840" cy="10765155"/>
            <wp:effectExtent l="0" t="0" r="0" b="0"/>
            <wp:wrapNone/>
            <wp:docPr id="6" name="Picture 6"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9466 Ag Word Cover Image Templates18.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09840" cy="10765155"/>
                    </a:xfrm>
                    <a:prstGeom prst="rect">
                      <a:avLst/>
                    </a:prstGeom>
                  </pic:spPr>
                </pic:pic>
              </a:graphicData>
            </a:graphic>
            <wp14:sizeRelH relativeFrom="margin">
              <wp14:pctWidth>0</wp14:pctWidth>
            </wp14:sizeRelH>
            <wp14:sizeRelV relativeFrom="margin">
              <wp14:pctHeight>0</wp14:pctHeight>
            </wp14:sizeRelV>
          </wp:anchor>
        </w:drawing>
      </w:r>
      <w:r w:rsidR="005E20B5">
        <w:t xml:space="preserve"> Agriculture Victoria </w:t>
      </w:r>
      <w:r w:rsidR="005E20B5" w:rsidRPr="00CE3205">
        <w:rPr>
          <w:sz w:val="32"/>
          <w:szCs w:val="32"/>
        </w:rPr>
        <w:t>Statement of Expectations</w:t>
      </w:r>
      <w:r w:rsidR="00CE3205">
        <w:rPr>
          <w:sz w:val="32"/>
          <w:szCs w:val="32"/>
        </w:rPr>
        <w:t xml:space="preserve"> </w:t>
      </w:r>
    </w:p>
    <w:p w14:paraId="4A3872E6" w14:textId="0D0AD8DC" w:rsidR="00CC6E7E" w:rsidRPr="00D470FE" w:rsidRDefault="00CE3205" w:rsidP="00B84BB9">
      <w:pPr>
        <w:pStyle w:val="Agcovertitle1"/>
      </w:pPr>
      <w:r>
        <w:rPr>
          <w:sz w:val="32"/>
          <w:szCs w:val="32"/>
        </w:rPr>
        <w:t>January 2018 - June 2019</w:t>
      </w:r>
    </w:p>
    <w:bookmarkEnd w:id="0"/>
    <w:p w14:paraId="729CCCA0" w14:textId="12D8C55D" w:rsidR="00CC6E7E" w:rsidRPr="00B84BB9" w:rsidRDefault="00CE3205" w:rsidP="00B84BB9">
      <w:pPr>
        <w:pStyle w:val="Agcovertitle2"/>
        <w:sectPr w:rsidR="00CC6E7E" w:rsidRPr="00B84BB9" w:rsidSect="00397B9B">
          <w:headerReference w:type="default" r:id="rId12"/>
          <w:footerReference w:type="even" r:id="rId13"/>
          <w:footerReference w:type="default" r:id="rId14"/>
          <w:pgSz w:w="11900" w:h="16840"/>
          <w:pgMar w:top="3686" w:right="709" w:bottom="1701" w:left="709" w:header="709" w:footer="709" w:gutter="0"/>
          <w:cols w:space="708"/>
          <w:docGrid w:linePitch="360"/>
        </w:sectPr>
      </w:pPr>
      <w:r>
        <w:t>Evaluation Report</w:t>
      </w:r>
    </w:p>
    <w:p w14:paraId="4F1696D6" w14:textId="77777777" w:rsidR="008E7AAA" w:rsidRDefault="00CC6E7E" w:rsidP="00611276">
      <w:pPr>
        <w:pStyle w:val="Heading1"/>
        <w:rPr>
          <w:noProof/>
        </w:rPr>
      </w:pPr>
      <w:bookmarkStart w:id="2" w:name="_Toc532563856"/>
      <w:bookmarkStart w:id="3" w:name="_Toc5254902"/>
      <w:r w:rsidRPr="00E01A73">
        <w:lastRenderedPageBreak/>
        <w:t>Contents</w:t>
      </w:r>
      <w:bookmarkEnd w:id="2"/>
      <w:bookmarkEnd w:id="3"/>
      <w:r w:rsidR="006428E5" w:rsidRPr="006F161D">
        <w:fldChar w:fldCharType="begin"/>
      </w:r>
      <w:r w:rsidR="006428E5" w:rsidRPr="006F161D">
        <w:instrText xml:space="preserve"> TOC \o "3-3" \h \z \t "Heading 1,2,Heading 2,3,Ag divider title,1" </w:instrText>
      </w:r>
      <w:r w:rsidR="006428E5" w:rsidRPr="006F161D">
        <w:fldChar w:fldCharType="separate"/>
      </w:r>
    </w:p>
    <w:p w14:paraId="30A55EDE" w14:textId="714B24C2" w:rsidR="008E7AAA" w:rsidRDefault="00183566">
      <w:pPr>
        <w:pStyle w:val="TOC2"/>
        <w:rPr>
          <w:rFonts w:asciiTheme="minorHAnsi" w:eastAsiaTheme="minorEastAsia" w:hAnsiTheme="minorHAnsi"/>
          <w:sz w:val="22"/>
          <w:szCs w:val="22"/>
          <w:lang w:val="en-AU" w:eastAsia="en-AU"/>
        </w:rPr>
      </w:pPr>
      <w:hyperlink w:anchor="_Toc5254902" w:history="1">
        <w:r w:rsidR="008E7AAA" w:rsidRPr="00226840">
          <w:rPr>
            <w:rStyle w:val="Hyperlink"/>
          </w:rPr>
          <w:t>Contents</w:t>
        </w:r>
        <w:r w:rsidR="008E7AAA">
          <w:rPr>
            <w:webHidden/>
          </w:rPr>
          <w:tab/>
        </w:r>
        <w:r w:rsidR="008E7AAA">
          <w:rPr>
            <w:webHidden/>
          </w:rPr>
          <w:fldChar w:fldCharType="begin"/>
        </w:r>
        <w:r w:rsidR="008E7AAA">
          <w:rPr>
            <w:webHidden/>
          </w:rPr>
          <w:instrText xml:space="preserve"> PAGEREF _Toc5254902 \h </w:instrText>
        </w:r>
        <w:r w:rsidR="008E7AAA">
          <w:rPr>
            <w:webHidden/>
          </w:rPr>
        </w:r>
        <w:r w:rsidR="008E7AAA">
          <w:rPr>
            <w:webHidden/>
          </w:rPr>
          <w:fldChar w:fldCharType="separate"/>
        </w:r>
        <w:r w:rsidR="006520CA">
          <w:rPr>
            <w:webHidden/>
          </w:rPr>
          <w:t>2</w:t>
        </w:r>
        <w:r w:rsidR="008E7AAA">
          <w:rPr>
            <w:webHidden/>
          </w:rPr>
          <w:fldChar w:fldCharType="end"/>
        </w:r>
      </w:hyperlink>
    </w:p>
    <w:p w14:paraId="53353D4B" w14:textId="6B3BCBD0" w:rsidR="008E7AAA" w:rsidRDefault="00183566">
      <w:pPr>
        <w:pStyle w:val="TOC2"/>
        <w:rPr>
          <w:rFonts w:asciiTheme="minorHAnsi" w:eastAsiaTheme="minorEastAsia" w:hAnsiTheme="minorHAnsi"/>
          <w:sz w:val="22"/>
          <w:szCs w:val="22"/>
          <w:lang w:val="en-AU" w:eastAsia="en-AU"/>
        </w:rPr>
      </w:pPr>
      <w:hyperlink w:anchor="_Toc5254903" w:history="1">
        <w:r w:rsidR="008E7AAA" w:rsidRPr="00226840">
          <w:rPr>
            <w:rStyle w:val="Hyperlink"/>
            <w:rFonts w:cstheme="minorHAnsi"/>
          </w:rPr>
          <w:t>Introduction</w:t>
        </w:r>
        <w:r w:rsidR="008E7AAA">
          <w:rPr>
            <w:webHidden/>
          </w:rPr>
          <w:tab/>
        </w:r>
        <w:r w:rsidR="008E7AAA">
          <w:rPr>
            <w:webHidden/>
          </w:rPr>
          <w:fldChar w:fldCharType="begin"/>
        </w:r>
        <w:r w:rsidR="008E7AAA">
          <w:rPr>
            <w:webHidden/>
          </w:rPr>
          <w:instrText xml:space="preserve"> PAGEREF _Toc5254903 \h </w:instrText>
        </w:r>
        <w:r w:rsidR="008E7AAA">
          <w:rPr>
            <w:webHidden/>
          </w:rPr>
        </w:r>
        <w:r w:rsidR="008E7AAA">
          <w:rPr>
            <w:webHidden/>
          </w:rPr>
          <w:fldChar w:fldCharType="separate"/>
        </w:r>
        <w:r w:rsidR="006520CA">
          <w:rPr>
            <w:webHidden/>
          </w:rPr>
          <w:t>3</w:t>
        </w:r>
        <w:r w:rsidR="008E7AAA">
          <w:rPr>
            <w:webHidden/>
          </w:rPr>
          <w:fldChar w:fldCharType="end"/>
        </w:r>
      </w:hyperlink>
    </w:p>
    <w:p w14:paraId="3C7D4D7F" w14:textId="516F754C" w:rsidR="008E7AAA" w:rsidRDefault="00183566">
      <w:pPr>
        <w:pStyle w:val="TOC2"/>
        <w:rPr>
          <w:rFonts w:asciiTheme="minorHAnsi" w:eastAsiaTheme="minorEastAsia" w:hAnsiTheme="minorHAnsi"/>
          <w:sz w:val="22"/>
          <w:szCs w:val="22"/>
          <w:lang w:val="en-AU" w:eastAsia="en-AU"/>
        </w:rPr>
      </w:pPr>
      <w:hyperlink w:anchor="_Toc5254904" w:history="1">
        <w:r w:rsidR="008E7AAA" w:rsidRPr="00226840">
          <w:rPr>
            <w:rStyle w:val="Hyperlink"/>
          </w:rPr>
          <w:t>Agriculture Victoria’s Statement of Expectations</w:t>
        </w:r>
        <w:r w:rsidR="008E7AAA">
          <w:rPr>
            <w:webHidden/>
          </w:rPr>
          <w:tab/>
        </w:r>
        <w:r w:rsidR="008E7AAA">
          <w:rPr>
            <w:webHidden/>
          </w:rPr>
          <w:fldChar w:fldCharType="begin"/>
        </w:r>
        <w:r w:rsidR="008E7AAA">
          <w:rPr>
            <w:webHidden/>
          </w:rPr>
          <w:instrText xml:space="preserve"> PAGEREF _Toc5254904 \h </w:instrText>
        </w:r>
        <w:r w:rsidR="008E7AAA">
          <w:rPr>
            <w:webHidden/>
          </w:rPr>
        </w:r>
        <w:r w:rsidR="008E7AAA">
          <w:rPr>
            <w:webHidden/>
          </w:rPr>
          <w:fldChar w:fldCharType="separate"/>
        </w:r>
        <w:r w:rsidR="006520CA">
          <w:rPr>
            <w:webHidden/>
          </w:rPr>
          <w:t>3</w:t>
        </w:r>
        <w:r w:rsidR="008E7AAA">
          <w:rPr>
            <w:webHidden/>
          </w:rPr>
          <w:fldChar w:fldCharType="end"/>
        </w:r>
      </w:hyperlink>
    </w:p>
    <w:p w14:paraId="2E12E684" w14:textId="0FD59F5A" w:rsidR="008E7AAA" w:rsidRDefault="00183566">
      <w:pPr>
        <w:pStyle w:val="TOC2"/>
        <w:rPr>
          <w:rFonts w:asciiTheme="minorHAnsi" w:eastAsiaTheme="minorEastAsia" w:hAnsiTheme="minorHAnsi"/>
          <w:sz w:val="22"/>
          <w:szCs w:val="22"/>
          <w:lang w:val="en-AU" w:eastAsia="en-AU"/>
        </w:rPr>
      </w:pPr>
      <w:hyperlink w:anchor="_Toc5254905" w:history="1">
        <w:r w:rsidR="008E7AAA" w:rsidRPr="00226840">
          <w:rPr>
            <w:rStyle w:val="Hyperlink"/>
          </w:rPr>
          <w:t>Purpose</w:t>
        </w:r>
        <w:r w:rsidR="008E7AAA">
          <w:rPr>
            <w:webHidden/>
          </w:rPr>
          <w:tab/>
        </w:r>
        <w:r w:rsidR="008E7AAA">
          <w:rPr>
            <w:webHidden/>
          </w:rPr>
          <w:fldChar w:fldCharType="begin"/>
        </w:r>
        <w:r w:rsidR="008E7AAA">
          <w:rPr>
            <w:webHidden/>
          </w:rPr>
          <w:instrText xml:space="preserve"> PAGEREF _Toc5254905 \h </w:instrText>
        </w:r>
        <w:r w:rsidR="008E7AAA">
          <w:rPr>
            <w:webHidden/>
          </w:rPr>
        </w:r>
        <w:r w:rsidR="008E7AAA">
          <w:rPr>
            <w:webHidden/>
          </w:rPr>
          <w:fldChar w:fldCharType="separate"/>
        </w:r>
        <w:r w:rsidR="006520CA">
          <w:rPr>
            <w:webHidden/>
          </w:rPr>
          <w:t>3</w:t>
        </w:r>
        <w:r w:rsidR="008E7AAA">
          <w:rPr>
            <w:webHidden/>
          </w:rPr>
          <w:fldChar w:fldCharType="end"/>
        </w:r>
      </w:hyperlink>
    </w:p>
    <w:p w14:paraId="26222694" w14:textId="1C15F932" w:rsidR="008E7AAA" w:rsidRDefault="00183566">
      <w:pPr>
        <w:pStyle w:val="TOC2"/>
        <w:rPr>
          <w:rFonts w:asciiTheme="minorHAnsi" w:eastAsiaTheme="minorEastAsia" w:hAnsiTheme="minorHAnsi"/>
          <w:sz w:val="22"/>
          <w:szCs w:val="22"/>
          <w:lang w:val="en-AU" w:eastAsia="en-AU"/>
        </w:rPr>
      </w:pPr>
      <w:hyperlink w:anchor="_Toc5254906" w:history="1">
        <w:r w:rsidR="008E7AAA" w:rsidRPr="00226840">
          <w:rPr>
            <w:rStyle w:val="Hyperlink"/>
            <w:rFonts w:cstheme="minorHAnsi"/>
          </w:rPr>
          <w:t>Background</w:t>
        </w:r>
        <w:r w:rsidR="008E7AAA">
          <w:rPr>
            <w:webHidden/>
          </w:rPr>
          <w:tab/>
        </w:r>
        <w:r w:rsidR="008E7AAA">
          <w:rPr>
            <w:webHidden/>
          </w:rPr>
          <w:fldChar w:fldCharType="begin"/>
        </w:r>
        <w:r w:rsidR="008E7AAA">
          <w:rPr>
            <w:webHidden/>
          </w:rPr>
          <w:instrText xml:space="preserve"> PAGEREF _Toc5254906 \h </w:instrText>
        </w:r>
        <w:r w:rsidR="008E7AAA">
          <w:rPr>
            <w:webHidden/>
          </w:rPr>
        </w:r>
        <w:r w:rsidR="008E7AAA">
          <w:rPr>
            <w:webHidden/>
          </w:rPr>
          <w:fldChar w:fldCharType="separate"/>
        </w:r>
        <w:r w:rsidR="006520CA">
          <w:rPr>
            <w:webHidden/>
          </w:rPr>
          <w:t>4</w:t>
        </w:r>
        <w:r w:rsidR="008E7AAA">
          <w:rPr>
            <w:webHidden/>
          </w:rPr>
          <w:fldChar w:fldCharType="end"/>
        </w:r>
      </w:hyperlink>
    </w:p>
    <w:p w14:paraId="072EC054" w14:textId="7E49AE13" w:rsidR="008E7AAA" w:rsidRDefault="00183566">
      <w:pPr>
        <w:pStyle w:val="TOC2"/>
        <w:rPr>
          <w:rFonts w:asciiTheme="minorHAnsi" w:eastAsiaTheme="minorEastAsia" w:hAnsiTheme="minorHAnsi"/>
          <w:sz w:val="22"/>
          <w:szCs w:val="22"/>
          <w:lang w:val="en-AU" w:eastAsia="en-AU"/>
        </w:rPr>
      </w:pPr>
      <w:hyperlink w:anchor="_Toc5254907" w:history="1">
        <w:r w:rsidR="008E7AAA" w:rsidRPr="00226840">
          <w:rPr>
            <w:rStyle w:val="Hyperlink"/>
            <w:rFonts w:cstheme="minorHAnsi"/>
          </w:rPr>
          <w:t xml:space="preserve">Evaluation </w:t>
        </w:r>
        <w:r w:rsidR="008E7AAA">
          <w:rPr>
            <w:rStyle w:val="Hyperlink"/>
            <w:rFonts w:cstheme="minorHAnsi"/>
          </w:rPr>
          <w:t>m</w:t>
        </w:r>
        <w:r w:rsidR="008E7AAA" w:rsidRPr="00226840">
          <w:rPr>
            <w:rStyle w:val="Hyperlink"/>
            <w:rFonts w:cstheme="minorHAnsi"/>
          </w:rPr>
          <w:t>ethod</w:t>
        </w:r>
        <w:r w:rsidR="008E7AAA">
          <w:rPr>
            <w:rStyle w:val="Hyperlink"/>
            <w:rFonts w:cstheme="minorHAnsi"/>
          </w:rPr>
          <w:t>ology</w:t>
        </w:r>
        <w:r w:rsidR="008E7AAA">
          <w:rPr>
            <w:webHidden/>
          </w:rPr>
          <w:tab/>
        </w:r>
        <w:r w:rsidR="008E7AAA">
          <w:rPr>
            <w:webHidden/>
          </w:rPr>
          <w:fldChar w:fldCharType="begin"/>
        </w:r>
        <w:r w:rsidR="008E7AAA">
          <w:rPr>
            <w:webHidden/>
          </w:rPr>
          <w:instrText xml:space="preserve"> PAGEREF _Toc5254907 \h </w:instrText>
        </w:r>
        <w:r w:rsidR="008E7AAA">
          <w:rPr>
            <w:webHidden/>
          </w:rPr>
        </w:r>
        <w:r w:rsidR="008E7AAA">
          <w:rPr>
            <w:webHidden/>
          </w:rPr>
          <w:fldChar w:fldCharType="separate"/>
        </w:r>
        <w:r w:rsidR="006520CA">
          <w:rPr>
            <w:webHidden/>
          </w:rPr>
          <w:t>5</w:t>
        </w:r>
        <w:r w:rsidR="008E7AAA">
          <w:rPr>
            <w:webHidden/>
          </w:rPr>
          <w:fldChar w:fldCharType="end"/>
        </w:r>
      </w:hyperlink>
    </w:p>
    <w:p w14:paraId="279511B6" w14:textId="279224FE" w:rsidR="008E7AAA" w:rsidRDefault="00183566">
      <w:pPr>
        <w:pStyle w:val="TOC2"/>
        <w:rPr>
          <w:rFonts w:asciiTheme="minorHAnsi" w:eastAsiaTheme="minorEastAsia" w:hAnsiTheme="minorHAnsi"/>
          <w:sz w:val="22"/>
          <w:szCs w:val="22"/>
          <w:lang w:val="en-AU" w:eastAsia="en-AU"/>
        </w:rPr>
      </w:pPr>
      <w:hyperlink w:anchor="_Toc5254908" w:history="1">
        <w:r w:rsidR="008E7AAA" w:rsidRPr="00226840">
          <w:rPr>
            <w:rStyle w:val="Hyperlink"/>
            <w:rFonts w:cstheme="minorHAnsi"/>
          </w:rPr>
          <w:t>Process evaluation</w:t>
        </w:r>
        <w:r w:rsidR="008E7AAA">
          <w:rPr>
            <w:webHidden/>
          </w:rPr>
          <w:tab/>
        </w:r>
        <w:r w:rsidR="008E7AAA">
          <w:rPr>
            <w:webHidden/>
          </w:rPr>
          <w:fldChar w:fldCharType="begin"/>
        </w:r>
        <w:r w:rsidR="008E7AAA">
          <w:rPr>
            <w:webHidden/>
          </w:rPr>
          <w:instrText xml:space="preserve"> PAGEREF _Toc5254908 \h </w:instrText>
        </w:r>
        <w:r w:rsidR="008E7AAA">
          <w:rPr>
            <w:webHidden/>
          </w:rPr>
        </w:r>
        <w:r w:rsidR="008E7AAA">
          <w:rPr>
            <w:webHidden/>
          </w:rPr>
          <w:fldChar w:fldCharType="separate"/>
        </w:r>
        <w:r w:rsidR="006520CA">
          <w:rPr>
            <w:webHidden/>
          </w:rPr>
          <w:t>5</w:t>
        </w:r>
        <w:r w:rsidR="008E7AAA">
          <w:rPr>
            <w:webHidden/>
          </w:rPr>
          <w:fldChar w:fldCharType="end"/>
        </w:r>
      </w:hyperlink>
    </w:p>
    <w:p w14:paraId="3B10860B" w14:textId="58B368DA" w:rsidR="008E7AAA" w:rsidRDefault="00183566">
      <w:pPr>
        <w:pStyle w:val="TOC2"/>
        <w:rPr>
          <w:rFonts w:asciiTheme="minorHAnsi" w:eastAsiaTheme="minorEastAsia" w:hAnsiTheme="minorHAnsi"/>
          <w:sz w:val="22"/>
          <w:szCs w:val="22"/>
          <w:lang w:val="en-AU" w:eastAsia="en-AU"/>
        </w:rPr>
      </w:pPr>
      <w:hyperlink w:anchor="_Toc5254910" w:history="1">
        <w:r w:rsidR="008E7AAA" w:rsidRPr="00226840">
          <w:rPr>
            <w:rStyle w:val="Hyperlink"/>
          </w:rPr>
          <w:t>Outcome evaluation</w:t>
        </w:r>
        <w:r w:rsidR="008E7AAA">
          <w:rPr>
            <w:webHidden/>
          </w:rPr>
          <w:tab/>
        </w:r>
        <w:r w:rsidR="008E7AAA">
          <w:rPr>
            <w:webHidden/>
          </w:rPr>
          <w:fldChar w:fldCharType="begin"/>
        </w:r>
        <w:r w:rsidR="008E7AAA">
          <w:rPr>
            <w:webHidden/>
          </w:rPr>
          <w:instrText xml:space="preserve"> PAGEREF _Toc5254910 \h </w:instrText>
        </w:r>
        <w:r w:rsidR="008E7AAA">
          <w:rPr>
            <w:webHidden/>
          </w:rPr>
        </w:r>
        <w:r w:rsidR="008E7AAA">
          <w:rPr>
            <w:webHidden/>
          </w:rPr>
          <w:fldChar w:fldCharType="separate"/>
        </w:r>
        <w:r w:rsidR="006520CA">
          <w:rPr>
            <w:webHidden/>
          </w:rPr>
          <w:t>6</w:t>
        </w:r>
        <w:r w:rsidR="008E7AAA">
          <w:rPr>
            <w:webHidden/>
          </w:rPr>
          <w:fldChar w:fldCharType="end"/>
        </w:r>
      </w:hyperlink>
    </w:p>
    <w:p w14:paraId="03F32273" w14:textId="6D33A15A" w:rsidR="008E7AAA" w:rsidRDefault="00183566">
      <w:pPr>
        <w:pStyle w:val="TOC3"/>
        <w:tabs>
          <w:tab w:val="left" w:pos="540"/>
        </w:tabs>
        <w:rPr>
          <w:rFonts w:asciiTheme="minorHAnsi" w:eastAsiaTheme="minorEastAsia" w:hAnsiTheme="minorHAnsi"/>
          <w:sz w:val="22"/>
          <w:szCs w:val="22"/>
          <w:lang w:val="en-AU" w:eastAsia="en-AU"/>
        </w:rPr>
      </w:pPr>
      <w:hyperlink w:anchor="_Toc5254911" w:history="1">
        <w:r w:rsidR="008E7AAA" w:rsidRPr="00226840">
          <w:rPr>
            <w:rStyle w:val="Hyperlink"/>
          </w:rPr>
          <w:t>1.</w:t>
        </w:r>
        <w:r w:rsidR="008E7AAA">
          <w:rPr>
            <w:rFonts w:asciiTheme="minorHAnsi" w:eastAsiaTheme="minorEastAsia" w:hAnsiTheme="minorHAnsi"/>
            <w:sz w:val="22"/>
            <w:szCs w:val="22"/>
            <w:lang w:val="en-AU" w:eastAsia="en-AU"/>
          </w:rPr>
          <w:tab/>
        </w:r>
        <w:r w:rsidR="008E7AAA" w:rsidRPr="00226840">
          <w:rPr>
            <w:rStyle w:val="Hyperlink"/>
          </w:rPr>
          <w:t>Timeliness</w:t>
        </w:r>
        <w:r w:rsidR="008E7AAA">
          <w:rPr>
            <w:webHidden/>
          </w:rPr>
          <w:tab/>
        </w:r>
        <w:r w:rsidR="008E7AAA">
          <w:rPr>
            <w:webHidden/>
          </w:rPr>
          <w:fldChar w:fldCharType="begin"/>
        </w:r>
        <w:r w:rsidR="008E7AAA">
          <w:rPr>
            <w:webHidden/>
          </w:rPr>
          <w:instrText xml:space="preserve"> PAGEREF _Toc5254911 \h </w:instrText>
        </w:r>
        <w:r w:rsidR="008E7AAA">
          <w:rPr>
            <w:webHidden/>
          </w:rPr>
        </w:r>
        <w:r w:rsidR="008E7AAA">
          <w:rPr>
            <w:webHidden/>
          </w:rPr>
          <w:fldChar w:fldCharType="separate"/>
        </w:r>
        <w:r w:rsidR="006520CA">
          <w:rPr>
            <w:webHidden/>
          </w:rPr>
          <w:t>6</w:t>
        </w:r>
        <w:r w:rsidR="008E7AAA">
          <w:rPr>
            <w:webHidden/>
          </w:rPr>
          <w:fldChar w:fldCharType="end"/>
        </w:r>
      </w:hyperlink>
    </w:p>
    <w:p w14:paraId="5F75A884" w14:textId="5BB6C8A5" w:rsidR="008E7AAA" w:rsidRDefault="00183566">
      <w:pPr>
        <w:pStyle w:val="TOC3"/>
        <w:tabs>
          <w:tab w:val="left" w:pos="540"/>
        </w:tabs>
        <w:rPr>
          <w:rFonts w:asciiTheme="minorHAnsi" w:eastAsiaTheme="minorEastAsia" w:hAnsiTheme="minorHAnsi"/>
          <w:sz w:val="22"/>
          <w:szCs w:val="22"/>
          <w:lang w:val="en-AU" w:eastAsia="en-AU"/>
        </w:rPr>
      </w:pPr>
      <w:hyperlink w:anchor="_Toc5254913" w:history="1">
        <w:r w:rsidR="008E7AAA" w:rsidRPr="00226840">
          <w:rPr>
            <w:rStyle w:val="Hyperlink"/>
          </w:rPr>
          <w:t>2.</w:t>
        </w:r>
        <w:r w:rsidR="008E7AAA">
          <w:rPr>
            <w:rFonts w:asciiTheme="minorHAnsi" w:eastAsiaTheme="minorEastAsia" w:hAnsiTheme="minorHAnsi"/>
            <w:sz w:val="22"/>
            <w:szCs w:val="22"/>
            <w:lang w:val="en-AU" w:eastAsia="en-AU"/>
          </w:rPr>
          <w:tab/>
        </w:r>
        <w:r w:rsidR="008E7AAA" w:rsidRPr="00226840">
          <w:rPr>
            <w:rStyle w:val="Hyperlink"/>
          </w:rPr>
          <w:t xml:space="preserve">Risk </w:t>
        </w:r>
        <w:r w:rsidR="008E7AAA">
          <w:rPr>
            <w:rStyle w:val="Hyperlink"/>
          </w:rPr>
          <w:t>b</w:t>
        </w:r>
        <w:r w:rsidR="008E7AAA" w:rsidRPr="00226840">
          <w:rPr>
            <w:rStyle w:val="Hyperlink"/>
          </w:rPr>
          <w:t xml:space="preserve">ased </w:t>
        </w:r>
        <w:r w:rsidR="008E7AAA">
          <w:rPr>
            <w:rStyle w:val="Hyperlink"/>
          </w:rPr>
          <w:t>s</w:t>
        </w:r>
        <w:r w:rsidR="008E7AAA" w:rsidRPr="00226840">
          <w:rPr>
            <w:rStyle w:val="Hyperlink"/>
          </w:rPr>
          <w:t>trategies</w:t>
        </w:r>
        <w:r w:rsidR="008E7AAA">
          <w:rPr>
            <w:webHidden/>
          </w:rPr>
          <w:tab/>
        </w:r>
        <w:r w:rsidR="008E7AAA">
          <w:rPr>
            <w:webHidden/>
          </w:rPr>
          <w:fldChar w:fldCharType="begin"/>
        </w:r>
        <w:r w:rsidR="008E7AAA">
          <w:rPr>
            <w:webHidden/>
          </w:rPr>
          <w:instrText xml:space="preserve"> PAGEREF _Toc5254913 \h </w:instrText>
        </w:r>
        <w:r w:rsidR="008E7AAA">
          <w:rPr>
            <w:webHidden/>
          </w:rPr>
        </w:r>
        <w:r w:rsidR="008E7AAA">
          <w:rPr>
            <w:webHidden/>
          </w:rPr>
          <w:fldChar w:fldCharType="separate"/>
        </w:r>
        <w:r w:rsidR="006520CA">
          <w:rPr>
            <w:webHidden/>
          </w:rPr>
          <w:t>7</w:t>
        </w:r>
        <w:r w:rsidR="008E7AAA">
          <w:rPr>
            <w:webHidden/>
          </w:rPr>
          <w:fldChar w:fldCharType="end"/>
        </w:r>
      </w:hyperlink>
    </w:p>
    <w:p w14:paraId="778DF451" w14:textId="3C3506A2" w:rsidR="008E7AAA" w:rsidRDefault="00183566">
      <w:pPr>
        <w:pStyle w:val="TOC3"/>
        <w:tabs>
          <w:tab w:val="left" w:pos="540"/>
        </w:tabs>
        <w:rPr>
          <w:rFonts w:asciiTheme="minorHAnsi" w:eastAsiaTheme="minorEastAsia" w:hAnsiTheme="minorHAnsi"/>
          <w:sz w:val="22"/>
          <w:szCs w:val="22"/>
          <w:lang w:val="en-AU" w:eastAsia="en-AU"/>
        </w:rPr>
      </w:pPr>
      <w:hyperlink w:anchor="_Toc5254915" w:history="1">
        <w:r w:rsidR="008E7AAA" w:rsidRPr="00226840">
          <w:rPr>
            <w:rStyle w:val="Hyperlink"/>
          </w:rPr>
          <w:t>3.</w:t>
        </w:r>
        <w:r w:rsidR="008E7AAA">
          <w:rPr>
            <w:rFonts w:asciiTheme="minorHAnsi" w:eastAsiaTheme="minorEastAsia" w:hAnsiTheme="minorHAnsi"/>
            <w:sz w:val="22"/>
            <w:szCs w:val="22"/>
            <w:lang w:val="en-AU" w:eastAsia="en-AU"/>
          </w:rPr>
          <w:tab/>
        </w:r>
        <w:r w:rsidR="008E7AAA" w:rsidRPr="00226840">
          <w:rPr>
            <w:rStyle w:val="Hyperlink"/>
          </w:rPr>
          <w:t>Compliance related assistance and advice</w:t>
        </w:r>
        <w:r w:rsidR="008E7AAA">
          <w:rPr>
            <w:webHidden/>
          </w:rPr>
          <w:tab/>
        </w:r>
        <w:r w:rsidR="008E7AAA">
          <w:rPr>
            <w:webHidden/>
          </w:rPr>
          <w:fldChar w:fldCharType="begin"/>
        </w:r>
        <w:r w:rsidR="008E7AAA">
          <w:rPr>
            <w:webHidden/>
          </w:rPr>
          <w:instrText xml:space="preserve"> PAGEREF _Toc5254915 \h </w:instrText>
        </w:r>
        <w:r w:rsidR="008E7AAA">
          <w:rPr>
            <w:webHidden/>
          </w:rPr>
        </w:r>
        <w:r w:rsidR="008E7AAA">
          <w:rPr>
            <w:webHidden/>
          </w:rPr>
          <w:fldChar w:fldCharType="separate"/>
        </w:r>
        <w:r w:rsidR="006520CA">
          <w:rPr>
            <w:webHidden/>
          </w:rPr>
          <w:t>8</w:t>
        </w:r>
        <w:r w:rsidR="008E7AAA">
          <w:rPr>
            <w:webHidden/>
          </w:rPr>
          <w:fldChar w:fldCharType="end"/>
        </w:r>
      </w:hyperlink>
    </w:p>
    <w:p w14:paraId="67AC4AD0" w14:textId="5EC175FD" w:rsidR="008E7AAA" w:rsidRDefault="00183566">
      <w:pPr>
        <w:pStyle w:val="TOC3"/>
        <w:tabs>
          <w:tab w:val="left" w:pos="540"/>
        </w:tabs>
        <w:rPr>
          <w:rFonts w:asciiTheme="minorHAnsi" w:eastAsiaTheme="minorEastAsia" w:hAnsiTheme="minorHAnsi"/>
          <w:sz w:val="22"/>
          <w:szCs w:val="22"/>
          <w:lang w:val="en-AU" w:eastAsia="en-AU"/>
        </w:rPr>
      </w:pPr>
      <w:hyperlink w:anchor="_Toc5254917" w:history="1">
        <w:r w:rsidR="008E7AAA" w:rsidRPr="00226840">
          <w:rPr>
            <w:rStyle w:val="Hyperlink"/>
          </w:rPr>
          <w:t>4.</w:t>
        </w:r>
        <w:r w:rsidR="008E7AAA">
          <w:rPr>
            <w:rFonts w:asciiTheme="minorHAnsi" w:eastAsiaTheme="minorEastAsia" w:hAnsiTheme="minorHAnsi"/>
            <w:sz w:val="22"/>
            <w:szCs w:val="22"/>
            <w:lang w:val="en-AU" w:eastAsia="en-AU"/>
          </w:rPr>
          <w:tab/>
        </w:r>
        <w:r w:rsidR="008E7AAA" w:rsidRPr="00226840">
          <w:rPr>
            <w:rStyle w:val="Hyperlink"/>
          </w:rPr>
          <w:t>Role clarity</w:t>
        </w:r>
        <w:r w:rsidR="008E7AAA">
          <w:rPr>
            <w:webHidden/>
          </w:rPr>
          <w:tab/>
        </w:r>
        <w:r w:rsidR="008E7AAA">
          <w:rPr>
            <w:webHidden/>
          </w:rPr>
          <w:fldChar w:fldCharType="begin"/>
        </w:r>
        <w:r w:rsidR="008E7AAA">
          <w:rPr>
            <w:webHidden/>
          </w:rPr>
          <w:instrText xml:space="preserve"> PAGEREF _Toc5254917 \h </w:instrText>
        </w:r>
        <w:r w:rsidR="008E7AAA">
          <w:rPr>
            <w:webHidden/>
          </w:rPr>
        </w:r>
        <w:r w:rsidR="008E7AAA">
          <w:rPr>
            <w:webHidden/>
          </w:rPr>
          <w:fldChar w:fldCharType="separate"/>
        </w:r>
        <w:r w:rsidR="006520CA">
          <w:rPr>
            <w:webHidden/>
          </w:rPr>
          <w:t>9</w:t>
        </w:r>
        <w:r w:rsidR="008E7AAA">
          <w:rPr>
            <w:webHidden/>
          </w:rPr>
          <w:fldChar w:fldCharType="end"/>
        </w:r>
      </w:hyperlink>
    </w:p>
    <w:p w14:paraId="57718A85" w14:textId="0D8CA07D" w:rsidR="008E7AAA" w:rsidRDefault="00183566">
      <w:pPr>
        <w:pStyle w:val="TOC3"/>
        <w:tabs>
          <w:tab w:val="left" w:pos="540"/>
        </w:tabs>
        <w:rPr>
          <w:rFonts w:asciiTheme="minorHAnsi" w:eastAsiaTheme="minorEastAsia" w:hAnsiTheme="minorHAnsi"/>
          <w:sz w:val="22"/>
          <w:szCs w:val="22"/>
          <w:lang w:val="en-AU" w:eastAsia="en-AU"/>
        </w:rPr>
      </w:pPr>
      <w:hyperlink w:anchor="_Toc5254919" w:history="1">
        <w:r w:rsidR="008E7AAA" w:rsidRPr="00226840">
          <w:rPr>
            <w:rStyle w:val="Hyperlink"/>
          </w:rPr>
          <w:t>5.</w:t>
        </w:r>
        <w:r w:rsidR="008E7AAA">
          <w:rPr>
            <w:rFonts w:asciiTheme="minorHAnsi" w:eastAsiaTheme="minorEastAsia" w:hAnsiTheme="minorHAnsi"/>
            <w:sz w:val="22"/>
            <w:szCs w:val="22"/>
            <w:lang w:val="en-AU" w:eastAsia="en-AU"/>
          </w:rPr>
          <w:tab/>
        </w:r>
        <w:r w:rsidR="008E7AAA" w:rsidRPr="00226840">
          <w:rPr>
            <w:rStyle w:val="Hyperlink"/>
          </w:rPr>
          <w:t>Cooperation amongst regulators</w:t>
        </w:r>
        <w:r w:rsidR="008E7AAA">
          <w:rPr>
            <w:webHidden/>
          </w:rPr>
          <w:tab/>
        </w:r>
        <w:r w:rsidR="008E7AAA">
          <w:rPr>
            <w:webHidden/>
          </w:rPr>
          <w:fldChar w:fldCharType="begin"/>
        </w:r>
        <w:r w:rsidR="008E7AAA">
          <w:rPr>
            <w:webHidden/>
          </w:rPr>
          <w:instrText xml:space="preserve"> PAGEREF _Toc5254919 \h </w:instrText>
        </w:r>
        <w:r w:rsidR="008E7AAA">
          <w:rPr>
            <w:webHidden/>
          </w:rPr>
        </w:r>
        <w:r w:rsidR="008E7AAA">
          <w:rPr>
            <w:webHidden/>
          </w:rPr>
          <w:fldChar w:fldCharType="separate"/>
        </w:r>
        <w:r w:rsidR="006520CA">
          <w:rPr>
            <w:webHidden/>
          </w:rPr>
          <w:t>10</w:t>
        </w:r>
        <w:r w:rsidR="008E7AAA">
          <w:rPr>
            <w:webHidden/>
          </w:rPr>
          <w:fldChar w:fldCharType="end"/>
        </w:r>
      </w:hyperlink>
    </w:p>
    <w:p w14:paraId="47B80F6A" w14:textId="775496AA" w:rsidR="008E7AAA" w:rsidRDefault="00183566">
      <w:pPr>
        <w:pStyle w:val="TOC3"/>
        <w:tabs>
          <w:tab w:val="left" w:pos="540"/>
        </w:tabs>
        <w:rPr>
          <w:rFonts w:asciiTheme="minorHAnsi" w:eastAsiaTheme="minorEastAsia" w:hAnsiTheme="minorHAnsi"/>
          <w:sz w:val="22"/>
          <w:szCs w:val="22"/>
          <w:lang w:val="en-AU" w:eastAsia="en-AU"/>
        </w:rPr>
      </w:pPr>
      <w:hyperlink w:anchor="_Toc5254921" w:history="1">
        <w:r w:rsidR="008E7AAA" w:rsidRPr="00226840">
          <w:rPr>
            <w:rStyle w:val="Hyperlink"/>
          </w:rPr>
          <w:t>6.</w:t>
        </w:r>
        <w:r w:rsidR="008E7AAA">
          <w:rPr>
            <w:rFonts w:asciiTheme="minorHAnsi" w:eastAsiaTheme="minorEastAsia" w:hAnsiTheme="minorHAnsi"/>
            <w:sz w:val="22"/>
            <w:szCs w:val="22"/>
            <w:lang w:val="en-AU" w:eastAsia="en-AU"/>
          </w:rPr>
          <w:tab/>
        </w:r>
        <w:r w:rsidR="008E7AAA" w:rsidRPr="00226840">
          <w:rPr>
            <w:rStyle w:val="Hyperlink"/>
          </w:rPr>
          <w:t>Stakeholder consultation and engagement</w:t>
        </w:r>
        <w:r w:rsidR="008E7AAA">
          <w:rPr>
            <w:webHidden/>
          </w:rPr>
          <w:tab/>
        </w:r>
        <w:r w:rsidR="008E7AAA">
          <w:rPr>
            <w:webHidden/>
          </w:rPr>
          <w:fldChar w:fldCharType="begin"/>
        </w:r>
        <w:r w:rsidR="008E7AAA">
          <w:rPr>
            <w:webHidden/>
          </w:rPr>
          <w:instrText xml:space="preserve"> PAGEREF _Toc5254921 \h </w:instrText>
        </w:r>
        <w:r w:rsidR="008E7AAA">
          <w:rPr>
            <w:webHidden/>
          </w:rPr>
        </w:r>
        <w:r w:rsidR="008E7AAA">
          <w:rPr>
            <w:webHidden/>
          </w:rPr>
          <w:fldChar w:fldCharType="separate"/>
        </w:r>
        <w:r w:rsidR="006520CA">
          <w:rPr>
            <w:webHidden/>
          </w:rPr>
          <w:t>11</w:t>
        </w:r>
        <w:r w:rsidR="008E7AAA">
          <w:rPr>
            <w:webHidden/>
          </w:rPr>
          <w:fldChar w:fldCharType="end"/>
        </w:r>
      </w:hyperlink>
    </w:p>
    <w:p w14:paraId="1C9054EE" w14:textId="3D2F5FC5" w:rsidR="008E7AAA" w:rsidRDefault="00183566">
      <w:pPr>
        <w:pStyle w:val="TOC3"/>
        <w:tabs>
          <w:tab w:val="left" w:pos="540"/>
        </w:tabs>
        <w:rPr>
          <w:rFonts w:asciiTheme="minorHAnsi" w:eastAsiaTheme="minorEastAsia" w:hAnsiTheme="minorHAnsi"/>
          <w:sz w:val="22"/>
          <w:szCs w:val="22"/>
          <w:lang w:val="en-AU" w:eastAsia="en-AU"/>
        </w:rPr>
      </w:pPr>
      <w:hyperlink w:anchor="_Toc5254923" w:history="1">
        <w:r w:rsidR="008E7AAA" w:rsidRPr="00226840">
          <w:rPr>
            <w:rStyle w:val="Hyperlink"/>
          </w:rPr>
          <w:t>7.</w:t>
        </w:r>
        <w:r w:rsidR="008E7AAA">
          <w:rPr>
            <w:rFonts w:asciiTheme="minorHAnsi" w:eastAsiaTheme="minorEastAsia" w:hAnsiTheme="minorHAnsi"/>
            <w:sz w:val="22"/>
            <w:szCs w:val="22"/>
            <w:lang w:val="en-AU" w:eastAsia="en-AU"/>
          </w:rPr>
          <w:tab/>
        </w:r>
        <w:r w:rsidR="008E7AAA" w:rsidRPr="00226840">
          <w:rPr>
            <w:rStyle w:val="Hyperlink"/>
          </w:rPr>
          <w:t>Clear and consistent regulatory activities</w:t>
        </w:r>
        <w:r w:rsidR="008E7AAA">
          <w:rPr>
            <w:webHidden/>
          </w:rPr>
          <w:tab/>
        </w:r>
        <w:r w:rsidR="008E7AAA">
          <w:rPr>
            <w:webHidden/>
          </w:rPr>
          <w:fldChar w:fldCharType="begin"/>
        </w:r>
        <w:r w:rsidR="008E7AAA">
          <w:rPr>
            <w:webHidden/>
          </w:rPr>
          <w:instrText xml:space="preserve"> PAGEREF _Toc5254923 \h </w:instrText>
        </w:r>
        <w:r w:rsidR="008E7AAA">
          <w:rPr>
            <w:webHidden/>
          </w:rPr>
        </w:r>
        <w:r w:rsidR="008E7AAA">
          <w:rPr>
            <w:webHidden/>
          </w:rPr>
          <w:fldChar w:fldCharType="separate"/>
        </w:r>
        <w:r w:rsidR="006520CA">
          <w:rPr>
            <w:webHidden/>
          </w:rPr>
          <w:t>13</w:t>
        </w:r>
        <w:r w:rsidR="008E7AAA">
          <w:rPr>
            <w:webHidden/>
          </w:rPr>
          <w:fldChar w:fldCharType="end"/>
        </w:r>
      </w:hyperlink>
    </w:p>
    <w:p w14:paraId="509049BD" w14:textId="257FD486" w:rsidR="008E7AAA" w:rsidRDefault="00183566">
      <w:pPr>
        <w:pStyle w:val="TOC3"/>
        <w:tabs>
          <w:tab w:val="left" w:pos="540"/>
        </w:tabs>
        <w:rPr>
          <w:rFonts w:asciiTheme="minorHAnsi" w:eastAsiaTheme="minorEastAsia" w:hAnsiTheme="minorHAnsi"/>
          <w:sz w:val="22"/>
          <w:szCs w:val="22"/>
          <w:lang w:val="en-AU" w:eastAsia="en-AU"/>
        </w:rPr>
      </w:pPr>
      <w:hyperlink w:anchor="_Toc5254925" w:history="1">
        <w:r w:rsidR="008E7AAA" w:rsidRPr="00226840">
          <w:rPr>
            <w:rStyle w:val="Hyperlink"/>
          </w:rPr>
          <w:t>8.</w:t>
        </w:r>
        <w:r w:rsidR="008E7AAA">
          <w:rPr>
            <w:rFonts w:asciiTheme="minorHAnsi" w:eastAsiaTheme="minorEastAsia" w:hAnsiTheme="minorHAnsi"/>
            <w:sz w:val="22"/>
            <w:szCs w:val="22"/>
            <w:lang w:val="en-AU" w:eastAsia="en-AU"/>
          </w:rPr>
          <w:tab/>
        </w:r>
        <w:r w:rsidR="008E7AAA" w:rsidRPr="00226840">
          <w:rPr>
            <w:rStyle w:val="Hyperlink"/>
          </w:rPr>
          <w:t>Reporting</w:t>
        </w:r>
        <w:r w:rsidR="008E7AAA">
          <w:rPr>
            <w:webHidden/>
          </w:rPr>
          <w:tab/>
        </w:r>
        <w:r w:rsidR="008E7AAA">
          <w:rPr>
            <w:webHidden/>
          </w:rPr>
          <w:fldChar w:fldCharType="begin"/>
        </w:r>
        <w:r w:rsidR="008E7AAA">
          <w:rPr>
            <w:webHidden/>
          </w:rPr>
          <w:instrText xml:space="preserve"> PAGEREF _Toc5254925 \h </w:instrText>
        </w:r>
        <w:r w:rsidR="008E7AAA">
          <w:rPr>
            <w:webHidden/>
          </w:rPr>
        </w:r>
        <w:r w:rsidR="008E7AAA">
          <w:rPr>
            <w:webHidden/>
          </w:rPr>
          <w:fldChar w:fldCharType="separate"/>
        </w:r>
        <w:r w:rsidR="006520CA">
          <w:rPr>
            <w:webHidden/>
          </w:rPr>
          <w:t>14</w:t>
        </w:r>
        <w:r w:rsidR="008E7AAA">
          <w:rPr>
            <w:webHidden/>
          </w:rPr>
          <w:fldChar w:fldCharType="end"/>
        </w:r>
      </w:hyperlink>
    </w:p>
    <w:p w14:paraId="5501BF34" w14:textId="50E8E810" w:rsidR="008E7AAA" w:rsidRDefault="00183566">
      <w:pPr>
        <w:pStyle w:val="TOC2"/>
        <w:rPr>
          <w:rFonts w:asciiTheme="minorHAnsi" w:eastAsiaTheme="minorEastAsia" w:hAnsiTheme="minorHAnsi"/>
          <w:sz w:val="22"/>
          <w:szCs w:val="22"/>
          <w:lang w:val="en-AU" w:eastAsia="en-AU"/>
        </w:rPr>
      </w:pPr>
      <w:hyperlink w:anchor="_Toc5254927" w:history="1">
        <w:r w:rsidR="008E7AAA" w:rsidRPr="00226840">
          <w:rPr>
            <w:rStyle w:val="Hyperlink"/>
            <w:lang w:val="en-AU"/>
          </w:rPr>
          <w:t>Conclusion</w:t>
        </w:r>
        <w:r w:rsidR="008E7AAA">
          <w:rPr>
            <w:webHidden/>
          </w:rPr>
          <w:tab/>
        </w:r>
        <w:r w:rsidR="008E7AAA">
          <w:rPr>
            <w:webHidden/>
          </w:rPr>
          <w:fldChar w:fldCharType="begin"/>
        </w:r>
        <w:r w:rsidR="008E7AAA">
          <w:rPr>
            <w:webHidden/>
          </w:rPr>
          <w:instrText xml:space="preserve"> PAGEREF _Toc5254927 \h </w:instrText>
        </w:r>
        <w:r w:rsidR="008E7AAA">
          <w:rPr>
            <w:webHidden/>
          </w:rPr>
        </w:r>
        <w:r w:rsidR="008E7AAA">
          <w:rPr>
            <w:webHidden/>
          </w:rPr>
          <w:fldChar w:fldCharType="separate"/>
        </w:r>
        <w:r w:rsidR="006520CA">
          <w:rPr>
            <w:webHidden/>
          </w:rPr>
          <w:t>14</w:t>
        </w:r>
        <w:r w:rsidR="008E7AAA">
          <w:rPr>
            <w:webHidden/>
          </w:rPr>
          <w:fldChar w:fldCharType="end"/>
        </w:r>
      </w:hyperlink>
    </w:p>
    <w:p w14:paraId="3F111691" w14:textId="485A7EDF" w:rsidR="008E7AAA" w:rsidRDefault="00183566">
      <w:pPr>
        <w:pStyle w:val="TOC2"/>
        <w:rPr>
          <w:rFonts w:asciiTheme="minorHAnsi" w:eastAsiaTheme="minorEastAsia" w:hAnsiTheme="minorHAnsi"/>
          <w:sz w:val="22"/>
          <w:szCs w:val="22"/>
          <w:lang w:val="en-AU" w:eastAsia="en-AU"/>
        </w:rPr>
      </w:pPr>
      <w:hyperlink w:anchor="_Toc5254928" w:history="1">
        <w:r w:rsidR="008E7AAA" w:rsidRPr="00226840">
          <w:rPr>
            <w:rStyle w:val="Hyperlink"/>
            <w:lang w:val="en-AU"/>
          </w:rPr>
          <w:t>Appendix 1 – SOE Improvement Target Progress SUMMARY</w:t>
        </w:r>
        <w:r w:rsidR="008E7AAA">
          <w:rPr>
            <w:webHidden/>
          </w:rPr>
          <w:tab/>
        </w:r>
        <w:r w:rsidR="008E7AAA">
          <w:rPr>
            <w:webHidden/>
          </w:rPr>
          <w:fldChar w:fldCharType="begin"/>
        </w:r>
        <w:r w:rsidR="008E7AAA">
          <w:rPr>
            <w:webHidden/>
          </w:rPr>
          <w:instrText xml:space="preserve"> PAGEREF _Toc5254928 \h </w:instrText>
        </w:r>
        <w:r w:rsidR="008E7AAA">
          <w:rPr>
            <w:webHidden/>
          </w:rPr>
        </w:r>
        <w:r w:rsidR="008E7AAA">
          <w:rPr>
            <w:webHidden/>
          </w:rPr>
          <w:fldChar w:fldCharType="separate"/>
        </w:r>
        <w:r w:rsidR="006520CA">
          <w:rPr>
            <w:webHidden/>
          </w:rPr>
          <w:t>15</w:t>
        </w:r>
        <w:r w:rsidR="008E7AAA">
          <w:rPr>
            <w:webHidden/>
          </w:rPr>
          <w:fldChar w:fldCharType="end"/>
        </w:r>
      </w:hyperlink>
    </w:p>
    <w:p w14:paraId="2896B92D" w14:textId="08C13FFA" w:rsidR="006F161D" w:rsidRDefault="006428E5" w:rsidP="006F161D">
      <w:pPr>
        <w:pStyle w:val="TOC1"/>
        <w:rPr>
          <w:b w:val="0"/>
        </w:rPr>
      </w:pPr>
      <w:r w:rsidRPr="006F161D">
        <w:rPr>
          <w:b w:val="0"/>
        </w:rPr>
        <w:fldChar w:fldCharType="end"/>
      </w:r>
      <w:bookmarkStart w:id="4" w:name="_Toc532226351"/>
    </w:p>
    <w:p w14:paraId="78C00833" w14:textId="40495906" w:rsidR="00CE3205" w:rsidRDefault="00CE3205" w:rsidP="00CE3205"/>
    <w:p w14:paraId="58E9091B" w14:textId="2DDFBC9C" w:rsidR="00CE3205" w:rsidRDefault="00CE3205" w:rsidP="00CE3205"/>
    <w:p w14:paraId="7B5376D9" w14:textId="4C035C4A" w:rsidR="00CE3205" w:rsidRDefault="00CE3205" w:rsidP="00CE3205"/>
    <w:p w14:paraId="37F86DA8" w14:textId="509399A7" w:rsidR="00CE3205" w:rsidRDefault="00CE3205" w:rsidP="00CE3205"/>
    <w:p w14:paraId="497A6A6B" w14:textId="78516109" w:rsidR="00CE3205" w:rsidRDefault="00CE3205" w:rsidP="00CE3205"/>
    <w:p w14:paraId="65049220" w14:textId="7B66B934" w:rsidR="00CE3205" w:rsidRDefault="00CE3205" w:rsidP="00CE3205"/>
    <w:p w14:paraId="2EDBE917" w14:textId="4589F218" w:rsidR="00CE3205" w:rsidRDefault="00CE3205" w:rsidP="00CE3205"/>
    <w:p w14:paraId="58195B48" w14:textId="5FCFCDD1" w:rsidR="00CE3205" w:rsidRDefault="00CE3205" w:rsidP="00CE3205"/>
    <w:p w14:paraId="4217C403" w14:textId="24C76EF3" w:rsidR="00CE3205" w:rsidRDefault="00CE3205" w:rsidP="00CE3205"/>
    <w:p w14:paraId="11F81B2D" w14:textId="763737FB" w:rsidR="00CE3205" w:rsidRDefault="00CE3205" w:rsidP="00CE3205"/>
    <w:p w14:paraId="3F6B7F96" w14:textId="1A0A6A72" w:rsidR="00CE3205" w:rsidRDefault="00CE3205" w:rsidP="00CE3205"/>
    <w:p w14:paraId="1CA25FCC" w14:textId="1C41DA6C" w:rsidR="00CE3205" w:rsidRDefault="00CE3205" w:rsidP="00CE3205"/>
    <w:p w14:paraId="25651563" w14:textId="31F23AA0" w:rsidR="00CE3205" w:rsidRDefault="00CE3205" w:rsidP="00CE3205"/>
    <w:p w14:paraId="34BFE6CA" w14:textId="77777777" w:rsidR="00CE3205" w:rsidRPr="00CE3205" w:rsidRDefault="00CE3205" w:rsidP="00CE3205"/>
    <w:p w14:paraId="67C2CF68" w14:textId="66979ED8" w:rsidR="00F23444" w:rsidRPr="00C84680" w:rsidRDefault="005D03EC" w:rsidP="006F161D">
      <w:pPr>
        <w:pStyle w:val="TOC1"/>
        <w:rPr>
          <w:sz w:val="22"/>
        </w:rPr>
      </w:pPr>
      <w:r w:rsidRPr="00C84680">
        <w:rPr>
          <w:sz w:val="22"/>
        </w:rPr>
        <w:t>Accessibility</w:t>
      </w:r>
      <w:bookmarkEnd w:id="4"/>
    </w:p>
    <w:p w14:paraId="305DAB45" w14:textId="57BB9062" w:rsidR="005D03EC" w:rsidRPr="0066446A" w:rsidRDefault="005D03EC" w:rsidP="005D03EC">
      <w:pPr>
        <w:rPr>
          <w:rFonts w:asciiTheme="minorHAnsi" w:hAnsiTheme="minorHAnsi" w:cstheme="minorHAnsi"/>
          <w:sz w:val="20"/>
          <w:szCs w:val="22"/>
        </w:rPr>
        <w:sectPr w:rsidR="005D03EC" w:rsidRPr="0066446A" w:rsidSect="00641571">
          <w:headerReference w:type="default" r:id="rId15"/>
          <w:footerReference w:type="default" r:id="rId16"/>
          <w:pgSz w:w="11900" w:h="16840"/>
          <w:pgMar w:top="1916" w:right="1080" w:bottom="1440" w:left="1080" w:header="709" w:footer="397" w:gutter="0"/>
          <w:cols w:space="708"/>
          <w:docGrid w:linePitch="360"/>
        </w:sectPr>
      </w:pPr>
      <w:r w:rsidRPr="00C84680">
        <w:rPr>
          <w:rFonts w:asciiTheme="minorHAnsi" w:hAnsiTheme="minorHAnsi" w:cstheme="minorHAnsi"/>
          <w:sz w:val="20"/>
          <w:szCs w:val="22"/>
        </w:rPr>
        <w:t xml:space="preserve">If you would like to receive this publication in an accessible format, please telephone </w:t>
      </w:r>
      <w:r w:rsidR="00DB2F53" w:rsidRPr="00C84680">
        <w:rPr>
          <w:rFonts w:asciiTheme="minorHAnsi" w:hAnsiTheme="minorHAnsi" w:cstheme="minorHAnsi"/>
          <w:sz w:val="20"/>
          <w:szCs w:val="22"/>
        </w:rPr>
        <w:t xml:space="preserve">the Regulatory Improvement team on </w:t>
      </w:r>
      <w:r w:rsidR="00DB2F53" w:rsidRPr="00C84680">
        <w:rPr>
          <w:rFonts w:asciiTheme="minorHAnsi" w:hAnsiTheme="minorHAnsi" w:cstheme="minorHAnsi"/>
          <w:color w:val="auto"/>
          <w:sz w:val="20"/>
          <w:szCs w:val="22"/>
        </w:rPr>
        <w:t>03 8392 6884</w:t>
      </w:r>
      <w:r w:rsidRPr="00C84680">
        <w:rPr>
          <w:rFonts w:asciiTheme="minorHAnsi" w:hAnsiTheme="minorHAnsi" w:cstheme="minorHAnsi"/>
          <w:color w:val="auto"/>
          <w:sz w:val="20"/>
          <w:szCs w:val="22"/>
        </w:rPr>
        <w:t xml:space="preserve">. </w:t>
      </w:r>
      <w:r w:rsidRPr="00C84680">
        <w:rPr>
          <w:rFonts w:asciiTheme="minorHAnsi" w:hAnsiTheme="minorHAnsi" w:cstheme="minorHAnsi"/>
          <w:sz w:val="20"/>
          <w:szCs w:val="22"/>
        </w:rPr>
        <w:t xml:space="preserve">This document is also </w:t>
      </w:r>
      <w:r w:rsidRPr="00C84680">
        <w:rPr>
          <w:rFonts w:asciiTheme="minorHAnsi" w:hAnsiTheme="minorHAnsi" w:cstheme="minorHAnsi"/>
          <w:color w:val="auto"/>
          <w:sz w:val="20"/>
          <w:szCs w:val="22"/>
        </w:rPr>
        <w:t xml:space="preserve">available in PDF and Word format at </w:t>
      </w:r>
      <w:hyperlink r:id="rId17" w:history="1">
        <w:r w:rsidR="00DB2F53" w:rsidRPr="00C84680">
          <w:rPr>
            <w:rStyle w:val="Hyperlink"/>
            <w:rFonts w:asciiTheme="minorHAnsi" w:hAnsiTheme="minorHAnsi" w:cstheme="minorHAnsi"/>
            <w:sz w:val="20"/>
            <w:szCs w:val="22"/>
          </w:rPr>
          <w:t>agriculture.vic.gov.au</w:t>
        </w:r>
      </w:hyperlink>
    </w:p>
    <w:p w14:paraId="79F2C9EF" w14:textId="7586BB3D" w:rsidR="00321656" w:rsidRPr="003E09AA" w:rsidRDefault="00321656" w:rsidP="002B0C9A">
      <w:pPr>
        <w:pStyle w:val="Heading1"/>
        <w:rPr>
          <w:rFonts w:asciiTheme="minorHAnsi" w:hAnsiTheme="minorHAnsi" w:cstheme="minorHAnsi"/>
          <w:szCs w:val="22"/>
        </w:rPr>
        <w:sectPr w:rsidR="00321656" w:rsidRPr="003E09AA" w:rsidSect="00641571">
          <w:headerReference w:type="default" r:id="rId18"/>
          <w:type w:val="continuous"/>
          <w:pgSz w:w="11900" w:h="16840"/>
          <w:pgMar w:top="1701" w:right="709" w:bottom="1701" w:left="709" w:header="709" w:footer="397" w:gutter="0"/>
          <w:cols w:num="2" w:space="708"/>
          <w:docGrid w:linePitch="360"/>
        </w:sectPr>
      </w:pPr>
      <w:bookmarkStart w:id="5" w:name="_Toc439949480"/>
    </w:p>
    <w:p w14:paraId="1ECF179C" w14:textId="49590373" w:rsidR="00321656" w:rsidRPr="00374F04" w:rsidRDefault="000846B8" w:rsidP="00673BBA">
      <w:pPr>
        <w:pStyle w:val="Heading1"/>
        <w:rPr>
          <w:rFonts w:asciiTheme="minorHAnsi" w:hAnsiTheme="minorHAnsi" w:cstheme="minorHAnsi"/>
          <w:sz w:val="24"/>
          <w:szCs w:val="22"/>
        </w:rPr>
        <w:sectPr w:rsidR="00321656" w:rsidRPr="00374F04" w:rsidSect="00F53716">
          <w:headerReference w:type="default" r:id="rId19"/>
          <w:footerReference w:type="default" r:id="rId20"/>
          <w:type w:val="continuous"/>
          <w:pgSz w:w="11900" w:h="16840"/>
          <w:pgMar w:top="1916" w:right="1080" w:bottom="1440" w:left="1080" w:header="709" w:footer="397" w:gutter="0"/>
          <w:cols w:space="708"/>
          <w:docGrid w:linePitch="360"/>
        </w:sectPr>
      </w:pPr>
      <w:bookmarkStart w:id="6" w:name="_Toc5254903"/>
      <w:r w:rsidRPr="00374F04">
        <w:rPr>
          <w:rFonts w:asciiTheme="minorHAnsi" w:hAnsiTheme="minorHAnsi" w:cstheme="minorHAnsi"/>
          <w:sz w:val="24"/>
          <w:szCs w:val="22"/>
        </w:rPr>
        <w:lastRenderedPageBreak/>
        <w:t>Introduction</w:t>
      </w:r>
      <w:bookmarkEnd w:id="6"/>
    </w:p>
    <w:p w14:paraId="3A505C10" w14:textId="4913917D" w:rsidR="00E104E6" w:rsidRPr="00374F04" w:rsidRDefault="00C80B1B" w:rsidP="00F07D7A">
      <w:pPr>
        <w:spacing w:line="276" w:lineRule="auto"/>
        <w:rPr>
          <w:rFonts w:asciiTheme="minorHAnsi" w:hAnsiTheme="minorHAnsi" w:cstheme="minorHAnsi"/>
          <w:sz w:val="20"/>
          <w:szCs w:val="22"/>
        </w:rPr>
      </w:pPr>
      <w:r w:rsidRPr="00374F04">
        <w:rPr>
          <w:rFonts w:asciiTheme="minorHAnsi" w:hAnsiTheme="minorHAnsi" w:cstheme="minorHAnsi"/>
          <w:sz w:val="20"/>
          <w:szCs w:val="22"/>
        </w:rPr>
        <w:t xml:space="preserve">Agriculture Victoria is part of the Department of </w:t>
      </w:r>
      <w:r w:rsidR="003B2984">
        <w:rPr>
          <w:rFonts w:asciiTheme="minorHAnsi" w:hAnsiTheme="minorHAnsi" w:cstheme="minorHAnsi"/>
          <w:sz w:val="20"/>
          <w:szCs w:val="22"/>
        </w:rPr>
        <w:t>Jobs, Precincts and Regions (DJPR</w:t>
      </w:r>
      <w:r w:rsidRPr="00374F04">
        <w:rPr>
          <w:rFonts w:asciiTheme="minorHAnsi" w:hAnsiTheme="minorHAnsi" w:cstheme="minorHAnsi"/>
          <w:sz w:val="20"/>
          <w:szCs w:val="22"/>
        </w:rPr>
        <w:t>)</w:t>
      </w:r>
      <w:r w:rsidR="003B2984">
        <w:rPr>
          <w:rFonts w:asciiTheme="minorHAnsi" w:hAnsiTheme="minorHAnsi" w:cstheme="minorHAnsi"/>
          <w:sz w:val="20"/>
          <w:szCs w:val="22"/>
        </w:rPr>
        <w:t>(the department)</w:t>
      </w:r>
      <w:r w:rsidR="00DD0402">
        <w:rPr>
          <w:rStyle w:val="FootnoteReference"/>
          <w:rFonts w:asciiTheme="minorHAnsi" w:hAnsiTheme="minorHAnsi" w:cstheme="minorHAnsi"/>
          <w:sz w:val="20"/>
          <w:szCs w:val="22"/>
        </w:rPr>
        <w:footnoteReference w:id="1"/>
      </w:r>
      <w:r w:rsidRPr="00374F04">
        <w:rPr>
          <w:rFonts w:asciiTheme="minorHAnsi" w:hAnsiTheme="minorHAnsi" w:cstheme="minorHAnsi"/>
          <w:sz w:val="20"/>
          <w:szCs w:val="22"/>
        </w:rPr>
        <w:t xml:space="preserve">. </w:t>
      </w:r>
      <w:r w:rsidR="00073DE7">
        <w:rPr>
          <w:rFonts w:asciiTheme="minorHAnsi" w:hAnsiTheme="minorHAnsi" w:cstheme="minorHAnsi"/>
          <w:sz w:val="20"/>
          <w:szCs w:val="22"/>
        </w:rPr>
        <w:t xml:space="preserve">As </w:t>
      </w:r>
      <w:r w:rsidR="00234ED2" w:rsidRPr="00374F04">
        <w:rPr>
          <w:rFonts w:asciiTheme="minorHAnsi" w:hAnsiTheme="minorHAnsi" w:cstheme="minorHAnsi"/>
          <w:sz w:val="20"/>
          <w:szCs w:val="22"/>
        </w:rPr>
        <w:t xml:space="preserve">a </w:t>
      </w:r>
      <w:r w:rsidR="00336FEF" w:rsidRPr="00374F04">
        <w:rPr>
          <w:rFonts w:asciiTheme="minorHAnsi" w:hAnsiTheme="minorHAnsi" w:cstheme="minorHAnsi"/>
          <w:sz w:val="20"/>
          <w:szCs w:val="22"/>
        </w:rPr>
        <w:t xml:space="preserve">Victorian State Government </w:t>
      </w:r>
      <w:r w:rsidR="000846B8" w:rsidRPr="00374F04">
        <w:rPr>
          <w:rFonts w:asciiTheme="minorHAnsi" w:hAnsiTheme="minorHAnsi" w:cstheme="minorHAnsi"/>
          <w:sz w:val="20"/>
          <w:szCs w:val="22"/>
        </w:rPr>
        <w:t>regulator</w:t>
      </w:r>
      <w:r w:rsidR="00234ED2" w:rsidRPr="00374F04">
        <w:rPr>
          <w:rFonts w:asciiTheme="minorHAnsi" w:hAnsiTheme="minorHAnsi" w:cstheme="minorHAnsi"/>
          <w:sz w:val="20"/>
          <w:szCs w:val="22"/>
        </w:rPr>
        <w:t xml:space="preserve">, </w:t>
      </w:r>
      <w:r w:rsidR="00073DE7">
        <w:rPr>
          <w:rFonts w:asciiTheme="minorHAnsi" w:hAnsiTheme="minorHAnsi" w:cstheme="minorHAnsi"/>
          <w:sz w:val="20"/>
          <w:szCs w:val="22"/>
        </w:rPr>
        <w:t xml:space="preserve">Agriculture Victoria </w:t>
      </w:r>
      <w:r w:rsidR="00234ED2" w:rsidRPr="00374F04">
        <w:rPr>
          <w:rFonts w:asciiTheme="minorHAnsi" w:hAnsiTheme="minorHAnsi" w:cstheme="minorHAnsi"/>
          <w:sz w:val="20"/>
          <w:szCs w:val="22"/>
        </w:rPr>
        <w:t>is subject to the requirements of the Department of Treasury and Finances’ Statement of Expectations (</w:t>
      </w:r>
      <w:r w:rsidR="00E104E6" w:rsidRPr="00374F04">
        <w:rPr>
          <w:rFonts w:asciiTheme="minorHAnsi" w:hAnsiTheme="minorHAnsi" w:cstheme="minorHAnsi"/>
          <w:sz w:val="20"/>
          <w:szCs w:val="22"/>
        </w:rPr>
        <w:t>SOE</w:t>
      </w:r>
      <w:r w:rsidR="00234ED2" w:rsidRPr="00374F04">
        <w:rPr>
          <w:rFonts w:asciiTheme="minorHAnsi" w:hAnsiTheme="minorHAnsi" w:cstheme="minorHAnsi"/>
          <w:sz w:val="20"/>
          <w:szCs w:val="22"/>
        </w:rPr>
        <w:t xml:space="preserve">) Framework for Regulators (the </w:t>
      </w:r>
      <w:r w:rsidR="00E104E6" w:rsidRPr="00374F04">
        <w:rPr>
          <w:rFonts w:asciiTheme="minorHAnsi" w:hAnsiTheme="minorHAnsi" w:cstheme="minorHAnsi"/>
          <w:sz w:val="20"/>
          <w:szCs w:val="22"/>
        </w:rPr>
        <w:t>SOE</w:t>
      </w:r>
      <w:r w:rsidR="00234ED2" w:rsidRPr="00374F04">
        <w:rPr>
          <w:rFonts w:asciiTheme="minorHAnsi" w:hAnsiTheme="minorHAnsi" w:cstheme="minorHAnsi"/>
          <w:sz w:val="20"/>
          <w:szCs w:val="22"/>
        </w:rPr>
        <w:t xml:space="preserve"> </w:t>
      </w:r>
      <w:r w:rsidR="003B2984">
        <w:rPr>
          <w:rFonts w:asciiTheme="minorHAnsi" w:hAnsiTheme="minorHAnsi" w:cstheme="minorHAnsi"/>
          <w:sz w:val="20"/>
          <w:szCs w:val="22"/>
        </w:rPr>
        <w:t>f</w:t>
      </w:r>
      <w:r w:rsidR="00234ED2" w:rsidRPr="00374F04">
        <w:rPr>
          <w:rFonts w:asciiTheme="minorHAnsi" w:hAnsiTheme="minorHAnsi" w:cstheme="minorHAnsi"/>
          <w:sz w:val="20"/>
          <w:szCs w:val="22"/>
        </w:rPr>
        <w:t>ramework).</w:t>
      </w:r>
      <w:r w:rsidR="00E104E6" w:rsidRPr="00374F04">
        <w:rPr>
          <w:rFonts w:asciiTheme="minorHAnsi" w:hAnsiTheme="minorHAnsi" w:cstheme="minorHAnsi"/>
          <w:sz w:val="20"/>
          <w:szCs w:val="22"/>
        </w:rPr>
        <w:t xml:space="preserve"> The Victorian Government’s Ministerial Statement of Expectations (SOE) is a formal and public statement </w:t>
      </w:r>
      <w:r w:rsidR="003B2984">
        <w:rPr>
          <w:rFonts w:asciiTheme="minorHAnsi" w:hAnsiTheme="minorHAnsi" w:cstheme="minorHAnsi"/>
          <w:sz w:val="20"/>
          <w:szCs w:val="22"/>
        </w:rPr>
        <w:t>that</w:t>
      </w:r>
      <w:r w:rsidR="00E104E6" w:rsidRPr="00374F04">
        <w:rPr>
          <w:rFonts w:asciiTheme="minorHAnsi" w:hAnsiTheme="minorHAnsi" w:cstheme="minorHAnsi"/>
          <w:sz w:val="20"/>
          <w:szCs w:val="22"/>
        </w:rPr>
        <w:t xml:space="preserve"> establishes an agreement between responsible Ministers and their regulators </w:t>
      </w:r>
      <w:r w:rsidR="003B2984">
        <w:rPr>
          <w:rFonts w:asciiTheme="minorHAnsi" w:hAnsiTheme="minorHAnsi" w:cstheme="minorHAnsi"/>
          <w:sz w:val="20"/>
          <w:szCs w:val="22"/>
        </w:rPr>
        <w:t>regarding</w:t>
      </w:r>
      <w:r w:rsidR="003B2984" w:rsidRPr="00374F04">
        <w:rPr>
          <w:rFonts w:asciiTheme="minorHAnsi" w:hAnsiTheme="minorHAnsi" w:cstheme="minorHAnsi"/>
          <w:sz w:val="20"/>
          <w:szCs w:val="22"/>
        </w:rPr>
        <w:t xml:space="preserve"> performance expectations </w:t>
      </w:r>
      <w:r w:rsidR="00E104E6" w:rsidRPr="00374F04">
        <w:rPr>
          <w:rFonts w:asciiTheme="minorHAnsi" w:hAnsiTheme="minorHAnsi" w:cstheme="minorHAnsi"/>
          <w:sz w:val="20"/>
          <w:szCs w:val="22"/>
        </w:rPr>
        <w:t>to improve regulator outcomes and reduce costs on regulated parties. The regulator</w:t>
      </w:r>
      <w:r w:rsidR="00073DE7">
        <w:rPr>
          <w:rFonts w:asciiTheme="minorHAnsi" w:hAnsiTheme="minorHAnsi" w:cstheme="minorHAnsi"/>
          <w:sz w:val="20"/>
          <w:szCs w:val="22"/>
        </w:rPr>
        <w:t>’</w:t>
      </w:r>
      <w:r w:rsidR="00E104E6" w:rsidRPr="00374F04">
        <w:rPr>
          <w:rFonts w:asciiTheme="minorHAnsi" w:hAnsiTheme="minorHAnsi" w:cstheme="minorHAnsi"/>
          <w:sz w:val="20"/>
          <w:szCs w:val="22"/>
        </w:rPr>
        <w:t xml:space="preserve">s </w:t>
      </w:r>
      <w:r w:rsidR="004C3FD9">
        <w:rPr>
          <w:rFonts w:asciiTheme="minorHAnsi" w:hAnsiTheme="minorHAnsi" w:cstheme="minorHAnsi"/>
          <w:sz w:val="20"/>
          <w:szCs w:val="22"/>
        </w:rPr>
        <w:t xml:space="preserve">SOE </w:t>
      </w:r>
      <w:r w:rsidR="00E104E6" w:rsidRPr="00374F04">
        <w:rPr>
          <w:rFonts w:asciiTheme="minorHAnsi" w:hAnsiTheme="minorHAnsi" w:cstheme="minorHAnsi"/>
          <w:sz w:val="20"/>
          <w:szCs w:val="22"/>
        </w:rPr>
        <w:t>Response Letter is a formal statement by the regulator</w:t>
      </w:r>
      <w:r w:rsidR="00073DE7">
        <w:rPr>
          <w:rFonts w:asciiTheme="minorHAnsi" w:hAnsiTheme="minorHAnsi" w:cstheme="minorHAnsi"/>
          <w:sz w:val="20"/>
          <w:szCs w:val="22"/>
        </w:rPr>
        <w:t xml:space="preserve"> that</w:t>
      </w:r>
      <w:r w:rsidR="00E104E6" w:rsidRPr="00374F04">
        <w:rPr>
          <w:rFonts w:asciiTheme="minorHAnsi" w:hAnsiTheme="minorHAnsi" w:cstheme="minorHAnsi"/>
          <w:sz w:val="20"/>
          <w:szCs w:val="22"/>
        </w:rPr>
        <w:t xml:space="preserve"> outlin</w:t>
      </w:r>
      <w:r w:rsidR="00073DE7">
        <w:rPr>
          <w:rFonts w:asciiTheme="minorHAnsi" w:hAnsiTheme="minorHAnsi" w:cstheme="minorHAnsi"/>
          <w:sz w:val="20"/>
          <w:szCs w:val="22"/>
        </w:rPr>
        <w:t xml:space="preserve">es </w:t>
      </w:r>
      <w:r w:rsidR="00E104E6" w:rsidRPr="00374F04">
        <w:rPr>
          <w:rFonts w:asciiTheme="minorHAnsi" w:hAnsiTheme="minorHAnsi" w:cstheme="minorHAnsi"/>
          <w:sz w:val="20"/>
          <w:szCs w:val="22"/>
        </w:rPr>
        <w:t>its intent to meet the expectations of its responsible minister. The</w:t>
      </w:r>
      <w:r w:rsidR="004C3FD9">
        <w:rPr>
          <w:rFonts w:asciiTheme="minorHAnsi" w:hAnsiTheme="minorHAnsi" w:cstheme="minorHAnsi"/>
          <w:sz w:val="20"/>
          <w:szCs w:val="22"/>
        </w:rPr>
        <w:t xml:space="preserve"> SOE</w:t>
      </w:r>
      <w:r w:rsidR="00E104E6" w:rsidRPr="00374F04">
        <w:rPr>
          <w:rFonts w:asciiTheme="minorHAnsi" w:hAnsiTheme="minorHAnsi" w:cstheme="minorHAnsi"/>
          <w:sz w:val="20"/>
          <w:szCs w:val="22"/>
        </w:rPr>
        <w:t xml:space="preserve"> Response Letter is made in response to the </w:t>
      </w:r>
      <w:r w:rsidR="00073DE7">
        <w:rPr>
          <w:rFonts w:asciiTheme="minorHAnsi" w:hAnsiTheme="minorHAnsi" w:cstheme="minorHAnsi"/>
          <w:sz w:val="20"/>
          <w:szCs w:val="22"/>
        </w:rPr>
        <w:t>SOE</w:t>
      </w:r>
      <w:r w:rsidR="00E104E6" w:rsidRPr="00374F04">
        <w:rPr>
          <w:rFonts w:asciiTheme="minorHAnsi" w:hAnsiTheme="minorHAnsi" w:cstheme="minorHAnsi"/>
          <w:sz w:val="20"/>
          <w:szCs w:val="22"/>
        </w:rPr>
        <w:t>.</w:t>
      </w:r>
    </w:p>
    <w:p w14:paraId="37E89972" w14:textId="363438A0" w:rsidR="00E104E6" w:rsidRPr="00374F04" w:rsidRDefault="00970F06" w:rsidP="00970F06">
      <w:pPr>
        <w:spacing w:line="276" w:lineRule="auto"/>
        <w:jc w:val="both"/>
        <w:rPr>
          <w:rFonts w:asciiTheme="minorHAnsi" w:hAnsiTheme="minorHAnsi" w:cstheme="minorHAnsi"/>
          <w:sz w:val="20"/>
          <w:szCs w:val="22"/>
        </w:rPr>
      </w:pPr>
      <w:r>
        <w:rPr>
          <w:rFonts w:asciiTheme="minorHAnsi" w:hAnsiTheme="minorHAnsi" w:cstheme="minorHAnsi"/>
          <w:sz w:val="20"/>
          <w:szCs w:val="22"/>
        </w:rPr>
        <w:t>A</w:t>
      </w:r>
      <w:r w:rsidRPr="00374F04">
        <w:rPr>
          <w:rFonts w:asciiTheme="minorHAnsi" w:hAnsiTheme="minorHAnsi" w:cstheme="minorHAnsi"/>
          <w:sz w:val="20"/>
          <w:szCs w:val="22"/>
        </w:rPr>
        <w:t xml:space="preserve"> </w:t>
      </w:r>
      <w:r>
        <w:rPr>
          <w:rFonts w:asciiTheme="minorHAnsi" w:hAnsiTheme="minorHAnsi" w:cstheme="minorHAnsi"/>
          <w:sz w:val="20"/>
          <w:szCs w:val="22"/>
        </w:rPr>
        <w:t xml:space="preserve">key objective of </w:t>
      </w:r>
      <w:r w:rsidR="00073DE7">
        <w:rPr>
          <w:rFonts w:asciiTheme="minorHAnsi" w:hAnsiTheme="minorHAnsi" w:cstheme="minorHAnsi"/>
          <w:sz w:val="20"/>
          <w:szCs w:val="22"/>
        </w:rPr>
        <w:t xml:space="preserve">the </w:t>
      </w:r>
      <w:r w:rsidRPr="00374F04">
        <w:rPr>
          <w:rFonts w:asciiTheme="minorHAnsi" w:hAnsiTheme="minorHAnsi" w:cstheme="minorHAnsi"/>
          <w:sz w:val="20"/>
          <w:szCs w:val="22"/>
        </w:rPr>
        <w:t xml:space="preserve">SOE </w:t>
      </w:r>
      <w:r w:rsidR="003B2984">
        <w:rPr>
          <w:rFonts w:asciiTheme="minorHAnsi" w:hAnsiTheme="minorHAnsi" w:cstheme="minorHAnsi"/>
          <w:sz w:val="20"/>
          <w:szCs w:val="22"/>
        </w:rPr>
        <w:t>f</w:t>
      </w:r>
      <w:r w:rsidRPr="00374F04">
        <w:rPr>
          <w:rFonts w:asciiTheme="minorHAnsi" w:hAnsiTheme="minorHAnsi" w:cstheme="minorHAnsi"/>
          <w:sz w:val="20"/>
          <w:szCs w:val="22"/>
        </w:rPr>
        <w:t xml:space="preserve">ramework </w:t>
      </w:r>
      <w:r>
        <w:rPr>
          <w:rFonts w:asciiTheme="minorHAnsi" w:hAnsiTheme="minorHAnsi" w:cstheme="minorHAnsi"/>
          <w:sz w:val="20"/>
          <w:szCs w:val="22"/>
        </w:rPr>
        <w:t xml:space="preserve">is to </w:t>
      </w:r>
      <w:r w:rsidRPr="00374F04">
        <w:rPr>
          <w:rFonts w:asciiTheme="minorHAnsi" w:hAnsiTheme="minorHAnsi" w:cstheme="minorHAnsi"/>
          <w:sz w:val="20"/>
          <w:szCs w:val="22"/>
        </w:rPr>
        <w:t>promote greater efficiency and effectiveness in the administration and enforcement of regulation to facilitate increased business investment and economic activity in Victoria.</w:t>
      </w:r>
      <w:r>
        <w:rPr>
          <w:rFonts w:asciiTheme="minorHAnsi" w:hAnsiTheme="minorHAnsi" w:cstheme="minorHAnsi"/>
          <w:sz w:val="20"/>
          <w:szCs w:val="22"/>
        </w:rPr>
        <w:t xml:space="preserve"> </w:t>
      </w:r>
      <w:r w:rsidR="00E104E6" w:rsidRPr="00374F04">
        <w:rPr>
          <w:rFonts w:asciiTheme="minorHAnsi" w:hAnsiTheme="minorHAnsi" w:cstheme="minorHAnsi"/>
          <w:sz w:val="20"/>
          <w:szCs w:val="22"/>
        </w:rPr>
        <w:t>Under the SOE framework there is a mandatory requirement to evaluate the SOE</w:t>
      </w:r>
      <w:r>
        <w:rPr>
          <w:rFonts w:asciiTheme="minorHAnsi" w:hAnsiTheme="minorHAnsi" w:cstheme="minorHAnsi"/>
          <w:sz w:val="20"/>
          <w:szCs w:val="22"/>
        </w:rPr>
        <w:t>s</w:t>
      </w:r>
      <w:r w:rsidR="00E104E6" w:rsidRPr="00374F04">
        <w:rPr>
          <w:rFonts w:asciiTheme="minorHAnsi" w:hAnsiTheme="minorHAnsi" w:cstheme="minorHAnsi"/>
          <w:sz w:val="20"/>
          <w:szCs w:val="22"/>
        </w:rPr>
        <w:t xml:space="preserve"> of regulators. In accordance with the </w:t>
      </w:r>
      <w:r w:rsidR="00E104E6" w:rsidRPr="00374F04">
        <w:rPr>
          <w:rFonts w:asciiTheme="minorHAnsi" w:hAnsiTheme="minorHAnsi" w:cstheme="minorHAnsi"/>
          <w:sz w:val="20"/>
          <w:szCs w:val="22"/>
          <w:lang w:val="en-AU"/>
        </w:rPr>
        <w:t xml:space="preserve">Department of Treasury and Finance’s </w:t>
      </w:r>
      <w:r w:rsidR="00E104E6" w:rsidRPr="00374F04">
        <w:rPr>
          <w:rFonts w:asciiTheme="minorHAnsi" w:hAnsiTheme="minorHAnsi" w:cstheme="minorHAnsi"/>
          <w:i/>
          <w:sz w:val="20"/>
          <w:szCs w:val="22"/>
          <w:lang w:val="en-AU"/>
        </w:rPr>
        <w:t xml:space="preserve">Guidelines for Evaluation Statement of Expectations for Regulators </w:t>
      </w:r>
      <w:r w:rsidR="00E104E6" w:rsidRPr="00374F04">
        <w:rPr>
          <w:rFonts w:asciiTheme="minorHAnsi" w:hAnsiTheme="minorHAnsi" w:cstheme="minorHAnsi"/>
          <w:sz w:val="20"/>
          <w:szCs w:val="22"/>
          <w:lang w:val="en-AU"/>
        </w:rPr>
        <w:t>(the DTF Guidelines)</w:t>
      </w:r>
      <w:r w:rsidR="00E104E6" w:rsidRPr="00374F04">
        <w:rPr>
          <w:rFonts w:asciiTheme="minorHAnsi" w:hAnsiTheme="minorHAnsi" w:cstheme="minorHAnsi"/>
          <w:sz w:val="20"/>
          <w:szCs w:val="22"/>
        </w:rPr>
        <w:t xml:space="preserve">, the Agriculture Victoria SOE evaluation </w:t>
      </w:r>
      <w:r>
        <w:rPr>
          <w:rFonts w:asciiTheme="minorHAnsi" w:hAnsiTheme="minorHAnsi" w:cstheme="minorHAnsi"/>
          <w:sz w:val="20"/>
          <w:szCs w:val="22"/>
        </w:rPr>
        <w:t>sought</w:t>
      </w:r>
      <w:r w:rsidR="00E104E6" w:rsidRPr="00374F04">
        <w:rPr>
          <w:rFonts w:asciiTheme="minorHAnsi" w:hAnsiTheme="minorHAnsi" w:cstheme="minorHAnsi"/>
          <w:sz w:val="20"/>
          <w:szCs w:val="22"/>
        </w:rPr>
        <w:t xml:space="preserve"> evidence </w:t>
      </w:r>
      <w:r w:rsidR="00F80D4A">
        <w:rPr>
          <w:rFonts w:asciiTheme="minorHAnsi" w:hAnsiTheme="minorHAnsi" w:cstheme="minorHAnsi"/>
          <w:sz w:val="20"/>
          <w:szCs w:val="22"/>
        </w:rPr>
        <w:t xml:space="preserve">to determine Agriculture Victoria’s progress against its SOE targets and assess how well the SOE is contributing to better regulatory practice. </w:t>
      </w:r>
      <w:r w:rsidR="00E104E6" w:rsidRPr="00374F04">
        <w:rPr>
          <w:rFonts w:asciiTheme="minorHAnsi" w:hAnsiTheme="minorHAnsi" w:cstheme="minorHAnsi"/>
          <w:sz w:val="20"/>
          <w:szCs w:val="22"/>
        </w:rPr>
        <w:t xml:space="preserve"> </w:t>
      </w:r>
    </w:p>
    <w:p w14:paraId="246F7A00" w14:textId="77777777" w:rsidR="00C451A2" w:rsidRPr="00374F04" w:rsidRDefault="00C451A2" w:rsidP="00E104E6">
      <w:pPr>
        <w:pStyle w:val="Heading1"/>
        <w:rPr>
          <w:sz w:val="24"/>
        </w:rPr>
      </w:pPr>
      <w:bookmarkStart w:id="7" w:name="_Toc5254904"/>
      <w:r w:rsidRPr="00374F04">
        <w:rPr>
          <w:sz w:val="24"/>
        </w:rPr>
        <w:t>Agriculture Victoria’s Statement of Expectations</w:t>
      </w:r>
      <w:bookmarkEnd w:id="7"/>
    </w:p>
    <w:p w14:paraId="413A1BBB" w14:textId="5D68C62D" w:rsidR="00C451A2" w:rsidRPr="00374F04" w:rsidRDefault="00C451A2" w:rsidP="00C451A2">
      <w:pPr>
        <w:spacing w:line="276" w:lineRule="auto"/>
        <w:rPr>
          <w:rFonts w:asciiTheme="minorHAnsi" w:hAnsiTheme="minorHAnsi" w:cstheme="minorHAnsi"/>
          <w:sz w:val="20"/>
          <w:szCs w:val="22"/>
          <w:lang w:val="en-AU"/>
        </w:rPr>
      </w:pPr>
      <w:r w:rsidRPr="00374F04">
        <w:rPr>
          <w:rFonts w:asciiTheme="minorHAnsi" w:hAnsiTheme="minorHAnsi" w:cstheme="minorHAnsi"/>
          <w:sz w:val="20"/>
          <w:szCs w:val="22"/>
          <w:lang w:val="en-AU"/>
        </w:rPr>
        <w:t xml:space="preserve">In January 2018, the Minister for Agriculture </w:t>
      </w:r>
      <w:r w:rsidR="004C5EE1" w:rsidRPr="00374F04">
        <w:rPr>
          <w:rFonts w:asciiTheme="minorHAnsi" w:hAnsiTheme="minorHAnsi" w:cstheme="minorHAnsi"/>
          <w:sz w:val="20"/>
          <w:szCs w:val="22"/>
          <w:lang w:val="en-AU"/>
        </w:rPr>
        <w:t>issued a SOE</w:t>
      </w:r>
      <w:r w:rsidRPr="00374F04">
        <w:rPr>
          <w:rFonts w:asciiTheme="minorHAnsi" w:hAnsiTheme="minorHAnsi" w:cstheme="minorHAnsi"/>
          <w:sz w:val="20"/>
          <w:szCs w:val="22"/>
          <w:lang w:val="en-AU"/>
        </w:rPr>
        <w:t xml:space="preserve"> for Agriculture Victoria’s regulation of biosecurity, animal health and welfare, and domestic animal matters within </w:t>
      </w:r>
      <w:r w:rsidR="003B2984">
        <w:rPr>
          <w:rFonts w:asciiTheme="minorHAnsi" w:hAnsiTheme="minorHAnsi" w:cstheme="minorHAnsi"/>
          <w:sz w:val="20"/>
          <w:szCs w:val="22"/>
          <w:lang w:val="en-AU"/>
        </w:rPr>
        <w:t>the department</w:t>
      </w:r>
      <w:r w:rsidR="00BE5FC4">
        <w:rPr>
          <w:rFonts w:asciiTheme="minorHAnsi" w:hAnsiTheme="minorHAnsi" w:cstheme="minorHAnsi"/>
          <w:sz w:val="20"/>
          <w:szCs w:val="22"/>
          <w:lang w:val="en-AU"/>
        </w:rPr>
        <w:t xml:space="preserve"> relat</w:t>
      </w:r>
      <w:r w:rsidR="003B2984">
        <w:rPr>
          <w:rFonts w:asciiTheme="minorHAnsi" w:hAnsiTheme="minorHAnsi" w:cstheme="minorHAnsi"/>
          <w:sz w:val="20"/>
          <w:szCs w:val="22"/>
          <w:lang w:val="en-AU"/>
        </w:rPr>
        <w:t>ing</w:t>
      </w:r>
      <w:r w:rsidR="00BE5FC4">
        <w:rPr>
          <w:rFonts w:asciiTheme="minorHAnsi" w:hAnsiTheme="minorHAnsi" w:cstheme="minorHAnsi"/>
          <w:sz w:val="20"/>
          <w:szCs w:val="22"/>
          <w:lang w:val="en-AU"/>
        </w:rPr>
        <w:t xml:space="preserve"> to the </w:t>
      </w:r>
      <w:r w:rsidRPr="00374F04">
        <w:rPr>
          <w:rFonts w:asciiTheme="minorHAnsi" w:hAnsiTheme="minorHAnsi" w:cstheme="minorHAnsi"/>
          <w:sz w:val="20"/>
          <w:szCs w:val="22"/>
          <w:lang w:val="en-AU"/>
        </w:rPr>
        <w:t xml:space="preserve">following </w:t>
      </w:r>
      <w:r w:rsidR="00BE5FC4">
        <w:rPr>
          <w:rFonts w:asciiTheme="minorHAnsi" w:hAnsiTheme="minorHAnsi" w:cstheme="minorHAnsi"/>
          <w:sz w:val="20"/>
          <w:szCs w:val="22"/>
          <w:lang w:val="en-AU"/>
        </w:rPr>
        <w:t>areas</w:t>
      </w:r>
      <w:r w:rsidRPr="00374F04">
        <w:rPr>
          <w:rFonts w:asciiTheme="minorHAnsi" w:hAnsiTheme="minorHAnsi" w:cstheme="minorHAnsi"/>
          <w:sz w:val="20"/>
          <w:szCs w:val="22"/>
          <w:lang w:val="en-AU"/>
        </w:rPr>
        <w:t xml:space="preserve">: </w:t>
      </w:r>
    </w:p>
    <w:p w14:paraId="6D46BAC2" w14:textId="77777777" w:rsidR="00C451A2" w:rsidRPr="00374F04" w:rsidRDefault="00C451A2" w:rsidP="00893511">
      <w:pPr>
        <w:numPr>
          <w:ilvl w:val="0"/>
          <w:numId w:val="14"/>
        </w:numPr>
        <w:spacing w:line="240" w:lineRule="auto"/>
        <w:rPr>
          <w:rFonts w:asciiTheme="minorHAnsi" w:hAnsiTheme="minorHAnsi" w:cstheme="minorHAnsi"/>
          <w:sz w:val="20"/>
          <w:szCs w:val="22"/>
          <w:lang w:val="en-AU"/>
        </w:rPr>
      </w:pPr>
      <w:r w:rsidRPr="00374F04">
        <w:rPr>
          <w:rFonts w:asciiTheme="minorHAnsi" w:hAnsiTheme="minorHAnsi" w:cstheme="minorHAnsi"/>
          <w:sz w:val="20"/>
          <w:szCs w:val="22"/>
          <w:lang w:val="en-AU"/>
        </w:rPr>
        <w:t xml:space="preserve">Timeliness </w:t>
      </w:r>
    </w:p>
    <w:p w14:paraId="4D779EE9" w14:textId="77777777" w:rsidR="00C451A2" w:rsidRPr="00374F04" w:rsidRDefault="00C451A2" w:rsidP="00893511">
      <w:pPr>
        <w:numPr>
          <w:ilvl w:val="0"/>
          <w:numId w:val="14"/>
        </w:numPr>
        <w:spacing w:line="240" w:lineRule="auto"/>
        <w:rPr>
          <w:rFonts w:asciiTheme="minorHAnsi" w:hAnsiTheme="minorHAnsi" w:cstheme="minorHAnsi"/>
          <w:sz w:val="20"/>
          <w:szCs w:val="22"/>
          <w:lang w:val="en-AU"/>
        </w:rPr>
      </w:pPr>
      <w:r w:rsidRPr="00374F04">
        <w:rPr>
          <w:rFonts w:asciiTheme="minorHAnsi" w:hAnsiTheme="minorHAnsi" w:cstheme="minorHAnsi"/>
          <w:sz w:val="20"/>
          <w:szCs w:val="22"/>
          <w:lang w:val="en-AU"/>
        </w:rPr>
        <w:t xml:space="preserve">Risk based compliance strategies and operational plans </w:t>
      </w:r>
    </w:p>
    <w:p w14:paraId="011822FF" w14:textId="77777777" w:rsidR="00C451A2" w:rsidRPr="00374F04" w:rsidRDefault="00C451A2" w:rsidP="00893511">
      <w:pPr>
        <w:numPr>
          <w:ilvl w:val="0"/>
          <w:numId w:val="14"/>
        </w:numPr>
        <w:spacing w:line="240" w:lineRule="auto"/>
        <w:rPr>
          <w:rFonts w:asciiTheme="minorHAnsi" w:hAnsiTheme="minorHAnsi" w:cstheme="minorHAnsi"/>
          <w:sz w:val="20"/>
          <w:szCs w:val="22"/>
          <w:lang w:val="en-AU"/>
        </w:rPr>
      </w:pPr>
      <w:r w:rsidRPr="00374F04">
        <w:rPr>
          <w:rFonts w:asciiTheme="minorHAnsi" w:hAnsiTheme="minorHAnsi" w:cstheme="minorHAnsi"/>
          <w:sz w:val="20"/>
          <w:szCs w:val="22"/>
          <w:lang w:val="en-AU"/>
        </w:rPr>
        <w:t>Compliance related assistance and advice</w:t>
      </w:r>
    </w:p>
    <w:p w14:paraId="160335A7" w14:textId="77777777" w:rsidR="00C451A2" w:rsidRPr="00374F04" w:rsidRDefault="00C451A2" w:rsidP="00893511">
      <w:pPr>
        <w:numPr>
          <w:ilvl w:val="0"/>
          <w:numId w:val="14"/>
        </w:numPr>
        <w:spacing w:line="240" w:lineRule="auto"/>
        <w:rPr>
          <w:rFonts w:asciiTheme="minorHAnsi" w:hAnsiTheme="minorHAnsi" w:cstheme="minorHAnsi"/>
          <w:sz w:val="20"/>
          <w:szCs w:val="22"/>
          <w:lang w:val="en-AU"/>
        </w:rPr>
      </w:pPr>
      <w:r w:rsidRPr="00374F04">
        <w:rPr>
          <w:rFonts w:asciiTheme="minorHAnsi" w:hAnsiTheme="minorHAnsi" w:cstheme="minorHAnsi"/>
          <w:sz w:val="20"/>
          <w:szCs w:val="22"/>
          <w:lang w:val="en-AU"/>
        </w:rPr>
        <w:t xml:space="preserve">Role clarity </w:t>
      </w:r>
    </w:p>
    <w:p w14:paraId="142E172C" w14:textId="77777777" w:rsidR="00C451A2" w:rsidRPr="00374F04" w:rsidRDefault="00C451A2" w:rsidP="00893511">
      <w:pPr>
        <w:numPr>
          <w:ilvl w:val="0"/>
          <w:numId w:val="14"/>
        </w:numPr>
        <w:spacing w:line="240" w:lineRule="auto"/>
        <w:rPr>
          <w:rFonts w:asciiTheme="minorHAnsi" w:hAnsiTheme="minorHAnsi" w:cstheme="minorHAnsi"/>
          <w:sz w:val="20"/>
          <w:szCs w:val="22"/>
          <w:lang w:val="en-AU"/>
        </w:rPr>
      </w:pPr>
      <w:r w:rsidRPr="00374F04">
        <w:rPr>
          <w:rFonts w:asciiTheme="minorHAnsi" w:hAnsiTheme="minorHAnsi" w:cstheme="minorHAnsi"/>
          <w:sz w:val="20"/>
          <w:szCs w:val="22"/>
          <w:lang w:val="en-AU"/>
        </w:rPr>
        <w:t xml:space="preserve">Cooperation among regulators </w:t>
      </w:r>
    </w:p>
    <w:p w14:paraId="473BA73F" w14:textId="77777777" w:rsidR="00C451A2" w:rsidRPr="00374F04" w:rsidRDefault="00C451A2" w:rsidP="00893511">
      <w:pPr>
        <w:numPr>
          <w:ilvl w:val="0"/>
          <w:numId w:val="14"/>
        </w:numPr>
        <w:spacing w:line="240" w:lineRule="auto"/>
        <w:rPr>
          <w:rFonts w:asciiTheme="minorHAnsi" w:hAnsiTheme="minorHAnsi" w:cstheme="minorHAnsi"/>
          <w:sz w:val="20"/>
          <w:szCs w:val="22"/>
          <w:lang w:val="en-AU"/>
        </w:rPr>
      </w:pPr>
      <w:r w:rsidRPr="00374F04">
        <w:rPr>
          <w:rFonts w:asciiTheme="minorHAnsi" w:hAnsiTheme="minorHAnsi" w:cstheme="minorHAnsi"/>
          <w:sz w:val="20"/>
          <w:szCs w:val="22"/>
          <w:lang w:val="en-AU"/>
        </w:rPr>
        <w:t xml:space="preserve">Stakeholder consultation and engagement </w:t>
      </w:r>
    </w:p>
    <w:p w14:paraId="568BFD2E" w14:textId="77777777" w:rsidR="00C451A2" w:rsidRPr="00374F04" w:rsidRDefault="00C451A2" w:rsidP="00893511">
      <w:pPr>
        <w:numPr>
          <w:ilvl w:val="0"/>
          <w:numId w:val="14"/>
        </w:numPr>
        <w:spacing w:line="240" w:lineRule="auto"/>
        <w:rPr>
          <w:rFonts w:asciiTheme="minorHAnsi" w:hAnsiTheme="minorHAnsi" w:cstheme="minorHAnsi"/>
          <w:sz w:val="20"/>
          <w:szCs w:val="22"/>
          <w:lang w:val="en-AU"/>
        </w:rPr>
      </w:pPr>
      <w:r w:rsidRPr="00374F04">
        <w:rPr>
          <w:rFonts w:asciiTheme="minorHAnsi" w:hAnsiTheme="minorHAnsi" w:cstheme="minorHAnsi"/>
          <w:sz w:val="20"/>
          <w:szCs w:val="22"/>
          <w:lang w:val="en-AU"/>
        </w:rPr>
        <w:t xml:space="preserve">Clear and consistent regulatory activities </w:t>
      </w:r>
    </w:p>
    <w:p w14:paraId="39DDFA2E" w14:textId="27554092" w:rsidR="00152232" w:rsidRPr="003464EE" w:rsidRDefault="00C451A2" w:rsidP="00E01A73">
      <w:pPr>
        <w:numPr>
          <w:ilvl w:val="0"/>
          <w:numId w:val="14"/>
        </w:numPr>
        <w:spacing w:line="240" w:lineRule="auto"/>
        <w:rPr>
          <w:rFonts w:asciiTheme="minorHAnsi" w:hAnsiTheme="minorHAnsi" w:cstheme="minorHAnsi"/>
          <w:sz w:val="20"/>
          <w:szCs w:val="22"/>
          <w:lang w:val="en-AU"/>
        </w:rPr>
      </w:pPr>
      <w:r w:rsidRPr="00374F04">
        <w:rPr>
          <w:rFonts w:asciiTheme="minorHAnsi" w:hAnsiTheme="minorHAnsi" w:cstheme="minorHAnsi"/>
          <w:sz w:val="20"/>
          <w:szCs w:val="22"/>
          <w:lang w:val="en-AU"/>
        </w:rPr>
        <w:t>Evaluation</w:t>
      </w:r>
    </w:p>
    <w:p w14:paraId="1D04820D" w14:textId="0C231B60" w:rsidR="00321656" w:rsidRPr="00374F04" w:rsidRDefault="00321656" w:rsidP="00E01A73">
      <w:pPr>
        <w:pStyle w:val="Heading1"/>
        <w:rPr>
          <w:sz w:val="24"/>
        </w:rPr>
      </w:pPr>
      <w:bookmarkStart w:id="8" w:name="_Toc5254905"/>
      <w:r w:rsidRPr="00374F04">
        <w:rPr>
          <w:sz w:val="24"/>
        </w:rPr>
        <w:t>Purpose</w:t>
      </w:r>
      <w:bookmarkEnd w:id="8"/>
    </w:p>
    <w:p w14:paraId="1144D04C" w14:textId="3A190B00" w:rsidR="009E0ABE" w:rsidRPr="00374F04" w:rsidRDefault="009E0ABE" w:rsidP="009E0ABE">
      <w:pPr>
        <w:spacing w:line="276" w:lineRule="auto"/>
        <w:jc w:val="both"/>
        <w:rPr>
          <w:rFonts w:asciiTheme="minorHAnsi" w:hAnsiTheme="minorHAnsi" w:cstheme="minorHAnsi"/>
          <w:sz w:val="20"/>
          <w:szCs w:val="22"/>
        </w:rPr>
      </w:pPr>
      <w:r w:rsidRPr="00374F04">
        <w:rPr>
          <w:rFonts w:asciiTheme="minorHAnsi" w:hAnsiTheme="minorHAnsi" w:cstheme="minorHAnsi"/>
          <w:sz w:val="20"/>
          <w:szCs w:val="22"/>
        </w:rPr>
        <w:t xml:space="preserve">This report evaluates the Agriculture Victoria </w:t>
      </w:r>
      <w:r w:rsidR="00E104E6" w:rsidRPr="00374F04">
        <w:rPr>
          <w:rFonts w:asciiTheme="minorHAnsi" w:hAnsiTheme="minorHAnsi" w:cstheme="minorHAnsi"/>
          <w:sz w:val="20"/>
          <w:szCs w:val="22"/>
        </w:rPr>
        <w:t>SOE</w:t>
      </w:r>
      <w:r w:rsidRPr="00374F04">
        <w:rPr>
          <w:rFonts w:asciiTheme="minorHAnsi" w:hAnsiTheme="minorHAnsi" w:cstheme="minorHAnsi"/>
          <w:sz w:val="20"/>
          <w:szCs w:val="22"/>
        </w:rPr>
        <w:t xml:space="preserve"> as per the guidelines of the </w:t>
      </w:r>
      <w:r w:rsidR="00E104E6" w:rsidRPr="00374F04">
        <w:rPr>
          <w:rFonts w:asciiTheme="minorHAnsi" w:hAnsiTheme="minorHAnsi" w:cstheme="minorHAnsi"/>
          <w:sz w:val="20"/>
          <w:szCs w:val="22"/>
        </w:rPr>
        <w:t>SOE</w:t>
      </w:r>
      <w:r w:rsidRPr="00374F04">
        <w:rPr>
          <w:rFonts w:asciiTheme="minorHAnsi" w:hAnsiTheme="minorHAnsi" w:cstheme="minorHAnsi"/>
          <w:sz w:val="20"/>
          <w:szCs w:val="22"/>
        </w:rPr>
        <w:t xml:space="preserve"> Framework</w:t>
      </w:r>
      <w:r w:rsidR="00016C58">
        <w:rPr>
          <w:rFonts w:asciiTheme="minorHAnsi" w:hAnsiTheme="minorHAnsi" w:cstheme="minorHAnsi"/>
          <w:sz w:val="20"/>
          <w:szCs w:val="22"/>
        </w:rPr>
        <w:t xml:space="preserve"> and in relation to:</w:t>
      </w:r>
      <w:r w:rsidRPr="00374F04">
        <w:rPr>
          <w:rFonts w:asciiTheme="minorHAnsi" w:hAnsiTheme="minorHAnsi" w:cstheme="minorHAnsi"/>
          <w:sz w:val="20"/>
          <w:szCs w:val="22"/>
        </w:rPr>
        <w:t xml:space="preserve"> </w:t>
      </w:r>
    </w:p>
    <w:p w14:paraId="138CA043" w14:textId="38739968" w:rsidR="009E0ABE" w:rsidRPr="00374F04" w:rsidRDefault="009E0ABE" w:rsidP="00893511">
      <w:pPr>
        <w:pStyle w:val="Agbulletlist"/>
        <w:numPr>
          <w:ilvl w:val="0"/>
          <w:numId w:val="3"/>
        </w:numPr>
        <w:spacing w:line="240" w:lineRule="auto"/>
        <w:jc w:val="both"/>
        <w:rPr>
          <w:rFonts w:asciiTheme="minorHAnsi" w:hAnsiTheme="minorHAnsi" w:cstheme="minorHAnsi"/>
          <w:sz w:val="20"/>
          <w:szCs w:val="22"/>
        </w:rPr>
      </w:pPr>
      <w:r w:rsidRPr="00374F04">
        <w:rPr>
          <w:rFonts w:asciiTheme="minorHAnsi" w:hAnsiTheme="minorHAnsi" w:cstheme="minorHAnsi"/>
          <w:sz w:val="20"/>
          <w:szCs w:val="22"/>
        </w:rPr>
        <w:t xml:space="preserve">The Agriculture Victoria’s </w:t>
      </w:r>
      <w:r w:rsidR="00E104E6" w:rsidRPr="00374F04">
        <w:rPr>
          <w:rFonts w:asciiTheme="minorHAnsi" w:hAnsiTheme="minorHAnsi" w:cstheme="minorHAnsi"/>
          <w:sz w:val="20"/>
          <w:szCs w:val="22"/>
        </w:rPr>
        <w:t>SOE</w:t>
      </w:r>
      <w:r w:rsidRPr="00374F04">
        <w:rPr>
          <w:rFonts w:asciiTheme="minorHAnsi" w:hAnsiTheme="minorHAnsi" w:cstheme="minorHAnsi"/>
          <w:sz w:val="20"/>
          <w:szCs w:val="22"/>
        </w:rPr>
        <w:t xml:space="preserve"> development processes</w:t>
      </w:r>
    </w:p>
    <w:p w14:paraId="14ECDE0B" w14:textId="7E0FE06A" w:rsidR="009E0ABE" w:rsidRPr="00374F04" w:rsidRDefault="009E0ABE" w:rsidP="00893511">
      <w:pPr>
        <w:pStyle w:val="Agbulletlist"/>
        <w:numPr>
          <w:ilvl w:val="0"/>
          <w:numId w:val="3"/>
        </w:numPr>
        <w:spacing w:line="240" w:lineRule="auto"/>
        <w:jc w:val="both"/>
        <w:rPr>
          <w:rFonts w:asciiTheme="minorHAnsi" w:hAnsiTheme="minorHAnsi" w:cstheme="minorHAnsi"/>
          <w:sz w:val="20"/>
          <w:szCs w:val="22"/>
        </w:rPr>
      </w:pPr>
      <w:r w:rsidRPr="00374F04">
        <w:rPr>
          <w:rFonts w:asciiTheme="minorHAnsi" w:hAnsiTheme="minorHAnsi" w:cstheme="minorHAnsi"/>
          <w:sz w:val="20"/>
          <w:szCs w:val="22"/>
        </w:rPr>
        <w:t xml:space="preserve">The delivery of improvements and targets identified in Agriculture Victoria’s </w:t>
      </w:r>
      <w:r w:rsidR="00E104E6" w:rsidRPr="00374F04">
        <w:rPr>
          <w:rFonts w:asciiTheme="minorHAnsi" w:hAnsiTheme="minorHAnsi" w:cstheme="minorHAnsi"/>
          <w:sz w:val="20"/>
          <w:szCs w:val="22"/>
        </w:rPr>
        <w:t>SOE</w:t>
      </w:r>
      <w:r w:rsidRPr="00374F04">
        <w:rPr>
          <w:rFonts w:asciiTheme="minorHAnsi" w:hAnsiTheme="minorHAnsi" w:cstheme="minorHAnsi"/>
          <w:sz w:val="20"/>
          <w:szCs w:val="22"/>
        </w:rPr>
        <w:t xml:space="preserve"> response</w:t>
      </w:r>
    </w:p>
    <w:p w14:paraId="75739716" w14:textId="0FD29FD6" w:rsidR="009E0ABE" w:rsidRPr="00374F04" w:rsidRDefault="009E0ABE" w:rsidP="00893511">
      <w:pPr>
        <w:pStyle w:val="Agbulletlist"/>
        <w:numPr>
          <w:ilvl w:val="0"/>
          <w:numId w:val="3"/>
        </w:numPr>
        <w:spacing w:line="240" w:lineRule="auto"/>
        <w:jc w:val="both"/>
        <w:rPr>
          <w:rFonts w:asciiTheme="minorHAnsi" w:hAnsiTheme="minorHAnsi" w:cstheme="minorHAnsi"/>
          <w:sz w:val="16"/>
          <w:szCs w:val="22"/>
        </w:rPr>
      </w:pPr>
      <w:r w:rsidRPr="00374F04">
        <w:rPr>
          <w:rFonts w:asciiTheme="minorHAnsi" w:hAnsiTheme="minorHAnsi" w:cstheme="minorHAnsi"/>
          <w:sz w:val="20"/>
          <w:szCs w:val="22"/>
        </w:rPr>
        <w:t xml:space="preserve">The impact the </w:t>
      </w:r>
      <w:r w:rsidR="00E104E6" w:rsidRPr="00374F04">
        <w:rPr>
          <w:rFonts w:asciiTheme="minorHAnsi" w:hAnsiTheme="minorHAnsi" w:cstheme="minorHAnsi"/>
          <w:sz w:val="20"/>
          <w:szCs w:val="22"/>
        </w:rPr>
        <w:t>SOE</w:t>
      </w:r>
      <w:r w:rsidRPr="00374F04">
        <w:rPr>
          <w:rFonts w:asciiTheme="minorHAnsi" w:hAnsiTheme="minorHAnsi" w:cstheme="minorHAnsi"/>
          <w:sz w:val="20"/>
          <w:szCs w:val="22"/>
        </w:rPr>
        <w:t xml:space="preserve"> has made towards achieving greater efficiency and effectiveness in Agriculture Victoria’s administration and enforcement of regulation.</w:t>
      </w:r>
    </w:p>
    <w:tbl>
      <w:tblPr>
        <w:tblStyle w:val="TableGrid"/>
        <w:tblpPr w:leftFromText="180" w:rightFromText="180" w:vertAnchor="text" w:horzAnchor="page" w:tblpX="6633" w:tblpY="550"/>
        <w:tblW w:w="4786" w:type="dxa"/>
        <w:shd w:val="clear" w:color="auto" w:fill="EAF4E4"/>
        <w:tblLook w:val="04A0" w:firstRow="1" w:lastRow="0" w:firstColumn="1" w:lastColumn="0" w:noHBand="0" w:noVBand="1"/>
      </w:tblPr>
      <w:tblGrid>
        <w:gridCol w:w="4786"/>
      </w:tblGrid>
      <w:tr w:rsidR="00090B99" w:rsidRPr="00374F04" w14:paraId="284D9583" w14:textId="77777777" w:rsidTr="003735E5">
        <w:trPr>
          <w:trHeight w:val="5172"/>
        </w:trPr>
        <w:tc>
          <w:tcPr>
            <w:tcW w:w="4786" w:type="dxa"/>
            <w:shd w:val="clear" w:color="auto" w:fill="EDFEE2"/>
          </w:tcPr>
          <w:p w14:paraId="4D683D1D" w14:textId="6B0EE51D" w:rsidR="00090B99" w:rsidRPr="00374F04" w:rsidRDefault="00090B99" w:rsidP="00090B99">
            <w:pPr>
              <w:spacing w:line="276" w:lineRule="auto"/>
              <w:rPr>
                <w:rFonts w:asciiTheme="minorHAnsi" w:hAnsiTheme="minorHAnsi" w:cstheme="minorHAnsi"/>
                <w:sz w:val="20"/>
                <w:szCs w:val="22"/>
                <w:lang w:val="en-AU"/>
              </w:rPr>
            </w:pPr>
            <w:r w:rsidRPr="00374F04">
              <w:rPr>
                <w:rFonts w:asciiTheme="minorHAnsi" w:hAnsiTheme="minorHAnsi" w:cstheme="minorHAnsi"/>
                <w:sz w:val="20"/>
                <w:szCs w:val="22"/>
                <w:lang w:val="en-AU"/>
              </w:rPr>
              <w:lastRenderedPageBreak/>
              <w:t>Agriculture Victoria has a legislative responsibility for administering the following legislation and associated regulations;</w:t>
            </w:r>
          </w:p>
          <w:p w14:paraId="32FD542F" w14:textId="77777777" w:rsidR="00090B99" w:rsidRPr="003464EE" w:rsidRDefault="00090B99" w:rsidP="00893511">
            <w:pPr>
              <w:numPr>
                <w:ilvl w:val="0"/>
                <w:numId w:val="12"/>
              </w:numPr>
              <w:spacing w:line="276" w:lineRule="auto"/>
              <w:rPr>
                <w:rFonts w:asciiTheme="minorHAnsi" w:hAnsiTheme="minorHAnsi" w:cstheme="minorHAnsi"/>
                <w:i/>
                <w:sz w:val="20"/>
                <w:szCs w:val="22"/>
                <w:lang w:val="en-AU"/>
              </w:rPr>
            </w:pPr>
            <w:r w:rsidRPr="003464EE">
              <w:rPr>
                <w:rFonts w:asciiTheme="minorHAnsi" w:hAnsiTheme="minorHAnsi" w:cstheme="minorHAnsi"/>
                <w:i/>
                <w:sz w:val="20"/>
                <w:szCs w:val="22"/>
                <w:lang w:val="en-AU"/>
              </w:rPr>
              <w:t>Agriculture and Veterinary Chemicals (Control of Use) Act 1992</w:t>
            </w:r>
          </w:p>
          <w:p w14:paraId="3B934FF6" w14:textId="77777777" w:rsidR="00090B99" w:rsidRPr="003464EE" w:rsidRDefault="00090B99" w:rsidP="00893511">
            <w:pPr>
              <w:numPr>
                <w:ilvl w:val="0"/>
                <w:numId w:val="12"/>
              </w:numPr>
              <w:spacing w:line="276" w:lineRule="auto"/>
              <w:rPr>
                <w:rFonts w:asciiTheme="minorHAnsi" w:hAnsiTheme="minorHAnsi" w:cstheme="minorHAnsi"/>
                <w:i/>
                <w:sz w:val="20"/>
                <w:szCs w:val="22"/>
                <w:lang w:val="en-AU"/>
              </w:rPr>
            </w:pPr>
            <w:r w:rsidRPr="003464EE">
              <w:rPr>
                <w:rFonts w:asciiTheme="minorHAnsi" w:hAnsiTheme="minorHAnsi" w:cstheme="minorHAnsi"/>
                <w:i/>
                <w:sz w:val="20"/>
                <w:szCs w:val="22"/>
                <w:lang w:val="en-AU"/>
              </w:rPr>
              <w:t>Domestic Animals Act 1994</w:t>
            </w:r>
          </w:p>
          <w:p w14:paraId="1D6F75BF" w14:textId="77777777" w:rsidR="00090B99" w:rsidRPr="003464EE" w:rsidRDefault="00090B99" w:rsidP="00893511">
            <w:pPr>
              <w:numPr>
                <w:ilvl w:val="0"/>
                <w:numId w:val="12"/>
              </w:numPr>
              <w:spacing w:line="276" w:lineRule="auto"/>
              <w:rPr>
                <w:rFonts w:asciiTheme="minorHAnsi" w:hAnsiTheme="minorHAnsi" w:cstheme="minorHAnsi"/>
                <w:i/>
                <w:sz w:val="20"/>
                <w:szCs w:val="22"/>
                <w:lang w:val="en-AU"/>
              </w:rPr>
            </w:pPr>
            <w:r w:rsidRPr="003464EE">
              <w:rPr>
                <w:rFonts w:asciiTheme="minorHAnsi" w:hAnsiTheme="minorHAnsi" w:cstheme="minorHAnsi"/>
                <w:i/>
                <w:sz w:val="20"/>
                <w:szCs w:val="22"/>
                <w:lang w:val="en-AU"/>
              </w:rPr>
              <w:t>Impounding of Livestock Act 1994</w:t>
            </w:r>
          </w:p>
          <w:p w14:paraId="5804F102" w14:textId="77777777" w:rsidR="00090B99" w:rsidRPr="003464EE" w:rsidRDefault="00090B99" w:rsidP="00893511">
            <w:pPr>
              <w:numPr>
                <w:ilvl w:val="0"/>
                <w:numId w:val="12"/>
              </w:numPr>
              <w:spacing w:line="276" w:lineRule="auto"/>
              <w:rPr>
                <w:rFonts w:asciiTheme="minorHAnsi" w:hAnsiTheme="minorHAnsi" w:cstheme="minorHAnsi"/>
                <w:i/>
                <w:sz w:val="20"/>
                <w:szCs w:val="22"/>
                <w:lang w:val="en-AU"/>
              </w:rPr>
            </w:pPr>
            <w:r w:rsidRPr="003464EE">
              <w:rPr>
                <w:rFonts w:asciiTheme="minorHAnsi" w:hAnsiTheme="minorHAnsi" w:cstheme="minorHAnsi"/>
                <w:i/>
                <w:sz w:val="20"/>
                <w:szCs w:val="22"/>
                <w:lang w:val="en-AU"/>
              </w:rPr>
              <w:t>Livestock Disease Control Act 1994</w:t>
            </w:r>
          </w:p>
          <w:p w14:paraId="509EC4A6" w14:textId="77777777" w:rsidR="00090B99" w:rsidRPr="003464EE" w:rsidRDefault="00090B99" w:rsidP="00893511">
            <w:pPr>
              <w:numPr>
                <w:ilvl w:val="0"/>
                <w:numId w:val="12"/>
              </w:numPr>
              <w:spacing w:line="276" w:lineRule="auto"/>
              <w:rPr>
                <w:rFonts w:asciiTheme="minorHAnsi" w:hAnsiTheme="minorHAnsi" w:cstheme="minorHAnsi"/>
                <w:i/>
                <w:sz w:val="20"/>
                <w:szCs w:val="22"/>
                <w:lang w:val="en-AU"/>
              </w:rPr>
            </w:pPr>
            <w:r w:rsidRPr="003464EE">
              <w:rPr>
                <w:rFonts w:asciiTheme="minorHAnsi" w:hAnsiTheme="minorHAnsi" w:cstheme="minorHAnsi"/>
                <w:i/>
                <w:sz w:val="20"/>
                <w:szCs w:val="22"/>
                <w:lang w:val="en-AU"/>
              </w:rPr>
              <w:t>Livestock Management Act 2010</w:t>
            </w:r>
          </w:p>
          <w:p w14:paraId="75EAF5DC" w14:textId="77777777" w:rsidR="00090B99" w:rsidRPr="003464EE" w:rsidRDefault="00090B99" w:rsidP="00893511">
            <w:pPr>
              <w:numPr>
                <w:ilvl w:val="0"/>
                <w:numId w:val="12"/>
              </w:numPr>
              <w:spacing w:line="276" w:lineRule="auto"/>
              <w:rPr>
                <w:rFonts w:asciiTheme="minorHAnsi" w:hAnsiTheme="minorHAnsi" w:cstheme="minorHAnsi"/>
                <w:i/>
                <w:sz w:val="20"/>
                <w:szCs w:val="22"/>
                <w:lang w:val="en-AU"/>
              </w:rPr>
            </w:pPr>
            <w:r w:rsidRPr="003464EE">
              <w:rPr>
                <w:rFonts w:asciiTheme="minorHAnsi" w:hAnsiTheme="minorHAnsi" w:cstheme="minorHAnsi"/>
                <w:i/>
                <w:sz w:val="20"/>
                <w:szCs w:val="22"/>
                <w:lang w:val="en-AU"/>
              </w:rPr>
              <w:t>Plant Biosecurity Act 2010</w:t>
            </w:r>
          </w:p>
          <w:p w14:paraId="51E6E5CB" w14:textId="77777777" w:rsidR="00090B99" w:rsidRPr="003464EE" w:rsidRDefault="00090B99" w:rsidP="00893511">
            <w:pPr>
              <w:numPr>
                <w:ilvl w:val="0"/>
                <w:numId w:val="12"/>
              </w:numPr>
              <w:spacing w:line="276" w:lineRule="auto"/>
              <w:rPr>
                <w:rFonts w:asciiTheme="minorHAnsi" w:hAnsiTheme="minorHAnsi" w:cstheme="minorHAnsi"/>
                <w:i/>
                <w:sz w:val="20"/>
                <w:szCs w:val="22"/>
                <w:lang w:val="en-AU"/>
              </w:rPr>
            </w:pPr>
            <w:r w:rsidRPr="003464EE">
              <w:rPr>
                <w:rFonts w:asciiTheme="minorHAnsi" w:hAnsiTheme="minorHAnsi" w:cstheme="minorHAnsi"/>
                <w:i/>
                <w:sz w:val="20"/>
                <w:szCs w:val="22"/>
                <w:lang w:val="en-AU"/>
              </w:rPr>
              <w:t>Prevention of Cruelty to Animals Act 1986</w:t>
            </w:r>
          </w:p>
          <w:p w14:paraId="220A73BD" w14:textId="77777777" w:rsidR="00090B99" w:rsidRPr="003464EE" w:rsidRDefault="00090B99" w:rsidP="00893511">
            <w:pPr>
              <w:numPr>
                <w:ilvl w:val="0"/>
                <w:numId w:val="12"/>
              </w:numPr>
              <w:spacing w:line="276" w:lineRule="auto"/>
              <w:rPr>
                <w:rFonts w:asciiTheme="minorHAnsi" w:hAnsiTheme="minorHAnsi" w:cstheme="minorHAnsi"/>
                <w:i/>
                <w:sz w:val="20"/>
                <w:szCs w:val="22"/>
                <w:lang w:val="en-AU"/>
              </w:rPr>
            </w:pPr>
            <w:r w:rsidRPr="003464EE">
              <w:rPr>
                <w:rFonts w:asciiTheme="minorHAnsi" w:hAnsiTheme="minorHAnsi" w:cstheme="minorHAnsi"/>
                <w:i/>
                <w:sz w:val="20"/>
                <w:szCs w:val="22"/>
                <w:lang w:val="en-AU"/>
              </w:rPr>
              <w:t>Stock (Seller Liability and Declarations Act) 1993</w:t>
            </w:r>
          </w:p>
          <w:p w14:paraId="530EAECD" w14:textId="77777777" w:rsidR="00090B99" w:rsidRPr="00374F04" w:rsidRDefault="00090B99" w:rsidP="00090B99">
            <w:pPr>
              <w:spacing w:line="276" w:lineRule="auto"/>
              <w:rPr>
                <w:rFonts w:asciiTheme="minorHAnsi" w:hAnsiTheme="minorHAnsi" w:cstheme="minorHAnsi"/>
                <w:sz w:val="20"/>
                <w:szCs w:val="22"/>
                <w:lang w:val="en-AU"/>
              </w:rPr>
            </w:pPr>
            <w:r w:rsidRPr="00374F04">
              <w:rPr>
                <w:rFonts w:asciiTheme="minorHAnsi" w:hAnsiTheme="minorHAnsi" w:cstheme="minorHAnsi"/>
                <w:sz w:val="20"/>
                <w:szCs w:val="22"/>
                <w:lang w:val="en-AU"/>
              </w:rPr>
              <w:t xml:space="preserve">Agriculture Victoria is responsible for elements of the following legislation: </w:t>
            </w:r>
          </w:p>
          <w:p w14:paraId="7554D4D2" w14:textId="77777777" w:rsidR="00090B99" w:rsidRPr="003464EE" w:rsidRDefault="00090B99" w:rsidP="00893511">
            <w:pPr>
              <w:numPr>
                <w:ilvl w:val="0"/>
                <w:numId w:val="13"/>
              </w:numPr>
              <w:spacing w:line="276" w:lineRule="auto"/>
              <w:rPr>
                <w:rFonts w:asciiTheme="minorHAnsi" w:hAnsiTheme="minorHAnsi" w:cstheme="minorHAnsi"/>
                <w:i/>
                <w:sz w:val="20"/>
                <w:szCs w:val="22"/>
                <w:lang w:val="en-AU"/>
              </w:rPr>
            </w:pPr>
            <w:r w:rsidRPr="003464EE">
              <w:rPr>
                <w:rFonts w:asciiTheme="minorHAnsi" w:hAnsiTheme="minorHAnsi" w:cstheme="minorHAnsi"/>
                <w:i/>
                <w:sz w:val="20"/>
                <w:szCs w:val="22"/>
                <w:lang w:val="en-AU"/>
              </w:rPr>
              <w:t>Conservation, Forests and Lands Act 1987</w:t>
            </w:r>
          </w:p>
          <w:p w14:paraId="52758123" w14:textId="77777777" w:rsidR="00090B99" w:rsidRPr="003464EE" w:rsidRDefault="00090B99" w:rsidP="00893511">
            <w:pPr>
              <w:numPr>
                <w:ilvl w:val="0"/>
                <w:numId w:val="13"/>
              </w:numPr>
              <w:spacing w:line="276" w:lineRule="auto"/>
              <w:rPr>
                <w:rFonts w:asciiTheme="minorHAnsi" w:hAnsiTheme="minorHAnsi" w:cstheme="minorHAnsi"/>
                <w:i/>
                <w:sz w:val="20"/>
                <w:szCs w:val="22"/>
                <w:lang w:val="en-AU"/>
              </w:rPr>
            </w:pPr>
            <w:r w:rsidRPr="003464EE">
              <w:rPr>
                <w:rFonts w:asciiTheme="minorHAnsi" w:hAnsiTheme="minorHAnsi" w:cstheme="minorHAnsi"/>
                <w:i/>
                <w:sz w:val="20"/>
                <w:szCs w:val="22"/>
                <w:lang w:val="en-AU"/>
              </w:rPr>
              <w:t>Catchment and Land Protection Act 1994</w:t>
            </w:r>
          </w:p>
          <w:p w14:paraId="00E7F782" w14:textId="77777777" w:rsidR="00090B99" w:rsidRPr="003464EE" w:rsidRDefault="00090B99" w:rsidP="00893511">
            <w:pPr>
              <w:numPr>
                <w:ilvl w:val="0"/>
                <w:numId w:val="13"/>
              </w:numPr>
              <w:spacing w:line="276" w:lineRule="auto"/>
              <w:rPr>
                <w:rFonts w:asciiTheme="minorHAnsi" w:hAnsiTheme="minorHAnsi" w:cstheme="minorHAnsi"/>
                <w:i/>
                <w:sz w:val="20"/>
                <w:szCs w:val="22"/>
                <w:lang w:val="en-AU"/>
              </w:rPr>
            </w:pPr>
            <w:r w:rsidRPr="003464EE">
              <w:rPr>
                <w:rFonts w:asciiTheme="minorHAnsi" w:hAnsiTheme="minorHAnsi" w:cstheme="minorHAnsi"/>
                <w:i/>
                <w:sz w:val="20"/>
                <w:szCs w:val="22"/>
                <w:lang w:val="en-AU"/>
              </w:rPr>
              <w:t>Drugs, Poisons and Controlled Substances Act 1981 (Parts IVA and IVB)</w:t>
            </w:r>
          </w:p>
          <w:p w14:paraId="5E0ED6E5" w14:textId="77777777" w:rsidR="00090B99" w:rsidRPr="003464EE" w:rsidRDefault="00090B99" w:rsidP="00893511">
            <w:pPr>
              <w:numPr>
                <w:ilvl w:val="0"/>
                <w:numId w:val="13"/>
              </w:numPr>
              <w:spacing w:line="276" w:lineRule="auto"/>
              <w:rPr>
                <w:rFonts w:asciiTheme="minorHAnsi" w:hAnsiTheme="minorHAnsi" w:cstheme="minorHAnsi"/>
                <w:i/>
                <w:sz w:val="20"/>
                <w:szCs w:val="22"/>
                <w:lang w:val="en-AU"/>
              </w:rPr>
            </w:pPr>
            <w:r w:rsidRPr="003464EE">
              <w:rPr>
                <w:rFonts w:asciiTheme="minorHAnsi" w:hAnsiTheme="minorHAnsi" w:cstheme="minorHAnsi"/>
                <w:i/>
                <w:sz w:val="20"/>
                <w:szCs w:val="22"/>
                <w:lang w:val="en-AU"/>
              </w:rPr>
              <w:t>Food Act 1984</w:t>
            </w:r>
          </w:p>
          <w:p w14:paraId="7A56F085" w14:textId="77777777" w:rsidR="00090B99" w:rsidRPr="003464EE" w:rsidRDefault="00090B99" w:rsidP="00893511">
            <w:pPr>
              <w:numPr>
                <w:ilvl w:val="0"/>
                <w:numId w:val="13"/>
              </w:numPr>
              <w:spacing w:line="276" w:lineRule="auto"/>
              <w:rPr>
                <w:rFonts w:asciiTheme="minorHAnsi" w:hAnsiTheme="minorHAnsi" w:cstheme="minorHAnsi"/>
                <w:i/>
                <w:sz w:val="20"/>
                <w:szCs w:val="22"/>
                <w:lang w:val="en-AU"/>
              </w:rPr>
            </w:pPr>
            <w:r w:rsidRPr="003464EE">
              <w:rPr>
                <w:rFonts w:asciiTheme="minorHAnsi" w:hAnsiTheme="minorHAnsi" w:cstheme="minorHAnsi"/>
                <w:i/>
                <w:sz w:val="20"/>
                <w:szCs w:val="22"/>
                <w:lang w:val="en-AU"/>
              </w:rPr>
              <w:t>Forests Act 1958</w:t>
            </w:r>
          </w:p>
          <w:p w14:paraId="7456281B" w14:textId="77777777" w:rsidR="00090B99" w:rsidRPr="00374F04" w:rsidRDefault="00090B99" w:rsidP="00893511">
            <w:pPr>
              <w:numPr>
                <w:ilvl w:val="0"/>
                <w:numId w:val="13"/>
              </w:numPr>
              <w:spacing w:line="276" w:lineRule="auto"/>
              <w:rPr>
                <w:rFonts w:asciiTheme="minorHAnsi" w:hAnsiTheme="minorHAnsi" w:cstheme="minorHAnsi"/>
                <w:sz w:val="20"/>
                <w:szCs w:val="22"/>
                <w:lang w:val="en-AU"/>
              </w:rPr>
            </w:pPr>
            <w:r w:rsidRPr="003464EE">
              <w:rPr>
                <w:rFonts w:asciiTheme="minorHAnsi" w:hAnsiTheme="minorHAnsi" w:cstheme="minorHAnsi"/>
                <w:i/>
                <w:sz w:val="20"/>
                <w:szCs w:val="22"/>
                <w:lang w:val="en-AU"/>
              </w:rPr>
              <w:t>Wildlife Act 1987</w:t>
            </w:r>
          </w:p>
        </w:tc>
      </w:tr>
    </w:tbl>
    <w:p w14:paraId="5D5EA240" w14:textId="32FED664" w:rsidR="0002139C" w:rsidRPr="00374F04" w:rsidRDefault="0002139C" w:rsidP="00673BBA">
      <w:pPr>
        <w:pStyle w:val="Heading1"/>
        <w:rPr>
          <w:rFonts w:asciiTheme="minorHAnsi" w:hAnsiTheme="minorHAnsi" w:cstheme="minorHAnsi"/>
          <w:sz w:val="24"/>
          <w:szCs w:val="22"/>
        </w:rPr>
      </w:pPr>
      <w:bookmarkStart w:id="9" w:name="_Toc5254906"/>
      <w:r w:rsidRPr="00374F04">
        <w:rPr>
          <w:rFonts w:asciiTheme="minorHAnsi" w:hAnsiTheme="minorHAnsi" w:cstheme="minorHAnsi"/>
          <w:sz w:val="24"/>
          <w:szCs w:val="22"/>
        </w:rPr>
        <w:t>Background</w:t>
      </w:r>
      <w:bookmarkEnd w:id="9"/>
    </w:p>
    <w:p w14:paraId="20678E77" w14:textId="1FFE00B7" w:rsidR="00C451A2" w:rsidRPr="00374F04" w:rsidRDefault="0002139C" w:rsidP="00C451A2">
      <w:pPr>
        <w:spacing w:line="276" w:lineRule="auto"/>
        <w:rPr>
          <w:rFonts w:asciiTheme="minorHAnsi" w:hAnsiTheme="minorHAnsi" w:cstheme="minorHAnsi"/>
          <w:sz w:val="20"/>
          <w:szCs w:val="22"/>
        </w:rPr>
      </w:pPr>
      <w:r w:rsidRPr="00374F04">
        <w:rPr>
          <w:rFonts w:asciiTheme="minorHAnsi" w:hAnsiTheme="minorHAnsi" w:cstheme="minorHAnsi"/>
          <w:sz w:val="20"/>
          <w:szCs w:val="22"/>
        </w:rPr>
        <w:t xml:space="preserve">Agriculture Victoria </w:t>
      </w:r>
      <w:r w:rsidR="000846B8" w:rsidRPr="00374F04">
        <w:rPr>
          <w:rFonts w:asciiTheme="minorHAnsi" w:hAnsiTheme="minorHAnsi" w:cstheme="minorHAnsi"/>
          <w:sz w:val="20"/>
          <w:szCs w:val="22"/>
        </w:rPr>
        <w:t xml:space="preserve">is focused on </w:t>
      </w:r>
      <w:r w:rsidRPr="00374F04">
        <w:rPr>
          <w:rFonts w:asciiTheme="minorHAnsi" w:hAnsiTheme="minorHAnsi" w:cstheme="minorHAnsi"/>
          <w:sz w:val="20"/>
          <w:szCs w:val="22"/>
        </w:rPr>
        <w:t>support</w:t>
      </w:r>
      <w:r w:rsidR="000846B8" w:rsidRPr="00374F04">
        <w:rPr>
          <w:rFonts w:asciiTheme="minorHAnsi" w:hAnsiTheme="minorHAnsi" w:cstheme="minorHAnsi"/>
          <w:sz w:val="20"/>
          <w:szCs w:val="22"/>
        </w:rPr>
        <w:t>ing</w:t>
      </w:r>
      <w:r w:rsidRPr="00374F04">
        <w:rPr>
          <w:rFonts w:asciiTheme="minorHAnsi" w:hAnsiTheme="minorHAnsi" w:cstheme="minorHAnsi"/>
          <w:sz w:val="20"/>
          <w:szCs w:val="22"/>
        </w:rPr>
        <w:t xml:space="preserve"> the </w:t>
      </w:r>
      <w:r w:rsidR="000846B8" w:rsidRPr="00374F04">
        <w:rPr>
          <w:rFonts w:asciiTheme="minorHAnsi" w:hAnsiTheme="minorHAnsi" w:cstheme="minorHAnsi"/>
          <w:sz w:val="20"/>
          <w:szCs w:val="22"/>
        </w:rPr>
        <w:t xml:space="preserve">Victorian </w:t>
      </w:r>
      <w:r w:rsidRPr="00374F04">
        <w:rPr>
          <w:rFonts w:asciiTheme="minorHAnsi" w:hAnsiTheme="minorHAnsi" w:cstheme="minorHAnsi"/>
          <w:sz w:val="20"/>
          <w:szCs w:val="22"/>
        </w:rPr>
        <w:t>agriculture, food and fibre sector</w:t>
      </w:r>
      <w:r w:rsidR="000846B8" w:rsidRPr="00374F04">
        <w:rPr>
          <w:rFonts w:asciiTheme="minorHAnsi" w:hAnsiTheme="minorHAnsi" w:cstheme="minorHAnsi"/>
          <w:sz w:val="20"/>
          <w:szCs w:val="22"/>
        </w:rPr>
        <w:t xml:space="preserve">. </w:t>
      </w:r>
      <w:r w:rsidR="00C451A2" w:rsidRPr="00374F04">
        <w:rPr>
          <w:rFonts w:asciiTheme="minorHAnsi" w:hAnsiTheme="minorHAnsi" w:cstheme="minorHAnsi"/>
          <w:sz w:val="20"/>
          <w:szCs w:val="22"/>
        </w:rPr>
        <w:t xml:space="preserve">Agriculture Victoria’s approach to regulation is underpinned by a range of legislative and policy frameworks to guide program planning and responsive service delivery. Agriculture Victoria undertakes work in the </w:t>
      </w:r>
      <w:r w:rsidR="003B2984">
        <w:rPr>
          <w:rFonts w:asciiTheme="minorHAnsi" w:hAnsiTheme="minorHAnsi" w:cstheme="minorHAnsi"/>
          <w:sz w:val="20"/>
          <w:szCs w:val="22"/>
        </w:rPr>
        <w:t>areas of</w:t>
      </w:r>
      <w:r w:rsidR="00C451A2" w:rsidRPr="00374F04">
        <w:rPr>
          <w:rFonts w:asciiTheme="minorHAnsi" w:hAnsiTheme="minorHAnsi" w:cstheme="minorHAnsi"/>
          <w:sz w:val="20"/>
          <w:szCs w:val="22"/>
        </w:rPr>
        <w:t>:</w:t>
      </w:r>
    </w:p>
    <w:p w14:paraId="3FD128F9" w14:textId="298D31B1" w:rsidR="00C451A2" w:rsidRPr="00374F04" w:rsidRDefault="00C451A2" w:rsidP="00893511">
      <w:pPr>
        <w:numPr>
          <w:ilvl w:val="0"/>
          <w:numId w:val="4"/>
        </w:numPr>
        <w:spacing w:line="276" w:lineRule="auto"/>
        <w:rPr>
          <w:rFonts w:asciiTheme="minorHAnsi" w:hAnsiTheme="minorHAnsi" w:cstheme="minorHAnsi"/>
          <w:sz w:val="20"/>
          <w:szCs w:val="22"/>
          <w:lang w:val="en-AU"/>
        </w:rPr>
      </w:pPr>
      <w:r w:rsidRPr="00374F04">
        <w:rPr>
          <w:rFonts w:asciiTheme="minorHAnsi" w:hAnsiTheme="minorHAnsi" w:cstheme="minorHAnsi"/>
          <w:i/>
          <w:sz w:val="20"/>
          <w:szCs w:val="22"/>
          <w:lang w:val="en-AU"/>
        </w:rPr>
        <w:t>Emergencies:</w:t>
      </w:r>
      <w:r w:rsidRPr="00374F04">
        <w:rPr>
          <w:rFonts w:asciiTheme="minorHAnsi" w:hAnsiTheme="minorHAnsi" w:cstheme="minorHAnsi"/>
          <w:sz w:val="20"/>
          <w:szCs w:val="22"/>
          <w:lang w:val="en-AU"/>
        </w:rPr>
        <w:t xml:space="preserve"> prevention and preparation for response and recovery from emergencies including serious pest and disease outbreaks; chemical use incidents; as well as animal welfare in transport, flood and bushfire emergencies.</w:t>
      </w:r>
    </w:p>
    <w:p w14:paraId="561DA5B5" w14:textId="77777777" w:rsidR="00C451A2" w:rsidRPr="00374F04" w:rsidRDefault="00C451A2" w:rsidP="00893511">
      <w:pPr>
        <w:numPr>
          <w:ilvl w:val="0"/>
          <w:numId w:val="4"/>
        </w:numPr>
        <w:spacing w:line="276" w:lineRule="auto"/>
        <w:rPr>
          <w:rFonts w:asciiTheme="minorHAnsi" w:hAnsiTheme="minorHAnsi" w:cstheme="minorHAnsi"/>
          <w:sz w:val="20"/>
          <w:szCs w:val="22"/>
          <w:lang w:val="en-AU"/>
        </w:rPr>
      </w:pPr>
      <w:r w:rsidRPr="00374F04">
        <w:rPr>
          <w:rFonts w:asciiTheme="minorHAnsi" w:hAnsiTheme="minorHAnsi" w:cstheme="minorHAnsi"/>
          <w:i/>
          <w:sz w:val="20"/>
          <w:szCs w:val="22"/>
          <w:lang w:val="en-AU"/>
        </w:rPr>
        <w:t>Animal health:</w:t>
      </w:r>
      <w:r w:rsidRPr="00374F04">
        <w:rPr>
          <w:rFonts w:asciiTheme="minorHAnsi" w:hAnsiTheme="minorHAnsi" w:cstheme="minorHAnsi"/>
          <w:sz w:val="20"/>
          <w:szCs w:val="22"/>
          <w:lang w:val="en-AU"/>
        </w:rPr>
        <w:t xml:space="preserve"> safeguarding Victoria’s livestock and other animals from pests and diseases; protecting human health from zoonotic diseases (such as Q fever); maintaining and improving market access for animal food and fibre exports; developing policy and standards for industry.</w:t>
      </w:r>
    </w:p>
    <w:p w14:paraId="4A6AF502" w14:textId="77777777" w:rsidR="00C451A2" w:rsidRPr="00374F04" w:rsidRDefault="00C451A2" w:rsidP="00893511">
      <w:pPr>
        <w:numPr>
          <w:ilvl w:val="0"/>
          <w:numId w:val="4"/>
        </w:numPr>
        <w:spacing w:line="276" w:lineRule="auto"/>
        <w:rPr>
          <w:rFonts w:asciiTheme="minorHAnsi" w:hAnsiTheme="minorHAnsi" w:cstheme="minorHAnsi"/>
          <w:sz w:val="20"/>
          <w:szCs w:val="22"/>
          <w:lang w:val="en-AU"/>
        </w:rPr>
      </w:pPr>
      <w:r w:rsidRPr="00374F04">
        <w:rPr>
          <w:rFonts w:asciiTheme="minorHAnsi" w:hAnsiTheme="minorHAnsi" w:cstheme="minorHAnsi"/>
          <w:i/>
          <w:sz w:val="20"/>
          <w:szCs w:val="22"/>
          <w:lang w:val="en-AU"/>
        </w:rPr>
        <w:t>Animal welfare</w:t>
      </w:r>
      <w:r w:rsidRPr="00374F04">
        <w:rPr>
          <w:rFonts w:asciiTheme="minorHAnsi" w:hAnsiTheme="minorHAnsi" w:cstheme="minorHAnsi"/>
          <w:sz w:val="20"/>
          <w:szCs w:val="22"/>
          <w:lang w:val="en-AU"/>
        </w:rPr>
        <w:t>: ensuring the ethical treatment and care of all animals (including livestock, research animals and domestic animals); managing, reviewing and developing codes of practice, guidelines and standards; providing advice and support to relevant stakeholders.</w:t>
      </w:r>
    </w:p>
    <w:p w14:paraId="044628EB" w14:textId="77777777" w:rsidR="00C451A2" w:rsidRPr="00374F04" w:rsidRDefault="00C451A2" w:rsidP="00893511">
      <w:pPr>
        <w:numPr>
          <w:ilvl w:val="0"/>
          <w:numId w:val="4"/>
        </w:numPr>
        <w:spacing w:line="276" w:lineRule="auto"/>
        <w:rPr>
          <w:rFonts w:asciiTheme="minorHAnsi" w:hAnsiTheme="minorHAnsi" w:cstheme="minorHAnsi"/>
          <w:sz w:val="20"/>
          <w:szCs w:val="22"/>
          <w:lang w:val="en-AU"/>
        </w:rPr>
      </w:pPr>
      <w:r w:rsidRPr="00374F04">
        <w:rPr>
          <w:rFonts w:asciiTheme="minorHAnsi" w:hAnsiTheme="minorHAnsi" w:cstheme="minorHAnsi"/>
          <w:i/>
          <w:sz w:val="20"/>
          <w:szCs w:val="22"/>
          <w:lang w:val="en-AU"/>
        </w:rPr>
        <w:t>Plant health:</w:t>
      </w:r>
      <w:r w:rsidRPr="00374F04">
        <w:rPr>
          <w:rFonts w:asciiTheme="minorHAnsi" w:hAnsiTheme="minorHAnsi" w:cstheme="minorHAnsi"/>
          <w:sz w:val="20"/>
          <w:szCs w:val="22"/>
          <w:lang w:val="en-AU"/>
        </w:rPr>
        <w:t xml:space="preserve"> safeguarding Victoria’s horticulture and food industries from pests and diseases; ensuring food security; maintaining and improving market access for agricultural exports; developing policy and standards for industry, engaging with industries and communities to enhance their understanding of biosecurity issues and obligations.</w:t>
      </w:r>
    </w:p>
    <w:p w14:paraId="129C7506" w14:textId="23DE5F00" w:rsidR="00C451A2" w:rsidRPr="00374F04" w:rsidRDefault="00C451A2" w:rsidP="00893511">
      <w:pPr>
        <w:numPr>
          <w:ilvl w:val="0"/>
          <w:numId w:val="4"/>
        </w:numPr>
        <w:spacing w:line="276" w:lineRule="auto"/>
        <w:rPr>
          <w:rFonts w:asciiTheme="minorHAnsi" w:hAnsiTheme="minorHAnsi" w:cstheme="minorHAnsi"/>
          <w:sz w:val="20"/>
          <w:szCs w:val="22"/>
          <w:lang w:val="en-AU"/>
        </w:rPr>
      </w:pPr>
      <w:r w:rsidRPr="00374F04">
        <w:rPr>
          <w:rFonts w:asciiTheme="minorHAnsi" w:hAnsiTheme="minorHAnsi" w:cstheme="minorHAnsi"/>
          <w:i/>
          <w:sz w:val="20"/>
          <w:szCs w:val="22"/>
          <w:lang w:val="en-AU"/>
        </w:rPr>
        <w:t>Invasive plants and animals:</w:t>
      </w:r>
      <w:r w:rsidRPr="00374F04">
        <w:rPr>
          <w:rFonts w:asciiTheme="minorHAnsi" w:hAnsiTheme="minorHAnsi" w:cstheme="minorHAnsi"/>
          <w:sz w:val="20"/>
          <w:szCs w:val="22"/>
          <w:lang w:val="en-AU"/>
        </w:rPr>
        <w:t xml:space="preserve"> prevention and preparedness for new high-risk invasive species; </w:t>
      </w:r>
      <w:r w:rsidR="003B2984">
        <w:rPr>
          <w:rFonts w:asciiTheme="minorHAnsi" w:hAnsiTheme="minorHAnsi" w:cstheme="minorHAnsi"/>
          <w:sz w:val="20"/>
          <w:szCs w:val="22"/>
          <w:lang w:val="en-AU"/>
        </w:rPr>
        <w:t xml:space="preserve">the </w:t>
      </w:r>
      <w:r w:rsidRPr="00374F04">
        <w:rPr>
          <w:rFonts w:asciiTheme="minorHAnsi" w:hAnsiTheme="minorHAnsi" w:cstheme="minorHAnsi"/>
          <w:sz w:val="20"/>
          <w:szCs w:val="22"/>
          <w:lang w:val="en-AU"/>
        </w:rPr>
        <w:t>eradication or containment of new high-risk species when possible; and minimising and managing the impact from invasive plants and animals that are already widespread and threaten the productivity of the state’s primary industries, its biodiversity, the natural environment and social amenity.</w:t>
      </w:r>
    </w:p>
    <w:p w14:paraId="17421CC2" w14:textId="42765565" w:rsidR="00C451A2" w:rsidRPr="00374F04" w:rsidRDefault="00C451A2" w:rsidP="00893511">
      <w:pPr>
        <w:numPr>
          <w:ilvl w:val="0"/>
          <w:numId w:val="4"/>
        </w:numPr>
        <w:spacing w:line="276" w:lineRule="auto"/>
        <w:rPr>
          <w:rFonts w:asciiTheme="minorHAnsi" w:hAnsiTheme="minorHAnsi" w:cstheme="minorHAnsi"/>
          <w:sz w:val="20"/>
          <w:szCs w:val="22"/>
          <w:lang w:val="en-AU"/>
        </w:rPr>
      </w:pPr>
      <w:r w:rsidRPr="00374F04">
        <w:rPr>
          <w:rFonts w:asciiTheme="minorHAnsi" w:hAnsiTheme="minorHAnsi" w:cstheme="minorHAnsi"/>
          <w:i/>
          <w:sz w:val="20"/>
          <w:szCs w:val="22"/>
          <w:lang w:val="en-AU"/>
        </w:rPr>
        <w:t xml:space="preserve">Chemical use and residues: </w:t>
      </w:r>
      <w:r w:rsidRPr="00374F04">
        <w:rPr>
          <w:rFonts w:asciiTheme="minorHAnsi" w:hAnsiTheme="minorHAnsi" w:cstheme="minorHAnsi"/>
          <w:sz w:val="20"/>
          <w:szCs w:val="22"/>
          <w:lang w:val="en-AU"/>
        </w:rPr>
        <w:t xml:space="preserve">regulating the use of agricultural and veterinary chemicals to prevent harm to human health, the environment, trade and market access, </w:t>
      </w:r>
      <w:r w:rsidR="003B2984">
        <w:rPr>
          <w:rFonts w:asciiTheme="minorHAnsi" w:hAnsiTheme="minorHAnsi" w:cstheme="minorHAnsi"/>
          <w:sz w:val="20"/>
          <w:szCs w:val="22"/>
          <w:lang w:val="en-AU"/>
        </w:rPr>
        <w:t xml:space="preserve">and </w:t>
      </w:r>
      <w:r w:rsidR="003B2984" w:rsidRPr="00374F04">
        <w:rPr>
          <w:rFonts w:asciiTheme="minorHAnsi" w:hAnsiTheme="minorHAnsi" w:cstheme="minorHAnsi"/>
          <w:sz w:val="20"/>
          <w:szCs w:val="22"/>
          <w:lang w:val="en-AU"/>
        </w:rPr>
        <w:t xml:space="preserve">animal health and welfare, </w:t>
      </w:r>
      <w:r w:rsidRPr="00374F04">
        <w:rPr>
          <w:rFonts w:asciiTheme="minorHAnsi" w:hAnsiTheme="minorHAnsi" w:cstheme="minorHAnsi"/>
          <w:sz w:val="20"/>
          <w:szCs w:val="22"/>
          <w:lang w:val="en-AU"/>
        </w:rPr>
        <w:t xml:space="preserve">and to provide a regulated market </w:t>
      </w:r>
      <w:r w:rsidR="003B2984">
        <w:rPr>
          <w:rFonts w:asciiTheme="minorHAnsi" w:hAnsiTheme="minorHAnsi" w:cstheme="minorHAnsi"/>
          <w:sz w:val="20"/>
          <w:szCs w:val="22"/>
          <w:lang w:val="en-AU"/>
        </w:rPr>
        <w:t>to facilitate appropriate</w:t>
      </w:r>
      <w:r w:rsidRPr="00374F04">
        <w:rPr>
          <w:rFonts w:asciiTheme="minorHAnsi" w:hAnsiTheme="minorHAnsi" w:cstheme="minorHAnsi"/>
          <w:sz w:val="20"/>
          <w:szCs w:val="22"/>
          <w:lang w:val="en-AU"/>
        </w:rPr>
        <w:t xml:space="preserve"> access to safe and effective chemicals.</w:t>
      </w:r>
    </w:p>
    <w:p w14:paraId="4E43BE94" w14:textId="0B6A423C" w:rsidR="0002139C" w:rsidRDefault="00C451A2" w:rsidP="00893511">
      <w:pPr>
        <w:numPr>
          <w:ilvl w:val="0"/>
          <w:numId w:val="4"/>
        </w:numPr>
        <w:spacing w:line="276" w:lineRule="auto"/>
        <w:rPr>
          <w:rFonts w:asciiTheme="minorHAnsi" w:hAnsiTheme="minorHAnsi" w:cstheme="minorHAnsi"/>
          <w:sz w:val="20"/>
          <w:szCs w:val="22"/>
          <w:lang w:val="en-AU"/>
        </w:rPr>
      </w:pPr>
      <w:r w:rsidRPr="00374F04">
        <w:rPr>
          <w:rFonts w:asciiTheme="minorHAnsi" w:hAnsiTheme="minorHAnsi" w:cstheme="minorHAnsi"/>
          <w:i/>
          <w:sz w:val="20"/>
          <w:szCs w:val="22"/>
          <w:lang w:val="en-AU"/>
        </w:rPr>
        <w:t>New regulated industries:</w:t>
      </w:r>
      <w:r w:rsidRPr="00374F04">
        <w:rPr>
          <w:rFonts w:asciiTheme="minorHAnsi" w:hAnsiTheme="minorHAnsi" w:cstheme="minorHAnsi"/>
          <w:sz w:val="20"/>
          <w:szCs w:val="22"/>
          <w:lang w:val="en-AU"/>
        </w:rPr>
        <w:t xml:space="preserve"> investment in new and emerging agricultural industries requiring policy development and regulation</w:t>
      </w:r>
      <w:r w:rsidR="003B2984">
        <w:rPr>
          <w:rFonts w:asciiTheme="minorHAnsi" w:hAnsiTheme="minorHAnsi" w:cstheme="minorHAnsi"/>
          <w:sz w:val="20"/>
          <w:szCs w:val="22"/>
          <w:lang w:val="en-AU"/>
        </w:rPr>
        <w:t xml:space="preserve"> (including </w:t>
      </w:r>
      <w:r w:rsidRPr="00374F04">
        <w:rPr>
          <w:rFonts w:asciiTheme="minorHAnsi" w:hAnsiTheme="minorHAnsi" w:cstheme="minorHAnsi"/>
          <w:sz w:val="20"/>
          <w:szCs w:val="22"/>
          <w:lang w:val="en-AU"/>
        </w:rPr>
        <w:t>commercial poppy crops for therapeutic purposes and the seed sprout industry for food safety purposes</w:t>
      </w:r>
      <w:r w:rsidR="003B2984">
        <w:rPr>
          <w:rFonts w:asciiTheme="minorHAnsi" w:hAnsiTheme="minorHAnsi" w:cstheme="minorHAnsi"/>
          <w:sz w:val="20"/>
          <w:szCs w:val="22"/>
          <w:lang w:val="en-AU"/>
        </w:rPr>
        <w:t>)</w:t>
      </w:r>
      <w:r w:rsidRPr="00374F04">
        <w:rPr>
          <w:rFonts w:asciiTheme="minorHAnsi" w:hAnsiTheme="minorHAnsi" w:cstheme="minorHAnsi"/>
          <w:sz w:val="20"/>
          <w:szCs w:val="22"/>
          <w:lang w:val="en-AU"/>
        </w:rPr>
        <w:t>.</w:t>
      </w:r>
    </w:p>
    <w:p w14:paraId="54A06F11" w14:textId="46F5CF71" w:rsidR="007211CE" w:rsidRDefault="007211CE" w:rsidP="007211CE">
      <w:pPr>
        <w:spacing w:line="276" w:lineRule="auto"/>
        <w:rPr>
          <w:rFonts w:asciiTheme="minorHAnsi" w:hAnsiTheme="minorHAnsi" w:cstheme="minorHAnsi"/>
          <w:sz w:val="20"/>
          <w:szCs w:val="22"/>
          <w:lang w:val="en-AU"/>
        </w:rPr>
      </w:pPr>
    </w:p>
    <w:p w14:paraId="5F240DDF" w14:textId="748E968E" w:rsidR="00F07D7A" w:rsidRDefault="00F07D7A" w:rsidP="007211CE">
      <w:pPr>
        <w:spacing w:line="276" w:lineRule="auto"/>
        <w:rPr>
          <w:rFonts w:asciiTheme="minorHAnsi" w:hAnsiTheme="minorHAnsi" w:cstheme="minorHAnsi"/>
          <w:sz w:val="20"/>
          <w:szCs w:val="22"/>
          <w:lang w:val="en-AU"/>
        </w:rPr>
      </w:pPr>
    </w:p>
    <w:p w14:paraId="1D32C1D2" w14:textId="3DA07775" w:rsidR="00F07D7A" w:rsidRDefault="00F07D7A" w:rsidP="007211CE">
      <w:pPr>
        <w:spacing w:line="276" w:lineRule="auto"/>
        <w:rPr>
          <w:rFonts w:asciiTheme="minorHAnsi" w:hAnsiTheme="minorHAnsi" w:cstheme="minorHAnsi"/>
          <w:sz w:val="20"/>
          <w:szCs w:val="22"/>
          <w:lang w:val="en-AU"/>
        </w:rPr>
      </w:pPr>
    </w:p>
    <w:p w14:paraId="50139B78" w14:textId="77777777" w:rsidR="00F07D7A" w:rsidRDefault="00F07D7A" w:rsidP="007211CE">
      <w:pPr>
        <w:spacing w:line="276" w:lineRule="auto"/>
        <w:rPr>
          <w:rFonts w:asciiTheme="minorHAnsi" w:hAnsiTheme="minorHAnsi" w:cstheme="minorHAnsi"/>
          <w:sz w:val="20"/>
          <w:szCs w:val="22"/>
          <w:lang w:val="en-AU"/>
        </w:rPr>
      </w:pPr>
    </w:p>
    <w:p w14:paraId="38D7066B" w14:textId="1A795EA0" w:rsidR="000552D3" w:rsidRPr="00374F04" w:rsidRDefault="000552D3" w:rsidP="00976BDB">
      <w:pPr>
        <w:pStyle w:val="Heading1"/>
        <w:rPr>
          <w:rFonts w:asciiTheme="minorHAnsi" w:hAnsiTheme="minorHAnsi" w:cstheme="minorHAnsi"/>
          <w:sz w:val="24"/>
          <w:szCs w:val="22"/>
        </w:rPr>
      </w:pPr>
      <w:bookmarkStart w:id="10" w:name="_Toc5254907"/>
      <w:bookmarkStart w:id="11" w:name="_Toc439949481"/>
      <w:bookmarkEnd w:id="5"/>
      <w:r w:rsidRPr="00374F04">
        <w:rPr>
          <w:rFonts w:asciiTheme="minorHAnsi" w:hAnsiTheme="minorHAnsi" w:cstheme="minorHAnsi"/>
          <w:sz w:val="24"/>
          <w:szCs w:val="22"/>
        </w:rPr>
        <w:lastRenderedPageBreak/>
        <w:t>Evaluation Method</w:t>
      </w:r>
      <w:r w:rsidR="007211CE">
        <w:rPr>
          <w:rFonts w:asciiTheme="minorHAnsi" w:hAnsiTheme="minorHAnsi" w:cstheme="minorHAnsi"/>
          <w:sz w:val="24"/>
          <w:szCs w:val="22"/>
        </w:rPr>
        <w:t>OLOGY</w:t>
      </w:r>
      <w:bookmarkEnd w:id="10"/>
    </w:p>
    <w:p w14:paraId="73D68BD3" w14:textId="545D4BF5" w:rsidR="0077319E" w:rsidRPr="00374F04" w:rsidRDefault="00976BDB" w:rsidP="00787734">
      <w:pPr>
        <w:spacing w:line="276" w:lineRule="auto"/>
        <w:jc w:val="both"/>
        <w:rPr>
          <w:rFonts w:asciiTheme="minorHAnsi" w:hAnsiTheme="minorHAnsi" w:cstheme="minorHAnsi"/>
          <w:sz w:val="20"/>
          <w:szCs w:val="22"/>
        </w:rPr>
      </w:pPr>
      <w:r w:rsidRPr="00374F04">
        <w:rPr>
          <w:rFonts w:asciiTheme="minorHAnsi" w:hAnsiTheme="minorHAnsi" w:cstheme="minorHAnsi"/>
          <w:sz w:val="20"/>
          <w:szCs w:val="22"/>
        </w:rPr>
        <w:t xml:space="preserve">Within the </w:t>
      </w:r>
      <w:r w:rsidR="00E104E6" w:rsidRPr="00374F04">
        <w:rPr>
          <w:rFonts w:asciiTheme="minorHAnsi" w:hAnsiTheme="minorHAnsi" w:cstheme="minorHAnsi"/>
          <w:sz w:val="20"/>
          <w:szCs w:val="22"/>
        </w:rPr>
        <w:t xml:space="preserve">SOE </w:t>
      </w:r>
      <w:r w:rsidR="003B2984">
        <w:rPr>
          <w:rFonts w:asciiTheme="minorHAnsi" w:hAnsiTheme="minorHAnsi" w:cstheme="minorHAnsi"/>
          <w:sz w:val="20"/>
          <w:szCs w:val="22"/>
        </w:rPr>
        <w:t>f</w:t>
      </w:r>
      <w:r w:rsidRPr="00374F04">
        <w:rPr>
          <w:rFonts w:asciiTheme="minorHAnsi" w:hAnsiTheme="minorHAnsi" w:cstheme="minorHAnsi"/>
          <w:sz w:val="20"/>
          <w:szCs w:val="22"/>
        </w:rPr>
        <w:t xml:space="preserve">ramework there is a mandatory requirement for departments to evaluate the </w:t>
      </w:r>
      <w:r w:rsidR="00E104E6" w:rsidRPr="00374F04">
        <w:rPr>
          <w:rFonts w:asciiTheme="minorHAnsi" w:hAnsiTheme="minorHAnsi" w:cstheme="minorHAnsi"/>
          <w:sz w:val="20"/>
          <w:szCs w:val="22"/>
        </w:rPr>
        <w:t>SOE</w:t>
      </w:r>
      <w:r w:rsidRPr="00374F04">
        <w:rPr>
          <w:rFonts w:asciiTheme="minorHAnsi" w:hAnsiTheme="minorHAnsi" w:cstheme="minorHAnsi"/>
          <w:sz w:val="20"/>
          <w:szCs w:val="22"/>
        </w:rPr>
        <w:t xml:space="preserve"> of the regulator(s) within their portfolio. </w:t>
      </w:r>
      <w:r w:rsidR="009C32B8">
        <w:rPr>
          <w:rFonts w:asciiTheme="minorHAnsi" w:hAnsiTheme="minorHAnsi" w:cstheme="minorHAnsi"/>
          <w:sz w:val="20"/>
          <w:szCs w:val="22"/>
        </w:rPr>
        <w:t xml:space="preserve">DTF </w:t>
      </w:r>
      <w:r w:rsidRPr="00374F04">
        <w:rPr>
          <w:rFonts w:asciiTheme="minorHAnsi" w:hAnsiTheme="minorHAnsi" w:cstheme="minorHAnsi"/>
          <w:sz w:val="20"/>
          <w:szCs w:val="22"/>
        </w:rPr>
        <w:t xml:space="preserve">Guidelines </w:t>
      </w:r>
      <w:r w:rsidR="00787734" w:rsidRPr="00374F04">
        <w:rPr>
          <w:rFonts w:asciiTheme="minorHAnsi" w:hAnsiTheme="minorHAnsi" w:cstheme="minorHAnsi"/>
          <w:sz w:val="20"/>
          <w:szCs w:val="22"/>
        </w:rPr>
        <w:t>have</w:t>
      </w:r>
      <w:r w:rsidRPr="00374F04">
        <w:rPr>
          <w:rFonts w:asciiTheme="minorHAnsi" w:hAnsiTheme="minorHAnsi" w:cstheme="minorHAnsi"/>
          <w:sz w:val="20"/>
          <w:szCs w:val="22"/>
        </w:rPr>
        <w:t xml:space="preserve"> been published to assist with the mandatory evaluation requirement of the </w:t>
      </w:r>
      <w:r w:rsidR="00E104E6" w:rsidRPr="00374F04">
        <w:rPr>
          <w:rFonts w:asciiTheme="minorHAnsi" w:hAnsiTheme="minorHAnsi" w:cstheme="minorHAnsi"/>
          <w:sz w:val="20"/>
          <w:szCs w:val="22"/>
        </w:rPr>
        <w:t>SOE</w:t>
      </w:r>
      <w:r w:rsidRPr="00374F04">
        <w:rPr>
          <w:rFonts w:asciiTheme="minorHAnsi" w:hAnsiTheme="minorHAnsi" w:cstheme="minorHAnsi"/>
          <w:sz w:val="20"/>
          <w:szCs w:val="22"/>
        </w:rPr>
        <w:t xml:space="preserve"> Framework. Within the Guidelines it is specified that evaluations be divided into two stages</w:t>
      </w:r>
      <w:r w:rsidR="00F54008" w:rsidRPr="00374F04">
        <w:rPr>
          <w:rFonts w:asciiTheme="minorHAnsi" w:hAnsiTheme="minorHAnsi" w:cstheme="minorHAnsi"/>
          <w:sz w:val="20"/>
          <w:szCs w:val="22"/>
        </w:rPr>
        <w:t>:</w:t>
      </w:r>
      <w:r w:rsidRPr="00374F04">
        <w:rPr>
          <w:rFonts w:asciiTheme="minorHAnsi" w:hAnsiTheme="minorHAnsi" w:cstheme="minorHAnsi"/>
          <w:sz w:val="20"/>
          <w:szCs w:val="22"/>
        </w:rPr>
        <w:t xml:space="preserve"> </w:t>
      </w:r>
      <w:r w:rsidR="00F54008" w:rsidRPr="00374F04">
        <w:rPr>
          <w:rFonts w:asciiTheme="minorHAnsi" w:hAnsiTheme="minorHAnsi" w:cstheme="minorHAnsi"/>
          <w:sz w:val="20"/>
          <w:szCs w:val="22"/>
        </w:rPr>
        <w:t xml:space="preserve">process-based </w:t>
      </w:r>
      <w:r w:rsidRPr="00374F04">
        <w:rPr>
          <w:rFonts w:asciiTheme="minorHAnsi" w:hAnsiTheme="minorHAnsi" w:cstheme="minorHAnsi"/>
          <w:sz w:val="20"/>
          <w:szCs w:val="22"/>
        </w:rPr>
        <w:t>evaluation, and</w:t>
      </w:r>
      <w:r w:rsidR="00F54008" w:rsidRPr="00374F04">
        <w:rPr>
          <w:rFonts w:asciiTheme="minorHAnsi" w:hAnsiTheme="minorHAnsi" w:cstheme="minorHAnsi"/>
          <w:sz w:val="20"/>
          <w:szCs w:val="22"/>
        </w:rPr>
        <w:t xml:space="preserve"> </w:t>
      </w:r>
      <w:r w:rsidRPr="00374F04">
        <w:rPr>
          <w:rFonts w:asciiTheme="minorHAnsi" w:hAnsiTheme="minorHAnsi" w:cstheme="minorHAnsi"/>
          <w:sz w:val="20"/>
          <w:szCs w:val="22"/>
        </w:rPr>
        <w:t>outcome</w:t>
      </w:r>
      <w:r w:rsidR="00787734" w:rsidRPr="00374F04">
        <w:rPr>
          <w:rFonts w:asciiTheme="minorHAnsi" w:hAnsiTheme="minorHAnsi" w:cstheme="minorHAnsi"/>
          <w:sz w:val="20"/>
          <w:szCs w:val="22"/>
        </w:rPr>
        <w:t>-</w:t>
      </w:r>
      <w:r w:rsidR="00F54008" w:rsidRPr="00374F04">
        <w:rPr>
          <w:rFonts w:asciiTheme="minorHAnsi" w:hAnsiTheme="minorHAnsi" w:cstheme="minorHAnsi"/>
          <w:sz w:val="20"/>
          <w:szCs w:val="22"/>
        </w:rPr>
        <w:t>based</w:t>
      </w:r>
      <w:r w:rsidRPr="00374F04">
        <w:rPr>
          <w:rFonts w:asciiTheme="minorHAnsi" w:hAnsiTheme="minorHAnsi" w:cstheme="minorHAnsi"/>
          <w:sz w:val="20"/>
          <w:szCs w:val="22"/>
        </w:rPr>
        <w:t xml:space="preserve"> evaluation.</w:t>
      </w:r>
      <w:r w:rsidR="00F87510" w:rsidRPr="00374F04">
        <w:rPr>
          <w:rFonts w:asciiTheme="minorHAnsi" w:hAnsiTheme="minorHAnsi" w:cstheme="minorHAnsi"/>
          <w:sz w:val="20"/>
          <w:szCs w:val="22"/>
        </w:rPr>
        <w:t xml:space="preserve"> </w:t>
      </w:r>
      <w:r w:rsidR="00787734" w:rsidRPr="00374F04">
        <w:rPr>
          <w:rFonts w:asciiTheme="minorHAnsi" w:hAnsiTheme="minorHAnsi" w:cstheme="minorHAnsi"/>
          <w:sz w:val="20"/>
          <w:szCs w:val="22"/>
        </w:rPr>
        <w:t xml:space="preserve">Against each evaluation stage, </w:t>
      </w:r>
      <w:r w:rsidR="007211CE">
        <w:rPr>
          <w:rFonts w:asciiTheme="minorHAnsi" w:hAnsiTheme="minorHAnsi" w:cstheme="minorHAnsi"/>
          <w:sz w:val="20"/>
          <w:szCs w:val="22"/>
        </w:rPr>
        <w:t xml:space="preserve">the following </w:t>
      </w:r>
      <w:r w:rsidR="00787734" w:rsidRPr="00374F04">
        <w:rPr>
          <w:rFonts w:asciiTheme="minorHAnsi" w:hAnsiTheme="minorHAnsi" w:cstheme="minorHAnsi"/>
          <w:sz w:val="20"/>
          <w:szCs w:val="22"/>
        </w:rPr>
        <w:t>questions have been provided to guide the evaluation</w:t>
      </w:r>
      <w:r w:rsidR="007211CE">
        <w:rPr>
          <w:rFonts w:asciiTheme="minorHAnsi" w:hAnsiTheme="minorHAnsi" w:cstheme="minorHAnsi"/>
          <w:sz w:val="20"/>
          <w:szCs w:val="22"/>
        </w:rPr>
        <w:t>:</w:t>
      </w:r>
    </w:p>
    <w:p w14:paraId="08BF2009" w14:textId="4657E2D0" w:rsidR="0077319E" w:rsidRPr="00374F04" w:rsidRDefault="0077319E" w:rsidP="00893511">
      <w:pPr>
        <w:numPr>
          <w:ilvl w:val="0"/>
          <w:numId w:val="16"/>
        </w:numPr>
        <w:spacing w:line="276" w:lineRule="auto"/>
        <w:rPr>
          <w:rFonts w:asciiTheme="minorHAnsi" w:hAnsiTheme="minorHAnsi" w:cstheme="minorHAnsi"/>
          <w:sz w:val="20"/>
          <w:szCs w:val="22"/>
          <w:lang w:val="en-AU"/>
        </w:rPr>
      </w:pPr>
      <w:r w:rsidRPr="00374F04">
        <w:rPr>
          <w:rFonts w:asciiTheme="minorHAnsi" w:hAnsiTheme="minorHAnsi" w:cstheme="minorHAnsi"/>
          <w:sz w:val="20"/>
          <w:szCs w:val="22"/>
          <w:lang w:val="en-AU"/>
        </w:rPr>
        <w:t xml:space="preserve">How appropriate was the process for developing the </w:t>
      </w:r>
      <w:r w:rsidR="00E104E6" w:rsidRPr="00374F04">
        <w:rPr>
          <w:rFonts w:asciiTheme="minorHAnsi" w:hAnsiTheme="minorHAnsi" w:cstheme="minorHAnsi"/>
          <w:sz w:val="20"/>
          <w:szCs w:val="22"/>
          <w:lang w:val="en-AU"/>
        </w:rPr>
        <w:t>SOE</w:t>
      </w:r>
      <w:r w:rsidRPr="00374F04">
        <w:rPr>
          <w:rFonts w:asciiTheme="minorHAnsi" w:hAnsiTheme="minorHAnsi" w:cstheme="minorHAnsi"/>
          <w:sz w:val="20"/>
          <w:szCs w:val="22"/>
          <w:lang w:val="en-AU"/>
        </w:rPr>
        <w:t>?</w:t>
      </w:r>
    </w:p>
    <w:p w14:paraId="273C9F8F" w14:textId="296FFC21" w:rsidR="0077319E" w:rsidRPr="00374F04" w:rsidRDefault="0077319E" w:rsidP="00893511">
      <w:pPr>
        <w:numPr>
          <w:ilvl w:val="0"/>
          <w:numId w:val="16"/>
        </w:numPr>
        <w:spacing w:line="276" w:lineRule="auto"/>
        <w:rPr>
          <w:rFonts w:asciiTheme="minorHAnsi" w:hAnsiTheme="minorHAnsi" w:cstheme="minorHAnsi"/>
          <w:sz w:val="20"/>
          <w:szCs w:val="22"/>
          <w:lang w:val="en-AU"/>
        </w:rPr>
      </w:pPr>
      <w:r w:rsidRPr="00374F04">
        <w:rPr>
          <w:rFonts w:asciiTheme="minorHAnsi" w:hAnsiTheme="minorHAnsi" w:cstheme="minorHAnsi"/>
          <w:sz w:val="20"/>
          <w:szCs w:val="22"/>
          <w:lang w:val="en-AU"/>
        </w:rPr>
        <w:t xml:space="preserve">Did the regulator deliver the improvements and targets established in the </w:t>
      </w:r>
      <w:r w:rsidR="00E104E6" w:rsidRPr="00374F04">
        <w:rPr>
          <w:rFonts w:asciiTheme="minorHAnsi" w:hAnsiTheme="minorHAnsi" w:cstheme="minorHAnsi"/>
          <w:sz w:val="20"/>
          <w:szCs w:val="22"/>
          <w:lang w:val="en-AU"/>
        </w:rPr>
        <w:t>SOE</w:t>
      </w:r>
      <w:r w:rsidRPr="00374F04">
        <w:rPr>
          <w:rFonts w:asciiTheme="minorHAnsi" w:hAnsiTheme="minorHAnsi" w:cstheme="minorHAnsi"/>
          <w:sz w:val="20"/>
          <w:szCs w:val="22"/>
          <w:lang w:val="en-AU"/>
        </w:rPr>
        <w:t xml:space="preserve"> and regulator </w:t>
      </w:r>
      <w:r w:rsidR="004C3FD9" w:rsidRPr="00374F04">
        <w:rPr>
          <w:rFonts w:asciiTheme="minorHAnsi" w:hAnsiTheme="minorHAnsi" w:cstheme="minorHAnsi"/>
          <w:sz w:val="20"/>
          <w:szCs w:val="22"/>
        </w:rPr>
        <w:t>SOE</w:t>
      </w:r>
      <w:r w:rsidR="004C3FD9">
        <w:rPr>
          <w:rFonts w:asciiTheme="minorHAnsi" w:hAnsiTheme="minorHAnsi" w:cstheme="minorHAnsi"/>
          <w:sz w:val="20"/>
          <w:szCs w:val="22"/>
        </w:rPr>
        <w:t xml:space="preserve"> Response L</w:t>
      </w:r>
      <w:r w:rsidR="004C3FD9" w:rsidRPr="00374F04">
        <w:rPr>
          <w:rFonts w:asciiTheme="minorHAnsi" w:hAnsiTheme="minorHAnsi" w:cstheme="minorHAnsi"/>
          <w:sz w:val="20"/>
          <w:szCs w:val="22"/>
        </w:rPr>
        <w:t>etter</w:t>
      </w:r>
      <w:r w:rsidRPr="00374F04">
        <w:rPr>
          <w:rFonts w:asciiTheme="minorHAnsi" w:hAnsiTheme="minorHAnsi" w:cstheme="minorHAnsi"/>
          <w:sz w:val="20"/>
          <w:szCs w:val="22"/>
          <w:lang w:val="en-AU"/>
        </w:rPr>
        <w:t xml:space="preserve"> on time and on budget?</w:t>
      </w:r>
    </w:p>
    <w:p w14:paraId="3D196515" w14:textId="3E32E652" w:rsidR="0077319E" w:rsidRPr="00374F04" w:rsidRDefault="0077319E" w:rsidP="00893511">
      <w:pPr>
        <w:pStyle w:val="ListParagraph"/>
        <w:numPr>
          <w:ilvl w:val="0"/>
          <w:numId w:val="16"/>
        </w:numPr>
        <w:spacing w:line="276" w:lineRule="auto"/>
        <w:rPr>
          <w:rFonts w:asciiTheme="minorHAnsi" w:hAnsiTheme="minorHAnsi" w:cstheme="minorHAnsi"/>
          <w:sz w:val="20"/>
          <w:szCs w:val="22"/>
          <w:lang w:val="en-AU"/>
        </w:rPr>
      </w:pPr>
      <w:r w:rsidRPr="00374F04">
        <w:rPr>
          <w:rFonts w:asciiTheme="minorHAnsi" w:hAnsiTheme="minorHAnsi" w:cstheme="minorHAnsi"/>
          <w:sz w:val="20"/>
          <w:szCs w:val="22"/>
          <w:lang w:val="en-AU"/>
        </w:rPr>
        <w:t xml:space="preserve">What difference did the </w:t>
      </w:r>
      <w:r w:rsidR="00E104E6" w:rsidRPr="00374F04">
        <w:rPr>
          <w:rFonts w:asciiTheme="minorHAnsi" w:hAnsiTheme="minorHAnsi" w:cstheme="minorHAnsi"/>
          <w:sz w:val="20"/>
          <w:szCs w:val="22"/>
          <w:lang w:val="en-AU"/>
        </w:rPr>
        <w:t>SOE</w:t>
      </w:r>
      <w:r w:rsidRPr="00374F04">
        <w:rPr>
          <w:rFonts w:asciiTheme="minorHAnsi" w:hAnsiTheme="minorHAnsi" w:cstheme="minorHAnsi"/>
          <w:sz w:val="20"/>
          <w:szCs w:val="22"/>
          <w:lang w:val="en-AU"/>
        </w:rPr>
        <w:t xml:space="preserve"> make towards achieving greater efficiency and effectiveness in the administration and enforcement of regulation? </w:t>
      </w:r>
    </w:p>
    <w:p w14:paraId="1247AFA6" w14:textId="531BB340" w:rsidR="0077319E" w:rsidRPr="00374F04" w:rsidRDefault="0077319E" w:rsidP="0077319E">
      <w:pPr>
        <w:spacing w:line="276" w:lineRule="auto"/>
        <w:rPr>
          <w:rFonts w:asciiTheme="minorHAnsi" w:hAnsiTheme="minorHAnsi" w:cstheme="minorHAnsi"/>
          <w:sz w:val="20"/>
          <w:szCs w:val="22"/>
          <w:lang w:val="en-AU"/>
        </w:rPr>
      </w:pPr>
      <w:bookmarkStart w:id="12" w:name="_Hlk532460156"/>
      <w:r w:rsidRPr="00374F04">
        <w:rPr>
          <w:rFonts w:asciiTheme="minorHAnsi" w:hAnsiTheme="minorHAnsi" w:cstheme="minorHAnsi"/>
          <w:sz w:val="20"/>
          <w:szCs w:val="22"/>
          <w:lang w:val="en-AU"/>
        </w:rPr>
        <w:t xml:space="preserve">The evaluation </w:t>
      </w:r>
      <w:r w:rsidR="007211CE">
        <w:rPr>
          <w:rFonts w:asciiTheme="minorHAnsi" w:hAnsiTheme="minorHAnsi" w:cstheme="minorHAnsi"/>
          <w:sz w:val="20"/>
          <w:szCs w:val="22"/>
          <w:lang w:val="en-AU"/>
        </w:rPr>
        <w:t>involved a combination</w:t>
      </w:r>
      <w:r w:rsidRPr="00374F04">
        <w:rPr>
          <w:rFonts w:asciiTheme="minorHAnsi" w:hAnsiTheme="minorHAnsi" w:cstheme="minorHAnsi"/>
          <w:sz w:val="20"/>
          <w:szCs w:val="22"/>
          <w:lang w:val="en-AU"/>
        </w:rPr>
        <w:t xml:space="preserve"> of performance data and qualitative interviews with senior managers and reviewed a range of sources to assess its performance against the improvement targets</w:t>
      </w:r>
      <w:r w:rsidR="00016C58">
        <w:rPr>
          <w:rFonts w:asciiTheme="minorHAnsi" w:hAnsiTheme="minorHAnsi" w:cstheme="minorHAnsi"/>
          <w:sz w:val="20"/>
          <w:szCs w:val="22"/>
          <w:lang w:val="en-AU"/>
        </w:rPr>
        <w:t>, including:</w:t>
      </w:r>
    </w:p>
    <w:p w14:paraId="632A1EB0" w14:textId="77777777" w:rsidR="0077319E" w:rsidRPr="00374F04" w:rsidRDefault="0077319E" w:rsidP="00893511">
      <w:pPr>
        <w:numPr>
          <w:ilvl w:val="0"/>
          <w:numId w:val="17"/>
        </w:numPr>
        <w:spacing w:line="240" w:lineRule="auto"/>
        <w:rPr>
          <w:rFonts w:asciiTheme="minorHAnsi" w:hAnsiTheme="minorHAnsi" w:cstheme="minorHAnsi"/>
          <w:sz w:val="20"/>
          <w:szCs w:val="22"/>
          <w:lang w:val="en-AU"/>
        </w:rPr>
      </w:pPr>
      <w:r w:rsidRPr="00374F04">
        <w:rPr>
          <w:rFonts w:asciiTheme="minorHAnsi" w:hAnsiTheme="minorHAnsi" w:cstheme="minorHAnsi"/>
          <w:sz w:val="20"/>
          <w:szCs w:val="22"/>
          <w:lang w:val="en-AU"/>
        </w:rPr>
        <w:t xml:space="preserve">Case studies from program managers </w:t>
      </w:r>
    </w:p>
    <w:p w14:paraId="61E8264B" w14:textId="7A260477" w:rsidR="0077319E" w:rsidRPr="00374F04" w:rsidRDefault="00365801" w:rsidP="00893511">
      <w:pPr>
        <w:numPr>
          <w:ilvl w:val="0"/>
          <w:numId w:val="17"/>
        </w:numPr>
        <w:spacing w:line="240" w:lineRule="auto"/>
        <w:rPr>
          <w:rFonts w:asciiTheme="minorHAnsi" w:hAnsiTheme="minorHAnsi" w:cstheme="minorHAnsi"/>
          <w:sz w:val="20"/>
          <w:szCs w:val="22"/>
          <w:lang w:val="en-AU"/>
        </w:rPr>
      </w:pPr>
      <w:r>
        <w:rPr>
          <w:rFonts w:asciiTheme="minorHAnsi" w:hAnsiTheme="minorHAnsi" w:cstheme="minorHAnsi"/>
          <w:sz w:val="20"/>
          <w:szCs w:val="22"/>
          <w:lang w:val="en-AU"/>
        </w:rPr>
        <w:t>Policy reports and i</w:t>
      </w:r>
      <w:r w:rsidR="0077319E" w:rsidRPr="00374F04">
        <w:rPr>
          <w:rFonts w:asciiTheme="minorHAnsi" w:hAnsiTheme="minorHAnsi" w:cstheme="minorHAnsi"/>
          <w:sz w:val="20"/>
          <w:szCs w:val="22"/>
          <w:lang w:val="en-AU"/>
        </w:rPr>
        <w:t xml:space="preserve">nternal project material </w:t>
      </w:r>
    </w:p>
    <w:p w14:paraId="2211FBB7" w14:textId="2CC55017" w:rsidR="0077319E" w:rsidRPr="00374F04" w:rsidRDefault="007211CE" w:rsidP="00893511">
      <w:pPr>
        <w:numPr>
          <w:ilvl w:val="0"/>
          <w:numId w:val="17"/>
        </w:numPr>
        <w:spacing w:line="240" w:lineRule="auto"/>
        <w:rPr>
          <w:rFonts w:asciiTheme="minorHAnsi" w:hAnsiTheme="minorHAnsi" w:cstheme="minorHAnsi"/>
          <w:sz w:val="20"/>
          <w:szCs w:val="22"/>
          <w:lang w:val="en-AU"/>
        </w:rPr>
      </w:pPr>
      <w:r>
        <w:rPr>
          <w:rFonts w:asciiTheme="minorHAnsi" w:hAnsiTheme="minorHAnsi" w:cstheme="minorHAnsi"/>
          <w:sz w:val="20"/>
          <w:szCs w:val="22"/>
          <w:lang w:val="en-AU"/>
        </w:rPr>
        <w:t xml:space="preserve">The </w:t>
      </w:r>
      <w:r w:rsidR="0077319E" w:rsidRPr="00374F04">
        <w:rPr>
          <w:rFonts w:asciiTheme="minorHAnsi" w:hAnsiTheme="minorHAnsi" w:cstheme="minorHAnsi"/>
          <w:sz w:val="20"/>
          <w:szCs w:val="22"/>
          <w:lang w:val="en-AU"/>
        </w:rPr>
        <w:t xml:space="preserve">Biosecurity Evidence Framework (BEF) </w:t>
      </w:r>
    </w:p>
    <w:p w14:paraId="26F2679C" w14:textId="77777777" w:rsidR="0077319E" w:rsidRPr="00374F04" w:rsidRDefault="0077319E" w:rsidP="00893511">
      <w:pPr>
        <w:numPr>
          <w:ilvl w:val="0"/>
          <w:numId w:val="17"/>
        </w:numPr>
        <w:spacing w:line="240" w:lineRule="auto"/>
        <w:rPr>
          <w:rFonts w:asciiTheme="minorHAnsi" w:hAnsiTheme="minorHAnsi" w:cstheme="minorHAnsi"/>
          <w:sz w:val="20"/>
          <w:szCs w:val="22"/>
          <w:lang w:val="en-AU"/>
        </w:rPr>
      </w:pPr>
      <w:r w:rsidRPr="00374F04">
        <w:rPr>
          <w:rFonts w:asciiTheme="minorHAnsi" w:hAnsiTheme="minorHAnsi" w:cstheme="minorHAnsi"/>
          <w:sz w:val="20"/>
          <w:szCs w:val="22"/>
          <w:lang w:val="en-AU"/>
        </w:rPr>
        <w:t xml:space="preserve">Annual performance report </w:t>
      </w:r>
    </w:p>
    <w:p w14:paraId="3C7D9421" w14:textId="6D038422" w:rsidR="0077319E" w:rsidRPr="00374F04" w:rsidRDefault="0077319E" w:rsidP="00893511">
      <w:pPr>
        <w:numPr>
          <w:ilvl w:val="0"/>
          <w:numId w:val="17"/>
        </w:numPr>
        <w:spacing w:line="240" w:lineRule="auto"/>
        <w:rPr>
          <w:rFonts w:asciiTheme="minorHAnsi" w:hAnsiTheme="minorHAnsi" w:cstheme="minorHAnsi"/>
          <w:sz w:val="20"/>
          <w:szCs w:val="22"/>
          <w:lang w:val="en-AU"/>
        </w:rPr>
      </w:pPr>
      <w:r w:rsidRPr="00374F04">
        <w:rPr>
          <w:rFonts w:asciiTheme="minorHAnsi" w:hAnsiTheme="minorHAnsi" w:cstheme="minorHAnsi"/>
          <w:sz w:val="20"/>
          <w:szCs w:val="22"/>
          <w:lang w:val="en-AU"/>
        </w:rPr>
        <w:t>Interviews with senior manager</w:t>
      </w:r>
      <w:r w:rsidR="00476B0A">
        <w:rPr>
          <w:rFonts w:asciiTheme="minorHAnsi" w:hAnsiTheme="minorHAnsi" w:cstheme="minorHAnsi"/>
          <w:sz w:val="20"/>
          <w:szCs w:val="22"/>
          <w:lang w:val="en-AU"/>
        </w:rPr>
        <w:t>s</w:t>
      </w:r>
      <w:r w:rsidRPr="00374F04">
        <w:rPr>
          <w:rFonts w:asciiTheme="minorHAnsi" w:hAnsiTheme="minorHAnsi" w:cstheme="minorHAnsi"/>
          <w:sz w:val="20"/>
          <w:szCs w:val="22"/>
          <w:lang w:val="en-AU"/>
        </w:rPr>
        <w:t xml:space="preserve"> </w:t>
      </w:r>
    </w:p>
    <w:p w14:paraId="38A88244" w14:textId="77777777" w:rsidR="0077319E" w:rsidRPr="00374F04" w:rsidRDefault="0077319E" w:rsidP="00893511">
      <w:pPr>
        <w:numPr>
          <w:ilvl w:val="0"/>
          <w:numId w:val="17"/>
        </w:numPr>
        <w:spacing w:line="240" w:lineRule="auto"/>
        <w:rPr>
          <w:rFonts w:asciiTheme="minorHAnsi" w:hAnsiTheme="minorHAnsi" w:cstheme="minorHAnsi"/>
          <w:sz w:val="20"/>
          <w:szCs w:val="22"/>
          <w:lang w:val="en-AU"/>
        </w:rPr>
      </w:pPr>
      <w:r w:rsidRPr="00374F04">
        <w:rPr>
          <w:rFonts w:asciiTheme="minorHAnsi" w:hAnsiTheme="minorHAnsi" w:cstheme="minorHAnsi"/>
          <w:sz w:val="20"/>
          <w:szCs w:val="22"/>
          <w:lang w:val="en-AU"/>
        </w:rPr>
        <w:t xml:space="preserve">Evaluation reports and independent reviews </w:t>
      </w:r>
    </w:p>
    <w:bookmarkEnd w:id="12"/>
    <w:p w14:paraId="489CF60A" w14:textId="5BA4D66F" w:rsidR="0077319E" w:rsidRPr="00374F04" w:rsidRDefault="0077319E" w:rsidP="0077319E">
      <w:pPr>
        <w:spacing w:line="276" w:lineRule="auto"/>
        <w:rPr>
          <w:rFonts w:asciiTheme="minorHAnsi" w:hAnsiTheme="minorHAnsi" w:cstheme="minorHAnsi"/>
          <w:sz w:val="20"/>
          <w:szCs w:val="22"/>
        </w:rPr>
      </w:pPr>
      <w:r w:rsidRPr="00374F04">
        <w:rPr>
          <w:rFonts w:asciiTheme="minorHAnsi" w:hAnsiTheme="minorHAnsi" w:cstheme="minorHAnsi"/>
          <w:sz w:val="20"/>
          <w:szCs w:val="22"/>
        </w:rPr>
        <w:t xml:space="preserve">These sources of data </w:t>
      </w:r>
      <w:r w:rsidR="007211CE">
        <w:rPr>
          <w:rFonts w:asciiTheme="minorHAnsi" w:hAnsiTheme="minorHAnsi" w:cstheme="minorHAnsi"/>
          <w:sz w:val="20"/>
          <w:szCs w:val="22"/>
        </w:rPr>
        <w:t>enabled</w:t>
      </w:r>
      <w:r w:rsidRPr="00374F04">
        <w:rPr>
          <w:rFonts w:asciiTheme="minorHAnsi" w:hAnsiTheme="minorHAnsi" w:cstheme="minorHAnsi"/>
          <w:sz w:val="20"/>
          <w:szCs w:val="22"/>
        </w:rPr>
        <w:t xml:space="preserve"> </w:t>
      </w:r>
      <w:r w:rsidR="00476B0A">
        <w:rPr>
          <w:rFonts w:asciiTheme="minorHAnsi" w:hAnsiTheme="minorHAnsi" w:cstheme="minorHAnsi"/>
          <w:sz w:val="20"/>
          <w:szCs w:val="22"/>
        </w:rPr>
        <w:t>the evaluation team</w:t>
      </w:r>
      <w:r w:rsidR="00476B0A" w:rsidRPr="00374F04">
        <w:rPr>
          <w:rFonts w:asciiTheme="minorHAnsi" w:hAnsiTheme="minorHAnsi" w:cstheme="minorHAnsi"/>
          <w:sz w:val="20"/>
          <w:szCs w:val="22"/>
        </w:rPr>
        <w:t xml:space="preserve"> </w:t>
      </w:r>
      <w:r w:rsidR="007211CE">
        <w:rPr>
          <w:rFonts w:asciiTheme="minorHAnsi" w:hAnsiTheme="minorHAnsi" w:cstheme="minorHAnsi"/>
          <w:sz w:val="20"/>
          <w:szCs w:val="22"/>
        </w:rPr>
        <w:t xml:space="preserve">to </w:t>
      </w:r>
      <w:r w:rsidRPr="00374F04">
        <w:rPr>
          <w:rFonts w:asciiTheme="minorHAnsi" w:hAnsiTheme="minorHAnsi" w:cstheme="minorHAnsi"/>
          <w:sz w:val="20"/>
          <w:szCs w:val="22"/>
        </w:rPr>
        <w:t xml:space="preserve">make an assessment </w:t>
      </w:r>
      <w:r w:rsidR="00365801">
        <w:rPr>
          <w:rFonts w:asciiTheme="minorHAnsi" w:hAnsiTheme="minorHAnsi" w:cstheme="minorHAnsi"/>
          <w:sz w:val="20"/>
          <w:szCs w:val="22"/>
        </w:rPr>
        <w:t>as to</w:t>
      </w:r>
      <w:r w:rsidRPr="00374F04">
        <w:rPr>
          <w:rFonts w:asciiTheme="minorHAnsi" w:hAnsiTheme="minorHAnsi" w:cstheme="minorHAnsi"/>
          <w:sz w:val="20"/>
          <w:szCs w:val="22"/>
        </w:rPr>
        <w:t xml:space="preserve"> how the regulator prepared the </w:t>
      </w:r>
      <w:r w:rsidR="00E104E6" w:rsidRPr="00374F04">
        <w:rPr>
          <w:rFonts w:asciiTheme="minorHAnsi" w:hAnsiTheme="minorHAnsi" w:cstheme="minorHAnsi"/>
          <w:sz w:val="20"/>
          <w:szCs w:val="22"/>
        </w:rPr>
        <w:t>SOE</w:t>
      </w:r>
      <w:r w:rsidRPr="00374F04">
        <w:rPr>
          <w:rFonts w:asciiTheme="minorHAnsi" w:hAnsiTheme="minorHAnsi" w:cstheme="minorHAnsi"/>
          <w:sz w:val="20"/>
          <w:szCs w:val="22"/>
        </w:rPr>
        <w:t xml:space="preserve"> and </w:t>
      </w:r>
      <w:r w:rsidR="004C3FD9" w:rsidRPr="00374F04">
        <w:rPr>
          <w:rFonts w:asciiTheme="minorHAnsi" w:hAnsiTheme="minorHAnsi" w:cstheme="minorHAnsi"/>
          <w:sz w:val="20"/>
          <w:szCs w:val="22"/>
        </w:rPr>
        <w:t>SOE</w:t>
      </w:r>
      <w:r w:rsidR="004C3FD9">
        <w:rPr>
          <w:rFonts w:asciiTheme="minorHAnsi" w:hAnsiTheme="minorHAnsi" w:cstheme="minorHAnsi"/>
          <w:sz w:val="20"/>
          <w:szCs w:val="22"/>
        </w:rPr>
        <w:t xml:space="preserve"> Response L</w:t>
      </w:r>
      <w:r w:rsidR="004C3FD9" w:rsidRPr="00374F04">
        <w:rPr>
          <w:rFonts w:asciiTheme="minorHAnsi" w:hAnsiTheme="minorHAnsi" w:cstheme="minorHAnsi"/>
          <w:sz w:val="20"/>
          <w:szCs w:val="22"/>
        </w:rPr>
        <w:t>etter</w:t>
      </w:r>
      <w:r w:rsidR="007211CE">
        <w:rPr>
          <w:rFonts w:asciiTheme="minorHAnsi" w:hAnsiTheme="minorHAnsi" w:cstheme="minorHAnsi"/>
          <w:sz w:val="20"/>
          <w:szCs w:val="22"/>
        </w:rPr>
        <w:t xml:space="preserve"> and </w:t>
      </w:r>
      <w:r w:rsidRPr="00374F04">
        <w:rPr>
          <w:rFonts w:asciiTheme="minorHAnsi" w:hAnsiTheme="minorHAnsi" w:cstheme="minorHAnsi"/>
          <w:sz w:val="20"/>
          <w:szCs w:val="22"/>
        </w:rPr>
        <w:t xml:space="preserve">provided information on the status and quality of implementation of the improvements in the </w:t>
      </w:r>
      <w:r w:rsidR="00E104E6" w:rsidRPr="00374F04">
        <w:rPr>
          <w:rFonts w:asciiTheme="minorHAnsi" w:hAnsiTheme="minorHAnsi" w:cstheme="minorHAnsi"/>
          <w:sz w:val="20"/>
          <w:szCs w:val="22"/>
        </w:rPr>
        <w:t>SOE</w:t>
      </w:r>
      <w:r w:rsidR="004C3FD9">
        <w:rPr>
          <w:rFonts w:asciiTheme="minorHAnsi" w:hAnsiTheme="minorHAnsi" w:cstheme="minorHAnsi"/>
          <w:sz w:val="20"/>
          <w:szCs w:val="22"/>
        </w:rPr>
        <w:t xml:space="preserve"> Response L</w:t>
      </w:r>
      <w:r w:rsidR="008B72EB" w:rsidRPr="00374F04">
        <w:rPr>
          <w:rFonts w:asciiTheme="minorHAnsi" w:hAnsiTheme="minorHAnsi" w:cstheme="minorHAnsi"/>
          <w:sz w:val="20"/>
          <w:szCs w:val="22"/>
        </w:rPr>
        <w:t xml:space="preserve">etter. </w:t>
      </w:r>
      <w:bookmarkStart w:id="13" w:name="_Hlk532460207"/>
      <w:r w:rsidR="008B72EB" w:rsidRPr="00374F04">
        <w:rPr>
          <w:rFonts w:asciiTheme="minorHAnsi" w:hAnsiTheme="minorHAnsi" w:cstheme="minorHAnsi"/>
          <w:sz w:val="20"/>
          <w:szCs w:val="22"/>
        </w:rPr>
        <w:t xml:space="preserve">Senior managers and </w:t>
      </w:r>
      <w:r w:rsidRPr="00374F04">
        <w:rPr>
          <w:rFonts w:asciiTheme="minorHAnsi" w:hAnsiTheme="minorHAnsi" w:cstheme="minorHAnsi"/>
          <w:sz w:val="20"/>
          <w:szCs w:val="22"/>
        </w:rPr>
        <w:t>program leaders were interviewed to</w:t>
      </w:r>
      <w:r w:rsidR="007211CE">
        <w:rPr>
          <w:rFonts w:asciiTheme="minorHAnsi" w:hAnsiTheme="minorHAnsi" w:cstheme="minorHAnsi"/>
          <w:sz w:val="20"/>
          <w:szCs w:val="22"/>
        </w:rPr>
        <w:t xml:space="preserve"> obtain </w:t>
      </w:r>
      <w:r w:rsidRPr="00374F04">
        <w:rPr>
          <w:rFonts w:asciiTheme="minorHAnsi" w:hAnsiTheme="minorHAnsi" w:cstheme="minorHAnsi"/>
          <w:sz w:val="20"/>
          <w:szCs w:val="22"/>
        </w:rPr>
        <w:t>progress update</w:t>
      </w:r>
      <w:r w:rsidR="003E7BC5">
        <w:rPr>
          <w:rFonts w:asciiTheme="minorHAnsi" w:hAnsiTheme="minorHAnsi" w:cstheme="minorHAnsi"/>
          <w:sz w:val="20"/>
          <w:szCs w:val="22"/>
        </w:rPr>
        <w:t>s</w:t>
      </w:r>
      <w:r w:rsidRPr="00374F04">
        <w:rPr>
          <w:rFonts w:asciiTheme="minorHAnsi" w:hAnsiTheme="minorHAnsi" w:cstheme="minorHAnsi"/>
          <w:sz w:val="20"/>
          <w:szCs w:val="22"/>
        </w:rPr>
        <w:t xml:space="preserve"> on the improvements. </w:t>
      </w:r>
      <w:bookmarkEnd w:id="13"/>
      <w:r w:rsidRPr="00374F04">
        <w:rPr>
          <w:rFonts w:asciiTheme="minorHAnsi" w:hAnsiTheme="minorHAnsi" w:cstheme="minorHAnsi"/>
          <w:sz w:val="20"/>
          <w:szCs w:val="22"/>
        </w:rPr>
        <w:t>The evaluation was conducted by the Regulatory Improvement team</w:t>
      </w:r>
      <w:r w:rsidR="00476B0A">
        <w:rPr>
          <w:rFonts w:asciiTheme="minorHAnsi" w:hAnsiTheme="minorHAnsi" w:cstheme="minorHAnsi"/>
          <w:sz w:val="20"/>
          <w:szCs w:val="22"/>
        </w:rPr>
        <w:t xml:space="preserve"> within the Biosecurity and Agriculture Services </w:t>
      </w:r>
      <w:r w:rsidR="00336FEF">
        <w:rPr>
          <w:rFonts w:asciiTheme="minorHAnsi" w:hAnsiTheme="minorHAnsi" w:cstheme="minorHAnsi"/>
          <w:sz w:val="20"/>
          <w:szCs w:val="22"/>
        </w:rPr>
        <w:t>branch</w:t>
      </w:r>
      <w:r w:rsidR="00016C58">
        <w:rPr>
          <w:rFonts w:asciiTheme="minorHAnsi" w:hAnsiTheme="minorHAnsi" w:cstheme="minorHAnsi"/>
          <w:sz w:val="20"/>
          <w:szCs w:val="22"/>
        </w:rPr>
        <w:t xml:space="preserve">. This team </w:t>
      </w:r>
      <w:r w:rsidRPr="00374F04">
        <w:rPr>
          <w:rFonts w:asciiTheme="minorHAnsi" w:hAnsiTheme="minorHAnsi" w:cstheme="minorHAnsi"/>
          <w:sz w:val="20"/>
          <w:szCs w:val="22"/>
        </w:rPr>
        <w:t xml:space="preserve">is structurally independent from the team that developed the </w:t>
      </w:r>
      <w:r w:rsidR="00E104E6" w:rsidRPr="00374F04">
        <w:rPr>
          <w:rFonts w:asciiTheme="minorHAnsi" w:hAnsiTheme="minorHAnsi" w:cstheme="minorHAnsi"/>
          <w:sz w:val="20"/>
          <w:szCs w:val="22"/>
        </w:rPr>
        <w:t>SOE</w:t>
      </w:r>
      <w:r w:rsidR="00365801">
        <w:rPr>
          <w:rFonts w:asciiTheme="minorHAnsi" w:hAnsiTheme="minorHAnsi" w:cstheme="minorHAnsi"/>
          <w:sz w:val="20"/>
          <w:szCs w:val="22"/>
        </w:rPr>
        <w:t xml:space="preserve"> and </w:t>
      </w:r>
      <w:r w:rsidRPr="00374F04">
        <w:rPr>
          <w:rFonts w:asciiTheme="minorHAnsi" w:hAnsiTheme="minorHAnsi" w:cstheme="minorHAnsi"/>
          <w:sz w:val="20"/>
          <w:szCs w:val="22"/>
        </w:rPr>
        <w:t>provide</w:t>
      </w:r>
      <w:r w:rsidR="00365801">
        <w:rPr>
          <w:rFonts w:asciiTheme="minorHAnsi" w:hAnsiTheme="minorHAnsi" w:cstheme="minorHAnsi"/>
          <w:sz w:val="20"/>
          <w:szCs w:val="22"/>
        </w:rPr>
        <w:t>d</w:t>
      </w:r>
      <w:r w:rsidRPr="00374F04">
        <w:rPr>
          <w:rFonts w:asciiTheme="minorHAnsi" w:hAnsiTheme="minorHAnsi" w:cstheme="minorHAnsi"/>
          <w:sz w:val="20"/>
          <w:szCs w:val="22"/>
        </w:rPr>
        <w:t xml:space="preserve"> a degree of </w:t>
      </w:r>
      <w:r w:rsidR="007211CE">
        <w:rPr>
          <w:rFonts w:asciiTheme="minorHAnsi" w:hAnsiTheme="minorHAnsi" w:cstheme="minorHAnsi"/>
          <w:sz w:val="20"/>
          <w:szCs w:val="22"/>
        </w:rPr>
        <w:t>independence</w:t>
      </w:r>
      <w:r w:rsidRPr="00374F04">
        <w:rPr>
          <w:rFonts w:asciiTheme="minorHAnsi" w:hAnsiTheme="minorHAnsi" w:cstheme="minorHAnsi"/>
          <w:sz w:val="20"/>
          <w:szCs w:val="22"/>
        </w:rPr>
        <w:t xml:space="preserve"> in the evaluation process. </w:t>
      </w:r>
    </w:p>
    <w:p w14:paraId="4E05CD72" w14:textId="59C0BDB1" w:rsidR="00E756A5" w:rsidRPr="00374F04" w:rsidRDefault="00E756A5" w:rsidP="003E09AA">
      <w:pPr>
        <w:pStyle w:val="Heading1"/>
        <w:rPr>
          <w:rFonts w:asciiTheme="minorHAnsi" w:hAnsiTheme="minorHAnsi" w:cstheme="minorHAnsi"/>
          <w:sz w:val="24"/>
          <w:szCs w:val="22"/>
        </w:rPr>
      </w:pPr>
      <w:bookmarkStart w:id="14" w:name="_Toc5254908"/>
      <w:r w:rsidRPr="00374F04">
        <w:rPr>
          <w:rFonts w:asciiTheme="minorHAnsi" w:hAnsiTheme="minorHAnsi" w:cstheme="minorHAnsi"/>
          <w:sz w:val="24"/>
          <w:szCs w:val="22"/>
        </w:rPr>
        <w:t>Process</w:t>
      </w:r>
      <w:r w:rsidR="00DE3092" w:rsidRPr="00374F04">
        <w:rPr>
          <w:rFonts w:asciiTheme="minorHAnsi" w:hAnsiTheme="minorHAnsi" w:cstheme="minorHAnsi"/>
          <w:sz w:val="24"/>
          <w:szCs w:val="22"/>
        </w:rPr>
        <w:t xml:space="preserve"> </w:t>
      </w:r>
      <w:r w:rsidRPr="00374F04">
        <w:rPr>
          <w:rFonts w:asciiTheme="minorHAnsi" w:hAnsiTheme="minorHAnsi" w:cstheme="minorHAnsi"/>
          <w:sz w:val="24"/>
          <w:szCs w:val="22"/>
        </w:rPr>
        <w:t>evaluation</w:t>
      </w:r>
      <w:bookmarkEnd w:id="14"/>
    </w:p>
    <w:p w14:paraId="4DDCBACE" w14:textId="733DEBC3" w:rsidR="0077319E" w:rsidRPr="001E0075" w:rsidRDefault="00335B30" w:rsidP="001E0075">
      <w:pPr>
        <w:pStyle w:val="Heading2"/>
        <w:numPr>
          <w:ilvl w:val="0"/>
          <w:numId w:val="0"/>
        </w:numPr>
        <w:ind w:left="360" w:hanging="360"/>
        <w:rPr>
          <w:rFonts w:asciiTheme="minorHAnsi" w:hAnsiTheme="minorHAnsi" w:cstheme="minorHAnsi"/>
          <w:sz w:val="22"/>
        </w:rPr>
      </w:pPr>
      <w:bookmarkStart w:id="15" w:name="_Toc881030"/>
      <w:bookmarkStart w:id="16" w:name="_Toc5254909"/>
      <w:r w:rsidRPr="001E0075">
        <w:rPr>
          <w:rFonts w:asciiTheme="minorHAnsi" w:hAnsiTheme="minorHAnsi" w:cstheme="minorHAnsi"/>
          <w:sz w:val="22"/>
        </w:rPr>
        <w:t>Key Findings</w:t>
      </w:r>
      <w:bookmarkEnd w:id="15"/>
      <w:bookmarkEnd w:id="16"/>
      <w:r w:rsidRPr="001E0075">
        <w:rPr>
          <w:rFonts w:asciiTheme="minorHAnsi" w:hAnsiTheme="minorHAnsi" w:cstheme="minorHAnsi"/>
          <w:sz w:val="22"/>
        </w:rPr>
        <w:t xml:space="preserve"> </w:t>
      </w:r>
    </w:p>
    <w:p w14:paraId="3ABFCFE1" w14:textId="5447ED82" w:rsidR="0077319E" w:rsidRDefault="0077319E" w:rsidP="0077319E">
      <w:pPr>
        <w:spacing w:line="276" w:lineRule="auto"/>
        <w:rPr>
          <w:rFonts w:asciiTheme="minorHAnsi" w:hAnsiTheme="minorHAnsi" w:cstheme="minorHAnsi"/>
          <w:sz w:val="20"/>
          <w:szCs w:val="22"/>
        </w:rPr>
      </w:pPr>
      <w:r w:rsidRPr="00374F04">
        <w:rPr>
          <w:rFonts w:asciiTheme="minorHAnsi" w:hAnsiTheme="minorHAnsi" w:cstheme="minorHAnsi"/>
          <w:sz w:val="20"/>
          <w:szCs w:val="22"/>
        </w:rPr>
        <w:t xml:space="preserve">Prior to the development of the </w:t>
      </w:r>
      <w:r w:rsidR="00E104E6" w:rsidRPr="00374F04">
        <w:rPr>
          <w:rFonts w:asciiTheme="minorHAnsi" w:hAnsiTheme="minorHAnsi" w:cstheme="minorHAnsi"/>
          <w:sz w:val="20"/>
          <w:szCs w:val="22"/>
        </w:rPr>
        <w:t>SOE</w:t>
      </w:r>
      <w:r w:rsidR="00090B99" w:rsidRPr="00374F04">
        <w:rPr>
          <w:rFonts w:asciiTheme="minorHAnsi" w:hAnsiTheme="minorHAnsi" w:cstheme="minorHAnsi"/>
          <w:sz w:val="20"/>
          <w:szCs w:val="22"/>
        </w:rPr>
        <w:t>,</w:t>
      </w:r>
      <w:r w:rsidRPr="00374F04">
        <w:rPr>
          <w:rFonts w:asciiTheme="minorHAnsi" w:hAnsiTheme="minorHAnsi" w:cstheme="minorHAnsi"/>
          <w:sz w:val="20"/>
          <w:szCs w:val="22"/>
        </w:rPr>
        <w:t xml:space="preserve"> Agriculture Victoria organised a joint information session with DTF </w:t>
      </w:r>
      <w:r w:rsidR="003B2984">
        <w:rPr>
          <w:rFonts w:asciiTheme="minorHAnsi" w:hAnsiTheme="minorHAnsi" w:cstheme="minorHAnsi"/>
          <w:sz w:val="20"/>
          <w:szCs w:val="22"/>
        </w:rPr>
        <w:t>regarding</w:t>
      </w:r>
      <w:r w:rsidRPr="00374F04">
        <w:rPr>
          <w:rFonts w:asciiTheme="minorHAnsi" w:hAnsiTheme="minorHAnsi" w:cstheme="minorHAnsi"/>
          <w:sz w:val="20"/>
          <w:szCs w:val="22"/>
        </w:rPr>
        <w:t xml:space="preserve"> the </w:t>
      </w:r>
      <w:r w:rsidR="00E104E6" w:rsidRPr="00374F04">
        <w:rPr>
          <w:rFonts w:asciiTheme="minorHAnsi" w:hAnsiTheme="minorHAnsi" w:cstheme="minorHAnsi"/>
          <w:sz w:val="20"/>
          <w:szCs w:val="22"/>
        </w:rPr>
        <w:t>SOE</w:t>
      </w:r>
      <w:r w:rsidR="00090B99" w:rsidRPr="00374F04">
        <w:rPr>
          <w:rFonts w:asciiTheme="minorHAnsi" w:hAnsiTheme="minorHAnsi" w:cstheme="minorHAnsi"/>
          <w:sz w:val="20"/>
          <w:szCs w:val="22"/>
        </w:rPr>
        <w:t xml:space="preserve"> </w:t>
      </w:r>
      <w:r w:rsidR="003B2984">
        <w:rPr>
          <w:rFonts w:asciiTheme="minorHAnsi" w:hAnsiTheme="minorHAnsi" w:cstheme="minorHAnsi"/>
          <w:sz w:val="20"/>
          <w:szCs w:val="22"/>
        </w:rPr>
        <w:t>f</w:t>
      </w:r>
      <w:r w:rsidRPr="00374F04">
        <w:rPr>
          <w:rFonts w:asciiTheme="minorHAnsi" w:hAnsiTheme="minorHAnsi" w:cstheme="minorHAnsi"/>
          <w:sz w:val="20"/>
          <w:szCs w:val="22"/>
        </w:rPr>
        <w:t xml:space="preserve">ramework requirements. The information session informed Agriculture Victoria of the activities </w:t>
      </w:r>
      <w:r w:rsidR="00335B30" w:rsidRPr="00374F04">
        <w:rPr>
          <w:rFonts w:asciiTheme="minorHAnsi" w:hAnsiTheme="minorHAnsi" w:cstheme="minorHAnsi"/>
          <w:sz w:val="20"/>
          <w:szCs w:val="22"/>
        </w:rPr>
        <w:t>needed to</w:t>
      </w:r>
      <w:r w:rsidRPr="00374F04">
        <w:rPr>
          <w:rFonts w:asciiTheme="minorHAnsi" w:hAnsiTheme="minorHAnsi" w:cstheme="minorHAnsi"/>
          <w:sz w:val="20"/>
          <w:szCs w:val="22"/>
        </w:rPr>
        <w:t xml:space="preserve"> meet the minimum standa</w:t>
      </w:r>
      <w:r w:rsidR="00335B30" w:rsidRPr="00374F04">
        <w:rPr>
          <w:rFonts w:asciiTheme="minorHAnsi" w:hAnsiTheme="minorHAnsi" w:cstheme="minorHAnsi"/>
          <w:sz w:val="20"/>
          <w:szCs w:val="22"/>
        </w:rPr>
        <w:t xml:space="preserve">rds of good regulatory practice, as well as </w:t>
      </w:r>
      <w:r w:rsidRPr="00374F04">
        <w:rPr>
          <w:rFonts w:asciiTheme="minorHAnsi" w:hAnsiTheme="minorHAnsi" w:cstheme="minorHAnsi"/>
          <w:sz w:val="20"/>
          <w:szCs w:val="22"/>
        </w:rPr>
        <w:t xml:space="preserve">provided guidance on developing performance improvements and targets for the </w:t>
      </w:r>
      <w:r w:rsidR="00E104E6" w:rsidRPr="00374F04">
        <w:rPr>
          <w:rFonts w:asciiTheme="minorHAnsi" w:hAnsiTheme="minorHAnsi" w:cstheme="minorHAnsi"/>
          <w:sz w:val="20"/>
          <w:szCs w:val="22"/>
        </w:rPr>
        <w:t>SOE</w:t>
      </w:r>
      <w:r w:rsidRPr="00374F04">
        <w:rPr>
          <w:rFonts w:asciiTheme="minorHAnsi" w:hAnsiTheme="minorHAnsi" w:cstheme="minorHAnsi"/>
          <w:sz w:val="20"/>
          <w:szCs w:val="22"/>
        </w:rPr>
        <w:t xml:space="preserve"> Response Letter. </w:t>
      </w:r>
    </w:p>
    <w:p w14:paraId="3BC08AE2" w14:textId="3847CFB5" w:rsidR="00576501" w:rsidRPr="00374F04" w:rsidRDefault="00335B30" w:rsidP="00576501">
      <w:pPr>
        <w:spacing w:line="276" w:lineRule="auto"/>
        <w:rPr>
          <w:rFonts w:asciiTheme="minorHAnsi" w:hAnsiTheme="minorHAnsi" w:cstheme="minorHAnsi"/>
          <w:sz w:val="20"/>
          <w:szCs w:val="22"/>
        </w:rPr>
      </w:pPr>
      <w:r w:rsidRPr="00374F04">
        <w:rPr>
          <w:rFonts w:asciiTheme="minorHAnsi" w:hAnsiTheme="minorHAnsi" w:cstheme="minorHAnsi"/>
          <w:sz w:val="20"/>
          <w:szCs w:val="22"/>
        </w:rPr>
        <w:t>Following the</w:t>
      </w:r>
      <w:r w:rsidR="0077319E" w:rsidRPr="00374F04">
        <w:rPr>
          <w:rFonts w:asciiTheme="minorHAnsi" w:hAnsiTheme="minorHAnsi" w:cstheme="minorHAnsi"/>
          <w:sz w:val="20"/>
          <w:szCs w:val="22"/>
        </w:rPr>
        <w:t xml:space="preserve"> information session</w:t>
      </w:r>
      <w:r w:rsidRPr="00374F04">
        <w:rPr>
          <w:rFonts w:asciiTheme="minorHAnsi" w:hAnsiTheme="minorHAnsi" w:cstheme="minorHAnsi"/>
          <w:sz w:val="20"/>
          <w:szCs w:val="22"/>
        </w:rPr>
        <w:t xml:space="preserve">, </w:t>
      </w:r>
      <w:r w:rsidR="0077319E" w:rsidRPr="00374F04">
        <w:rPr>
          <w:rFonts w:asciiTheme="minorHAnsi" w:hAnsiTheme="minorHAnsi" w:cstheme="minorHAnsi"/>
          <w:sz w:val="20"/>
          <w:szCs w:val="22"/>
        </w:rPr>
        <w:t>Agriculture Victoria form</w:t>
      </w:r>
      <w:r w:rsidRPr="00374F04">
        <w:rPr>
          <w:rFonts w:asciiTheme="minorHAnsi" w:hAnsiTheme="minorHAnsi" w:cstheme="minorHAnsi"/>
          <w:sz w:val="20"/>
          <w:szCs w:val="22"/>
        </w:rPr>
        <w:t>ed</w:t>
      </w:r>
      <w:r w:rsidR="0077319E" w:rsidRPr="00374F04">
        <w:rPr>
          <w:rFonts w:asciiTheme="minorHAnsi" w:hAnsiTheme="minorHAnsi" w:cstheme="minorHAnsi"/>
          <w:sz w:val="20"/>
          <w:szCs w:val="22"/>
        </w:rPr>
        <w:t xml:space="preserve"> an internal coordinating committee to oversee the coordination of </w:t>
      </w:r>
      <w:r w:rsidRPr="00374F04">
        <w:rPr>
          <w:rFonts w:asciiTheme="minorHAnsi" w:hAnsiTheme="minorHAnsi" w:cstheme="minorHAnsi"/>
          <w:sz w:val="20"/>
          <w:szCs w:val="22"/>
        </w:rPr>
        <w:t xml:space="preserve">the </w:t>
      </w:r>
      <w:r w:rsidR="0077319E" w:rsidRPr="00374F04">
        <w:rPr>
          <w:rFonts w:asciiTheme="minorHAnsi" w:hAnsiTheme="minorHAnsi" w:cstheme="minorHAnsi"/>
          <w:sz w:val="20"/>
          <w:szCs w:val="22"/>
        </w:rPr>
        <w:t xml:space="preserve">Agriculture Victoria </w:t>
      </w:r>
      <w:r w:rsidR="00E104E6" w:rsidRPr="00374F04">
        <w:rPr>
          <w:rFonts w:asciiTheme="minorHAnsi" w:hAnsiTheme="minorHAnsi" w:cstheme="minorHAnsi"/>
          <w:sz w:val="20"/>
          <w:szCs w:val="22"/>
        </w:rPr>
        <w:t>SOE</w:t>
      </w:r>
      <w:r w:rsidR="0077319E" w:rsidRPr="00374F04">
        <w:rPr>
          <w:rFonts w:asciiTheme="minorHAnsi" w:hAnsiTheme="minorHAnsi" w:cstheme="minorHAnsi"/>
          <w:sz w:val="20"/>
          <w:szCs w:val="22"/>
        </w:rPr>
        <w:t xml:space="preserve">. </w:t>
      </w:r>
      <w:r w:rsidR="00576501" w:rsidRPr="00374F04">
        <w:rPr>
          <w:rFonts w:asciiTheme="minorHAnsi" w:hAnsiTheme="minorHAnsi" w:cstheme="minorHAnsi"/>
          <w:sz w:val="20"/>
          <w:szCs w:val="22"/>
        </w:rPr>
        <w:t>The coordinating committee convened a workshop to complete a Regulator Self-Assessment with senior program managers. A conceptual framework was developed based on the Self-Assessment to identify strategic priority areas for the SOE. The committee also drew on strategic documents and reports to assist with the Self-Assessment. The evaluati</w:t>
      </w:r>
      <w:r w:rsidR="00F032F5">
        <w:rPr>
          <w:rFonts w:asciiTheme="minorHAnsi" w:hAnsiTheme="minorHAnsi" w:cstheme="minorHAnsi"/>
          <w:sz w:val="20"/>
          <w:szCs w:val="22"/>
        </w:rPr>
        <w:t>on</w:t>
      </w:r>
      <w:r w:rsidR="00576501" w:rsidRPr="00374F04">
        <w:rPr>
          <w:rFonts w:asciiTheme="minorHAnsi" w:hAnsiTheme="minorHAnsi" w:cstheme="minorHAnsi"/>
          <w:sz w:val="20"/>
          <w:szCs w:val="22"/>
        </w:rPr>
        <w:t xml:space="preserve"> team found that the Regulator Self-Assessment significantly </w:t>
      </w:r>
      <w:r w:rsidR="00CA2493" w:rsidRPr="00374F04">
        <w:rPr>
          <w:rFonts w:asciiTheme="minorHAnsi" w:hAnsiTheme="minorHAnsi" w:cstheme="minorHAnsi"/>
          <w:sz w:val="20"/>
          <w:szCs w:val="22"/>
        </w:rPr>
        <w:t xml:space="preserve">informed </w:t>
      </w:r>
      <w:r w:rsidR="00CA2493">
        <w:rPr>
          <w:rFonts w:asciiTheme="minorHAnsi" w:hAnsiTheme="minorHAnsi" w:cstheme="minorHAnsi"/>
          <w:sz w:val="20"/>
          <w:szCs w:val="22"/>
        </w:rPr>
        <w:t>both</w:t>
      </w:r>
      <w:r w:rsidR="00576501">
        <w:rPr>
          <w:rFonts w:asciiTheme="minorHAnsi" w:hAnsiTheme="minorHAnsi" w:cstheme="minorHAnsi"/>
          <w:sz w:val="20"/>
          <w:szCs w:val="22"/>
        </w:rPr>
        <w:t xml:space="preserve"> </w:t>
      </w:r>
      <w:r w:rsidR="00CA2493">
        <w:rPr>
          <w:rFonts w:asciiTheme="minorHAnsi" w:hAnsiTheme="minorHAnsi" w:cstheme="minorHAnsi"/>
          <w:sz w:val="20"/>
          <w:szCs w:val="22"/>
        </w:rPr>
        <w:t xml:space="preserve">the </w:t>
      </w:r>
      <w:r w:rsidR="00576501">
        <w:rPr>
          <w:rFonts w:asciiTheme="minorHAnsi" w:hAnsiTheme="minorHAnsi" w:cstheme="minorHAnsi"/>
          <w:sz w:val="20"/>
          <w:szCs w:val="22"/>
        </w:rPr>
        <w:t xml:space="preserve">SOE and </w:t>
      </w:r>
      <w:r w:rsidR="00576501" w:rsidRPr="00374F04">
        <w:rPr>
          <w:rFonts w:asciiTheme="minorHAnsi" w:hAnsiTheme="minorHAnsi" w:cstheme="minorHAnsi"/>
          <w:sz w:val="20"/>
          <w:szCs w:val="22"/>
        </w:rPr>
        <w:t xml:space="preserve">the SOE Response Letter. </w:t>
      </w:r>
      <w:r w:rsidR="00CA2493" w:rsidRPr="00374F04">
        <w:rPr>
          <w:rFonts w:asciiTheme="minorHAnsi" w:hAnsiTheme="minorHAnsi" w:cstheme="minorHAnsi"/>
          <w:sz w:val="20"/>
          <w:szCs w:val="22"/>
        </w:rPr>
        <w:t>The Minister’s office</w:t>
      </w:r>
      <w:r w:rsidR="007211CE">
        <w:rPr>
          <w:rFonts w:asciiTheme="minorHAnsi" w:hAnsiTheme="minorHAnsi" w:cstheme="minorHAnsi"/>
          <w:sz w:val="20"/>
          <w:szCs w:val="22"/>
        </w:rPr>
        <w:t xml:space="preserve"> also</w:t>
      </w:r>
      <w:r w:rsidR="00CA2493" w:rsidRPr="00374F04">
        <w:rPr>
          <w:rFonts w:asciiTheme="minorHAnsi" w:hAnsiTheme="minorHAnsi" w:cstheme="minorHAnsi"/>
          <w:sz w:val="20"/>
          <w:szCs w:val="22"/>
        </w:rPr>
        <w:t xml:space="preserve"> played a key role</w:t>
      </w:r>
      <w:r w:rsidR="00321D5A">
        <w:rPr>
          <w:rFonts w:asciiTheme="minorHAnsi" w:hAnsiTheme="minorHAnsi" w:cstheme="minorHAnsi"/>
          <w:sz w:val="20"/>
          <w:szCs w:val="22"/>
        </w:rPr>
        <w:t>.</w:t>
      </w:r>
    </w:p>
    <w:p w14:paraId="6D62124E" w14:textId="2117B885" w:rsidR="00CA2493" w:rsidRPr="00374F04" w:rsidRDefault="00321D5A" w:rsidP="00CA2493">
      <w:pPr>
        <w:spacing w:line="276" w:lineRule="auto"/>
        <w:rPr>
          <w:rFonts w:asciiTheme="minorHAnsi" w:hAnsiTheme="minorHAnsi" w:cstheme="minorHAnsi"/>
          <w:sz w:val="20"/>
          <w:szCs w:val="22"/>
        </w:rPr>
      </w:pPr>
      <w:r>
        <w:rPr>
          <w:rFonts w:asciiTheme="minorHAnsi" w:hAnsiTheme="minorHAnsi" w:cstheme="minorHAnsi"/>
          <w:sz w:val="20"/>
          <w:szCs w:val="22"/>
        </w:rPr>
        <w:t>T</w:t>
      </w:r>
      <w:r w:rsidR="00CA2493" w:rsidRPr="00374F04">
        <w:rPr>
          <w:rFonts w:asciiTheme="minorHAnsi" w:hAnsiTheme="minorHAnsi" w:cstheme="minorHAnsi"/>
          <w:sz w:val="20"/>
          <w:szCs w:val="22"/>
        </w:rPr>
        <w:t xml:space="preserve">he evaluation found that the </w:t>
      </w:r>
      <w:r>
        <w:rPr>
          <w:rFonts w:asciiTheme="minorHAnsi" w:hAnsiTheme="minorHAnsi" w:cstheme="minorHAnsi"/>
          <w:sz w:val="20"/>
          <w:szCs w:val="22"/>
        </w:rPr>
        <w:t xml:space="preserve">internal coordinating </w:t>
      </w:r>
      <w:r w:rsidR="00CA2493" w:rsidRPr="00374F04">
        <w:rPr>
          <w:rFonts w:asciiTheme="minorHAnsi" w:hAnsiTheme="minorHAnsi" w:cstheme="minorHAnsi"/>
          <w:sz w:val="20"/>
          <w:szCs w:val="22"/>
        </w:rPr>
        <w:t xml:space="preserve">committee was instrumental in ensuring relevant stakeholders were informed about the SOE and consulted on various targets and decisions. The committee ensured that long-term </w:t>
      </w:r>
      <w:r w:rsidR="00CA2493" w:rsidRPr="00374F04">
        <w:rPr>
          <w:rFonts w:asciiTheme="minorHAnsi" w:hAnsiTheme="minorHAnsi" w:cstheme="minorHAnsi"/>
          <w:sz w:val="20"/>
          <w:szCs w:val="22"/>
        </w:rPr>
        <w:lastRenderedPageBreak/>
        <w:t>improvement goals were consistent with other departmental strategic documents</w:t>
      </w:r>
      <w:r w:rsidR="00862FC4">
        <w:rPr>
          <w:rFonts w:asciiTheme="minorHAnsi" w:hAnsiTheme="minorHAnsi" w:cstheme="minorHAnsi"/>
          <w:sz w:val="20"/>
          <w:szCs w:val="22"/>
        </w:rPr>
        <w:t>, such as the Agriculture Victoria strategy</w:t>
      </w:r>
      <w:r w:rsidR="00CA2493" w:rsidRPr="00374F04">
        <w:rPr>
          <w:rFonts w:asciiTheme="minorHAnsi" w:hAnsiTheme="minorHAnsi" w:cstheme="minorHAnsi"/>
          <w:sz w:val="20"/>
          <w:szCs w:val="22"/>
        </w:rPr>
        <w:t xml:space="preserve">. Once the SOE and </w:t>
      </w:r>
      <w:r w:rsidR="00016C58">
        <w:rPr>
          <w:rFonts w:asciiTheme="minorHAnsi" w:hAnsiTheme="minorHAnsi" w:cstheme="minorHAnsi"/>
          <w:sz w:val="20"/>
          <w:szCs w:val="22"/>
        </w:rPr>
        <w:t xml:space="preserve">SOE </w:t>
      </w:r>
      <w:r w:rsidR="00CA2493" w:rsidRPr="00374F04">
        <w:rPr>
          <w:rFonts w:asciiTheme="minorHAnsi" w:hAnsiTheme="minorHAnsi" w:cstheme="minorHAnsi"/>
          <w:sz w:val="20"/>
          <w:szCs w:val="22"/>
        </w:rPr>
        <w:t xml:space="preserve">Response </w:t>
      </w:r>
      <w:r w:rsidR="004C3FD9">
        <w:rPr>
          <w:rFonts w:asciiTheme="minorHAnsi" w:hAnsiTheme="minorHAnsi" w:cstheme="minorHAnsi"/>
          <w:sz w:val="20"/>
          <w:szCs w:val="22"/>
        </w:rPr>
        <w:t>L</w:t>
      </w:r>
      <w:r w:rsidR="00CA2493" w:rsidRPr="00374F04">
        <w:rPr>
          <w:rFonts w:asciiTheme="minorHAnsi" w:hAnsiTheme="minorHAnsi" w:cstheme="minorHAnsi"/>
          <w:sz w:val="20"/>
          <w:szCs w:val="22"/>
        </w:rPr>
        <w:t xml:space="preserve">etter were developed the committee </w:t>
      </w:r>
      <w:r w:rsidR="00365801">
        <w:rPr>
          <w:rFonts w:asciiTheme="minorHAnsi" w:hAnsiTheme="minorHAnsi" w:cstheme="minorHAnsi"/>
          <w:sz w:val="20"/>
          <w:szCs w:val="22"/>
        </w:rPr>
        <w:t>concluded</w:t>
      </w:r>
      <w:r w:rsidR="00016C58">
        <w:rPr>
          <w:rFonts w:asciiTheme="minorHAnsi" w:hAnsiTheme="minorHAnsi" w:cstheme="minorHAnsi"/>
          <w:sz w:val="20"/>
          <w:szCs w:val="22"/>
        </w:rPr>
        <w:t>.</w:t>
      </w:r>
      <w:r w:rsidR="00CA2493" w:rsidRPr="00374F04">
        <w:rPr>
          <w:rFonts w:asciiTheme="minorHAnsi" w:hAnsiTheme="minorHAnsi" w:cstheme="minorHAnsi"/>
          <w:sz w:val="20"/>
          <w:szCs w:val="22"/>
        </w:rPr>
        <w:t xml:space="preserve"> </w:t>
      </w:r>
    </w:p>
    <w:p w14:paraId="0DBC61AA" w14:textId="1A57970E" w:rsidR="00335B30" w:rsidRDefault="00CA2493" w:rsidP="0077319E">
      <w:pPr>
        <w:spacing w:line="276" w:lineRule="auto"/>
        <w:rPr>
          <w:rFonts w:asciiTheme="minorHAnsi" w:hAnsiTheme="minorHAnsi" w:cstheme="minorHAnsi"/>
          <w:sz w:val="20"/>
          <w:szCs w:val="22"/>
        </w:rPr>
      </w:pPr>
      <w:r>
        <w:rPr>
          <w:rFonts w:asciiTheme="minorHAnsi" w:hAnsiTheme="minorHAnsi" w:cstheme="minorHAnsi"/>
          <w:sz w:val="20"/>
          <w:szCs w:val="22"/>
        </w:rPr>
        <w:t>The evaluation found that Agriculture Victoria implemented the DTF guidelines in the development o</w:t>
      </w:r>
      <w:r w:rsidR="004C3FD9">
        <w:rPr>
          <w:rFonts w:asciiTheme="minorHAnsi" w:hAnsiTheme="minorHAnsi" w:cstheme="minorHAnsi"/>
          <w:sz w:val="20"/>
          <w:szCs w:val="22"/>
        </w:rPr>
        <w:t>f the SOE and the SOE Response L</w:t>
      </w:r>
      <w:r>
        <w:rPr>
          <w:rFonts w:asciiTheme="minorHAnsi" w:hAnsiTheme="minorHAnsi" w:cstheme="minorHAnsi"/>
          <w:sz w:val="20"/>
          <w:szCs w:val="22"/>
        </w:rPr>
        <w:t xml:space="preserve">etter. This included: </w:t>
      </w:r>
    </w:p>
    <w:p w14:paraId="7FEAA0DB" w14:textId="1E9D87A5" w:rsidR="00CA2493" w:rsidRDefault="00CA2493" w:rsidP="00336FEF">
      <w:pPr>
        <w:pStyle w:val="ListParagraph"/>
        <w:numPr>
          <w:ilvl w:val="0"/>
          <w:numId w:val="37"/>
        </w:numPr>
        <w:spacing w:line="276" w:lineRule="auto"/>
        <w:rPr>
          <w:rFonts w:asciiTheme="minorHAnsi" w:hAnsiTheme="minorHAnsi" w:cstheme="minorHAnsi"/>
          <w:sz w:val="20"/>
          <w:szCs w:val="22"/>
        </w:rPr>
      </w:pPr>
      <w:r>
        <w:rPr>
          <w:rFonts w:asciiTheme="minorHAnsi" w:hAnsiTheme="minorHAnsi" w:cstheme="minorHAnsi"/>
          <w:sz w:val="20"/>
          <w:szCs w:val="22"/>
        </w:rPr>
        <w:t xml:space="preserve">Consultation with the Minister’s office </w:t>
      </w:r>
      <w:r w:rsidR="00365801">
        <w:rPr>
          <w:rFonts w:asciiTheme="minorHAnsi" w:hAnsiTheme="minorHAnsi" w:cstheme="minorHAnsi"/>
          <w:sz w:val="20"/>
          <w:szCs w:val="22"/>
        </w:rPr>
        <w:t xml:space="preserve">in </w:t>
      </w:r>
      <w:r>
        <w:rPr>
          <w:rFonts w:asciiTheme="minorHAnsi" w:hAnsiTheme="minorHAnsi" w:cstheme="minorHAnsi"/>
          <w:sz w:val="20"/>
          <w:szCs w:val="22"/>
        </w:rPr>
        <w:t xml:space="preserve">the development of the SOE </w:t>
      </w:r>
    </w:p>
    <w:p w14:paraId="5E914710" w14:textId="1B09E59E" w:rsidR="00CA2493" w:rsidRDefault="00365801" w:rsidP="00336FEF">
      <w:pPr>
        <w:pStyle w:val="ListParagraph"/>
        <w:numPr>
          <w:ilvl w:val="0"/>
          <w:numId w:val="37"/>
        </w:numPr>
        <w:spacing w:line="276" w:lineRule="auto"/>
        <w:rPr>
          <w:rFonts w:asciiTheme="minorHAnsi" w:hAnsiTheme="minorHAnsi" w:cstheme="minorHAnsi"/>
          <w:sz w:val="20"/>
          <w:szCs w:val="22"/>
        </w:rPr>
      </w:pPr>
      <w:r>
        <w:rPr>
          <w:rFonts w:asciiTheme="minorHAnsi" w:hAnsiTheme="minorHAnsi" w:cstheme="minorHAnsi"/>
          <w:sz w:val="20"/>
          <w:szCs w:val="22"/>
        </w:rPr>
        <w:t xml:space="preserve">Development of </w:t>
      </w:r>
      <w:r w:rsidR="00CA2493">
        <w:rPr>
          <w:rFonts w:asciiTheme="minorHAnsi" w:hAnsiTheme="minorHAnsi" w:cstheme="minorHAnsi"/>
          <w:sz w:val="20"/>
          <w:szCs w:val="22"/>
        </w:rPr>
        <w:t xml:space="preserve">Regulator Self-Assessment and </w:t>
      </w:r>
      <w:r>
        <w:rPr>
          <w:rFonts w:asciiTheme="minorHAnsi" w:hAnsiTheme="minorHAnsi" w:cstheme="minorHAnsi"/>
          <w:sz w:val="20"/>
          <w:szCs w:val="22"/>
        </w:rPr>
        <w:t xml:space="preserve">consultation with </w:t>
      </w:r>
      <w:r w:rsidR="00CA2493">
        <w:rPr>
          <w:rFonts w:asciiTheme="minorHAnsi" w:hAnsiTheme="minorHAnsi" w:cstheme="minorHAnsi"/>
          <w:sz w:val="20"/>
          <w:szCs w:val="22"/>
        </w:rPr>
        <w:t xml:space="preserve">relevant stakeholders </w:t>
      </w:r>
    </w:p>
    <w:p w14:paraId="0F014E64" w14:textId="46658159" w:rsidR="00CA2493" w:rsidRDefault="00073DE7" w:rsidP="00336FEF">
      <w:pPr>
        <w:pStyle w:val="ListParagraph"/>
        <w:numPr>
          <w:ilvl w:val="0"/>
          <w:numId w:val="37"/>
        </w:numPr>
        <w:spacing w:line="276" w:lineRule="auto"/>
        <w:rPr>
          <w:rFonts w:asciiTheme="minorHAnsi" w:hAnsiTheme="minorHAnsi" w:cstheme="minorHAnsi"/>
          <w:sz w:val="20"/>
          <w:szCs w:val="22"/>
        </w:rPr>
      </w:pPr>
      <w:r>
        <w:rPr>
          <w:rFonts w:asciiTheme="minorHAnsi" w:hAnsiTheme="minorHAnsi" w:cstheme="minorHAnsi"/>
          <w:sz w:val="20"/>
          <w:szCs w:val="22"/>
        </w:rPr>
        <w:t>Publishing of t</w:t>
      </w:r>
      <w:r w:rsidR="00CA2493">
        <w:rPr>
          <w:rFonts w:asciiTheme="minorHAnsi" w:hAnsiTheme="minorHAnsi" w:cstheme="minorHAnsi"/>
          <w:sz w:val="20"/>
          <w:szCs w:val="22"/>
        </w:rPr>
        <w:t xml:space="preserve">he SOE and the SOE Response Letter on the departmental website </w:t>
      </w:r>
    </w:p>
    <w:p w14:paraId="03FCC73A" w14:textId="69544AAD" w:rsidR="0066446A" w:rsidRPr="0003367D" w:rsidRDefault="00073DE7" w:rsidP="00336FEF">
      <w:pPr>
        <w:pStyle w:val="ListParagraph"/>
        <w:numPr>
          <w:ilvl w:val="0"/>
          <w:numId w:val="37"/>
        </w:numPr>
        <w:spacing w:line="276" w:lineRule="auto"/>
        <w:rPr>
          <w:rFonts w:asciiTheme="minorHAnsi" w:hAnsiTheme="minorHAnsi" w:cstheme="minorHAnsi"/>
          <w:sz w:val="20"/>
          <w:szCs w:val="22"/>
        </w:rPr>
      </w:pPr>
      <w:r>
        <w:rPr>
          <w:rFonts w:asciiTheme="minorHAnsi" w:hAnsiTheme="minorHAnsi" w:cstheme="minorHAnsi"/>
          <w:sz w:val="20"/>
          <w:szCs w:val="22"/>
        </w:rPr>
        <w:t xml:space="preserve">Publishing of the </w:t>
      </w:r>
      <w:r w:rsidR="0066446A" w:rsidRPr="0003367D">
        <w:rPr>
          <w:rFonts w:asciiTheme="minorHAnsi" w:hAnsiTheme="minorHAnsi" w:cstheme="minorHAnsi"/>
          <w:sz w:val="20"/>
          <w:szCs w:val="22"/>
        </w:rPr>
        <w:t>Annual Performance Report on the departmental website</w:t>
      </w:r>
    </w:p>
    <w:p w14:paraId="0A2493CE" w14:textId="77777777" w:rsidR="00321D5A" w:rsidRDefault="0077319E" w:rsidP="0077319E">
      <w:pPr>
        <w:spacing w:line="276" w:lineRule="auto"/>
        <w:rPr>
          <w:rFonts w:asciiTheme="minorHAnsi" w:hAnsiTheme="minorHAnsi" w:cstheme="minorHAnsi"/>
          <w:sz w:val="20"/>
          <w:szCs w:val="22"/>
        </w:rPr>
      </w:pPr>
      <w:r w:rsidRPr="00374F04">
        <w:rPr>
          <w:rFonts w:asciiTheme="minorHAnsi" w:hAnsiTheme="minorHAnsi" w:cstheme="minorHAnsi"/>
          <w:sz w:val="20"/>
          <w:szCs w:val="22"/>
        </w:rPr>
        <w:t xml:space="preserve">Agriculture Victoria </w:t>
      </w:r>
      <w:r w:rsidR="00D702FF" w:rsidRPr="00374F04">
        <w:rPr>
          <w:rFonts w:asciiTheme="minorHAnsi" w:hAnsiTheme="minorHAnsi" w:cstheme="minorHAnsi"/>
          <w:sz w:val="20"/>
          <w:szCs w:val="22"/>
        </w:rPr>
        <w:t>u</w:t>
      </w:r>
      <w:r w:rsidR="00BE5FC4">
        <w:rPr>
          <w:rFonts w:asciiTheme="minorHAnsi" w:hAnsiTheme="minorHAnsi" w:cstheme="minorHAnsi"/>
          <w:sz w:val="20"/>
          <w:szCs w:val="22"/>
        </w:rPr>
        <w:t>sed</w:t>
      </w:r>
      <w:r w:rsidR="00D702FF" w:rsidRPr="00374F04">
        <w:rPr>
          <w:rFonts w:asciiTheme="minorHAnsi" w:hAnsiTheme="minorHAnsi" w:cstheme="minorHAnsi"/>
          <w:sz w:val="20"/>
          <w:szCs w:val="22"/>
        </w:rPr>
        <w:t xml:space="preserve"> </w:t>
      </w:r>
      <w:r w:rsidR="00F032F5">
        <w:rPr>
          <w:rFonts w:asciiTheme="minorHAnsi" w:hAnsiTheme="minorHAnsi" w:cstheme="minorHAnsi"/>
          <w:sz w:val="20"/>
          <w:szCs w:val="22"/>
        </w:rPr>
        <w:t>appropriate</w:t>
      </w:r>
      <w:r w:rsidR="00D702FF" w:rsidRPr="00374F04">
        <w:rPr>
          <w:rFonts w:asciiTheme="minorHAnsi" w:hAnsiTheme="minorHAnsi" w:cstheme="minorHAnsi"/>
          <w:sz w:val="20"/>
          <w:szCs w:val="22"/>
        </w:rPr>
        <w:t xml:space="preserve"> governance processes in </w:t>
      </w:r>
      <w:r w:rsidR="00CA2493">
        <w:rPr>
          <w:rFonts w:asciiTheme="minorHAnsi" w:hAnsiTheme="minorHAnsi" w:cstheme="minorHAnsi"/>
          <w:sz w:val="20"/>
          <w:szCs w:val="22"/>
        </w:rPr>
        <w:t>developing the SOE</w:t>
      </w:r>
      <w:r w:rsidR="004C3FD9">
        <w:rPr>
          <w:rFonts w:asciiTheme="minorHAnsi" w:hAnsiTheme="minorHAnsi" w:cstheme="minorHAnsi"/>
          <w:sz w:val="20"/>
          <w:szCs w:val="22"/>
        </w:rPr>
        <w:t xml:space="preserve"> and SOE Response Letter</w:t>
      </w:r>
      <w:r w:rsidR="00CA2493">
        <w:rPr>
          <w:rFonts w:asciiTheme="minorHAnsi" w:hAnsiTheme="minorHAnsi" w:cstheme="minorHAnsi"/>
          <w:sz w:val="20"/>
          <w:szCs w:val="22"/>
        </w:rPr>
        <w:t xml:space="preserve">, </w:t>
      </w:r>
      <w:r w:rsidR="00D702FF" w:rsidRPr="00374F04">
        <w:rPr>
          <w:rFonts w:asciiTheme="minorHAnsi" w:hAnsiTheme="minorHAnsi" w:cstheme="minorHAnsi"/>
          <w:sz w:val="20"/>
          <w:szCs w:val="22"/>
        </w:rPr>
        <w:t xml:space="preserve">liaising with DTF, forming an internal coordinating committee, and engaging </w:t>
      </w:r>
      <w:r w:rsidR="003765D9">
        <w:rPr>
          <w:rFonts w:asciiTheme="minorHAnsi" w:hAnsiTheme="minorHAnsi" w:cstheme="minorHAnsi"/>
          <w:sz w:val="20"/>
          <w:szCs w:val="22"/>
        </w:rPr>
        <w:t xml:space="preserve">with </w:t>
      </w:r>
      <w:r w:rsidR="00D702FF" w:rsidRPr="00374F04">
        <w:rPr>
          <w:rFonts w:asciiTheme="minorHAnsi" w:hAnsiTheme="minorHAnsi" w:cstheme="minorHAnsi"/>
          <w:sz w:val="20"/>
          <w:szCs w:val="22"/>
        </w:rPr>
        <w:t>the Minister’s office</w:t>
      </w:r>
      <w:r w:rsidRPr="00374F04">
        <w:rPr>
          <w:rFonts w:asciiTheme="minorHAnsi" w:hAnsiTheme="minorHAnsi" w:cstheme="minorHAnsi"/>
          <w:sz w:val="20"/>
          <w:szCs w:val="22"/>
        </w:rPr>
        <w:t xml:space="preserve">. </w:t>
      </w:r>
      <w:r w:rsidR="0049408B">
        <w:rPr>
          <w:rFonts w:asciiTheme="minorHAnsi" w:hAnsiTheme="minorHAnsi" w:cstheme="minorHAnsi"/>
          <w:sz w:val="20"/>
          <w:szCs w:val="22"/>
        </w:rPr>
        <w:t xml:space="preserve">This produced an SOE and response with strong operational focus that gives effect to the </w:t>
      </w:r>
      <w:r w:rsidR="003B7E9D">
        <w:rPr>
          <w:rFonts w:asciiTheme="minorHAnsi" w:hAnsiTheme="minorHAnsi" w:cstheme="minorHAnsi"/>
          <w:sz w:val="20"/>
          <w:szCs w:val="22"/>
        </w:rPr>
        <w:t xml:space="preserve">SOE </w:t>
      </w:r>
      <w:r w:rsidR="0049408B">
        <w:rPr>
          <w:rFonts w:asciiTheme="minorHAnsi" w:hAnsiTheme="minorHAnsi" w:cstheme="minorHAnsi"/>
          <w:sz w:val="20"/>
          <w:szCs w:val="22"/>
        </w:rPr>
        <w:t xml:space="preserve">Framework’s objective of reducing regulatory burden on stakeholders. </w:t>
      </w:r>
    </w:p>
    <w:p w14:paraId="11C27DF4" w14:textId="3846EC5A" w:rsidR="00427683" w:rsidRDefault="000B4A86" w:rsidP="00321D5A">
      <w:pPr>
        <w:spacing w:line="276" w:lineRule="auto"/>
        <w:rPr>
          <w:rFonts w:asciiTheme="minorHAnsi" w:hAnsiTheme="minorHAnsi" w:cstheme="minorHAnsi"/>
          <w:sz w:val="20"/>
          <w:szCs w:val="22"/>
        </w:rPr>
      </w:pPr>
      <w:r>
        <w:rPr>
          <w:rFonts w:asciiTheme="minorHAnsi" w:hAnsiTheme="minorHAnsi" w:cstheme="minorHAnsi"/>
          <w:sz w:val="20"/>
          <w:szCs w:val="22"/>
        </w:rPr>
        <w:t>T</w:t>
      </w:r>
      <w:r w:rsidR="0049408B">
        <w:rPr>
          <w:rFonts w:asciiTheme="minorHAnsi" w:hAnsiTheme="minorHAnsi" w:cstheme="minorHAnsi"/>
          <w:sz w:val="20"/>
          <w:szCs w:val="22"/>
        </w:rPr>
        <w:t xml:space="preserve">here is an opportunity for future SOEs to </w:t>
      </w:r>
      <w:r w:rsidR="00C91A6C">
        <w:rPr>
          <w:rFonts w:asciiTheme="minorHAnsi" w:hAnsiTheme="minorHAnsi" w:cstheme="minorHAnsi"/>
          <w:sz w:val="20"/>
          <w:szCs w:val="22"/>
        </w:rPr>
        <w:t xml:space="preserve">further </w:t>
      </w:r>
      <w:r w:rsidR="0049408B">
        <w:rPr>
          <w:rFonts w:asciiTheme="minorHAnsi" w:hAnsiTheme="minorHAnsi" w:cstheme="minorHAnsi"/>
          <w:sz w:val="20"/>
          <w:szCs w:val="22"/>
        </w:rPr>
        <w:t xml:space="preserve">consider </w:t>
      </w:r>
      <w:r w:rsidR="00DF2FDB">
        <w:rPr>
          <w:rFonts w:asciiTheme="minorHAnsi" w:hAnsiTheme="minorHAnsi" w:cstheme="minorHAnsi"/>
          <w:sz w:val="20"/>
          <w:szCs w:val="22"/>
        </w:rPr>
        <w:t xml:space="preserve">existing data sources and reporting systems. </w:t>
      </w:r>
      <w:r w:rsidR="00016C58">
        <w:rPr>
          <w:rFonts w:asciiTheme="minorHAnsi" w:hAnsiTheme="minorHAnsi" w:cstheme="minorHAnsi"/>
          <w:sz w:val="20"/>
          <w:szCs w:val="22"/>
        </w:rPr>
        <w:t>For example, w</w:t>
      </w:r>
      <w:r w:rsidR="00DF2FDB">
        <w:rPr>
          <w:rFonts w:asciiTheme="minorHAnsi" w:hAnsiTheme="minorHAnsi" w:cstheme="minorHAnsi"/>
          <w:sz w:val="20"/>
          <w:szCs w:val="22"/>
        </w:rPr>
        <w:t xml:space="preserve">hile Agriculture Victoria has a system for data capture and performance management, the Biosecurity Evidence Framework (BEF), SOE targets and metrics available in </w:t>
      </w:r>
      <w:r w:rsidR="00C91A6C">
        <w:rPr>
          <w:rFonts w:asciiTheme="minorHAnsi" w:hAnsiTheme="minorHAnsi" w:cstheme="minorHAnsi"/>
          <w:sz w:val="20"/>
          <w:szCs w:val="22"/>
        </w:rPr>
        <w:t xml:space="preserve">the </w:t>
      </w:r>
      <w:r w:rsidR="00DF2FDB">
        <w:rPr>
          <w:rFonts w:asciiTheme="minorHAnsi" w:hAnsiTheme="minorHAnsi" w:cstheme="minorHAnsi"/>
          <w:sz w:val="20"/>
          <w:szCs w:val="22"/>
        </w:rPr>
        <w:t xml:space="preserve">BEF </w:t>
      </w:r>
      <w:r>
        <w:rPr>
          <w:rFonts w:asciiTheme="minorHAnsi" w:hAnsiTheme="minorHAnsi" w:cstheme="minorHAnsi"/>
          <w:sz w:val="20"/>
          <w:szCs w:val="22"/>
        </w:rPr>
        <w:t xml:space="preserve">could be further aligned. </w:t>
      </w:r>
    </w:p>
    <w:p w14:paraId="4233BEB9" w14:textId="65F90159" w:rsidR="00F87510" w:rsidRPr="00374F04" w:rsidRDefault="00F07D7A" w:rsidP="00E01A73">
      <w:pPr>
        <w:pStyle w:val="Heading1"/>
        <w:rPr>
          <w:sz w:val="24"/>
        </w:rPr>
      </w:pPr>
      <w:bookmarkStart w:id="17" w:name="_Toc5254910"/>
      <w:r>
        <w:rPr>
          <w:sz w:val="24"/>
        </w:rPr>
        <w:t>Ou</w:t>
      </w:r>
      <w:r w:rsidR="00DE3092" w:rsidRPr="00374F04">
        <w:rPr>
          <w:sz w:val="24"/>
        </w:rPr>
        <w:t>tcome</w:t>
      </w:r>
      <w:r w:rsidR="008A4F75" w:rsidRPr="00374F04">
        <w:rPr>
          <w:sz w:val="24"/>
        </w:rPr>
        <w:t xml:space="preserve"> evaluation</w:t>
      </w:r>
      <w:bookmarkEnd w:id="17"/>
    </w:p>
    <w:p w14:paraId="754BD89F" w14:textId="3230527A" w:rsidR="00E01A73" w:rsidRDefault="00E01A73" w:rsidP="00893511">
      <w:pPr>
        <w:pStyle w:val="Heading2"/>
        <w:numPr>
          <w:ilvl w:val="0"/>
          <w:numId w:val="30"/>
        </w:numPr>
        <w:rPr>
          <w:sz w:val="22"/>
        </w:rPr>
      </w:pPr>
      <w:bookmarkStart w:id="18" w:name="_Toc5254911"/>
      <w:r w:rsidRPr="00374F04">
        <w:rPr>
          <w:sz w:val="22"/>
        </w:rPr>
        <w:t>Timeliness</w:t>
      </w:r>
      <w:bookmarkEnd w:id="18"/>
    </w:p>
    <w:tbl>
      <w:tblPr>
        <w:tblStyle w:val="TableGrid"/>
        <w:tblW w:w="0" w:type="auto"/>
        <w:tblLook w:val="04A0" w:firstRow="1" w:lastRow="0" w:firstColumn="1" w:lastColumn="0" w:noHBand="0" w:noVBand="1"/>
      </w:tblPr>
      <w:tblGrid>
        <w:gridCol w:w="9730"/>
      </w:tblGrid>
      <w:tr w:rsidR="00F87510" w:rsidRPr="00374F04" w14:paraId="32D037EE" w14:textId="77777777" w:rsidTr="00C91A6C">
        <w:tc>
          <w:tcPr>
            <w:tcW w:w="9730" w:type="dxa"/>
            <w:shd w:val="clear" w:color="auto" w:fill="E2EAF6"/>
          </w:tcPr>
          <w:p w14:paraId="3CC696B7" w14:textId="04222316" w:rsidR="00F87510" w:rsidRPr="00292976" w:rsidRDefault="004E1B1A" w:rsidP="00292976">
            <w:pPr>
              <w:pStyle w:val="Body"/>
              <w:spacing w:before="120" w:after="120" w:line="240" w:lineRule="auto"/>
              <w:jc w:val="both"/>
              <w:rPr>
                <w:rFonts w:eastAsiaTheme="minorEastAsia" w:cstheme="minorHAnsi"/>
                <w:sz w:val="18"/>
                <w:szCs w:val="22"/>
              </w:rPr>
            </w:pPr>
            <w:r w:rsidRPr="00292976">
              <w:rPr>
                <w:rFonts w:eastAsiaTheme="minorEastAsia" w:cstheme="minorHAnsi"/>
                <w:sz w:val="18"/>
                <w:szCs w:val="22"/>
              </w:rPr>
              <w:t>M</w:t>
            </w:r>
            <w:r w:rsidR="00DE3092" w:rsidRPr="00292976">
              <w:rPr>
                <w:rFonts w:eastAsiaTheme="minorEastAsia" w:cstheme="minorHAnsi"/>
                <w:sz w:val="18"/>
                <w:szCs w:val="22"/>
              </w:rPr>
              <w:t>inisterial Expectations</w:t>
            </w:r>
          </w:p>
          <w:p w14:paraId="14BF1BF7" w14:textId="350037D0" w:rsidR="00134A89" w:rsidRPr="00292976" w:rsidRDefault="00134A89" w:rsidP="00893511">
            <w:pPr>
              <w:pStyle w:val="Body"/>
              <w:numPr>
                <w:ilvl w:val="0"/>
                <w:numId w:val="5"/>
              </w:numPr>
              <w:spacing w:before="120" w:after="120" w:line="240" w:lineRule="auto"/>
              <w:jc w:val="both"/>
              <w:rPr>
                <w:rFonts w:eastAsiaTheme="minorEastAsia" w:cstheme="minorHAnsi"/>
                <w:b w:val="0"/>
                <w:sz w:val="18"/>
                <w:szCs w:val="22"/>
              </w:rPr>
            </w:pPr>
            <w:r w:rsidRPr="00292976">
              <w:rPr>
                <w:rFonts w:eastAsiaTheme="minorEastAsia" w:cstheme="minorHAnsi"/>
                <w:b w:val="0"/>
                <w:sz w:val="18"/>
                <w:szCs w:val="22"/>
              </w:rPr>
              <w:t>communicate the timeframe within which most applicants can expect a decision on permit</w:t>
            </w:r>
            <w:r w:rsidR="005F4E8D">
              <w:rPr>
                <w:rFonts w:eastAsiaTheme="minorEastAsia" w:cstheme="minorHAnsi"/>
                <w:b w:val="0"/>
                <w:sz w:val="18"/>
                <w:szCs w:val="22"/>
              </w:rPr>
              <w:t>,</w:t>
            </w:r>
            <w:r w:rsidRPr="00292976">
              <w:rPr>
                <w:rFonts w:eastAsiaTheme="minorEastAsia" w:cstheme="minorHAnsi"/>
                <w:b w:val="0"/>
                <w:sz w:val="18"/>
                <w:szCs w:val="22"/>
              </w:rPr>
              <w:t xml:space="preserve"> </w:t>
            </w:r>
            <w:r w:rsidR="005F4E8D">
              <w:rPr>
                <w:rFonts w:eastAsiaTheme="minorEastAsia" w:cstheme="minorHAnsi"/>
                <w:b w:val="0"/>
                <w:sz w:val="18"/>
                <w:szCs w:val="22"/>
              </w:rPr>
              <w:t>l</w:t>
            </w:r>
            <w:r w:rsidRPr="00292976">
              <w:rPr>
                <w:rFonts w:eastAsiaTheme="minorEastAsia" w:cstheme="minorHAnsi"/>
                <w:b w:val="0"/>
                <w:sz w:val="18"/>
                <w:szCs w:val="22"/>
              </w:rPr>
              <w:t>icence,</w:t>
            </w:r>
            <w:r w:rsidR="007F443B" w:rsidRPr="00292976">
              <w:rPr>
                <w:rFonts w:eastAsiaTheme="minorEastAsia" w:cstheme="minorHAnsi"/>
                <w:b w:val="0"/>
                <w:sz w:val="18"/>
                <w:szCs w:val="22"/>
              </w:rPr>
              <w:t xml:space="preserve"> certification and registration</w:t>
            </w:r>
            <w:r w:rsidRPr="00292976">
              <w:rPr>
                <w:rFonts w:eastAsiaTheme="minorEastAsia" w:cstheme="minorHAnsi"/>
                <w:b w:val="0"/>
                <w:sz w:val="18"/>
                <w:szCs w:val="22"/>
              </w:rPr>
              <w:t xml:space="preserve"> applications</w:t>
            </w:r>
            <w:r w:rsidR="005F4E8D">
              <w:rPr>
                <w:rFonts w:eastAsiaTheme="minorEastAsia" w:cstheme="minorHAnsi"/>
                <w:b w:val="0"/>
                <w:sz w:val="18"/>
                <w:szCs w:val="22"/>
              </w:rPr>
              <w:t>.</w:t>
            </w:r>
            <w:r w:rsidRPr="00292976">
              <w:rPr>
                <w:rFonts w:eastAsiaTheme="minorEastAsia" w:cstheme="minorHAnsi"/>
                <w:b w:val="0"/>
                <w:sz w:val="18"/>
                <w:szCs w:val="22"/>
              </w:rPr>
              <w:t xml:space="preserve"> </w:t>
            </w:r>
          </w:p>
          <w:p w14:paraId="1BAAB181" w14:textId="6469F93E" w:rsidR="00134A89" w:rsidRPr="00292976" w:rsidRDefault="00134A89" w:rsidP="00893511">
            <w:pPr>
              <w:pStyle w:val="Body"/>
              <w:numPr>
                <w:ilvl w:val="0"/>
                <w:numId w:val="5"/>
              </w:numPr>
              <w:spacing w:before="120" w:after="120" w:line="240" w:lineRule="auto"/>
              <w:jc w:val="both"/>
              <w:rPr>
                <w:rFonts w:eastAsiaTheme="minorEastAsia" w:cstheme="minorHAnsi"/>
                <w:b w:val="0"/>
                <w:sz w:val="18"/>
                <w:szCs w:val="22"/>
              </w:rPr>
            </w:pPr>
            <w:r w:rsidRPr="00292976">
              <w:rPr>
                <w:rFonts w:eastAsiaTheme="minorEastAsia" w:cstheme="minorHAnsi"/>
                <w:b w:val="0"/>
                <w:sz w:val="18"/>
                <w:szCs w:val="22"/>
              </w:rPr>
              <w:t>increase the number of online services such as permits, licences, approvals, certification and registration forms for approval to at least 25 percent of application processes, prioritising those that are high volume to generate the greatest time savings for regulated parties.</w:t>
            </w:r>
          </w:p>
          <w:p w14:paraId="2C82D91F" w14:textId="3E323D14" w:rsidR="00F87510" w:rsidRPr="00292976" w:rsidRDefault="00134A89" w:rsidP="00893511">
            <w:pPr>
              <w:pStyle w:val="Body"/>
              <w:numPr>
                <w:ilvl w:val="0"/>
                <w:numId w:val="5"/>
              </w:numPr>
              <w:spacing w:before="120" w:after="120" w:line="240" w:lineRule="auto"/>
              <w:jc w:val="both"/>
              <w:rPr>
                <w:rFonts w:eastAsiaTheme="minorEastAsia" w:cstheme="minorHAnsi"/>
                <w:b w:val="0"/>
                <w:sz w:val="18"/>
                <w:szCs w:val="22"/>
              </w:rPr>
            </w:pPr>
            <w:r w:rsidRPr="00292976">
              <w:rPr>
                <w:rFonts w:eastAsiaTheme="minorEastAsia" w:cstheme="minorHAnsi"/>
                <w:b w:val="0"/>
                <w:sz w:val="18"/>
                <w:szCs w:val="22"/>
              </w:rPr>
              <w:t>All new services should be available online</w:t>
            </w:r>
            <w:r w:rsidR="005F4E8D">
              <w:rPr>
                <w:rFonts w:eastAsiaTheme="minorEastAsia" w:cstheme="minorHAnsi"/>
                <w:b w:val="0"/>
                <w:sz w:val="18"/>
                <w:szCs w:val="22"/>
              </w:rPr>
              <w:t>.</w:t>
            </w:r>
          </w:p>
        </w:tc>
      </w:tr>
      <w:tr w:rsidR="007F443B" w:rsidRPr="00374F04" w14:paraId="53784066" w14:textId="77777777" w:rsidTr="00C91A6C">
        <w:trPr>
          <w:trHeight w:val="2422"/>
        </w:trPr>
        <w:tc>
          <w:tcPr>
            <w:tcW w:w="9730" w:type="dxa"/>
            <w:shd w:val="clear" w:color="auto" w:fill="auto"/>
          </w:tcPr>
          <w:p w14:paraId="7043F7AF" w14:textId="77777777" w:rsidR="007F443B" w:rsidRPr="00292976" w:rsidRDefault="007F443B" w:rsidP="00292976">
            <w:pPr>
              <w:pStyle w:val="Body"/>
              <w:spacing w:before="120" w:after="120" w:line="240" w:lineRule="auto"/>
              <w:jc w:val="both"/>
              <w:rPr>
                <w:rFonts w:eastAsiaTheme="minorEastAsia" w:cstheme="minorHAnsi"/>
                <w:sz w:val="18"/>
                <w:szCs w:val="22"/>
              </w:rPr>
            </w:pPr>
            <w:r w:rsidRPr="00292976">
              <w:rPr>
                <w:rFonts w:eastAsiaTheme="minorEastAsia" w:cstheme="minorHAnsi"/>
                <w:sz w:val="18"/>
                <w:szCs w:val="22"/>
              </w:rPr>
              <w:t xml:space="preserve">Ag Vic Improvement Response </w:t>
            </w:r>
          </w:p>
          <w:p w14:paraId="37FE1A55" w14:textId="77777777" w:rsidR="007F443B" w:rsidRPr="00292976" w:rsidRDefault="007F443B" w:rsidP="00893511">
            <w:pPr>
              <w:pStyle w:val="Body"/>
              <w:numPr>
                <w:ilvl w:val="0"/>
                <w:numId w:val="23"/>
              </w:numPr>
              <w:spacing w:before="120" w:line="240" w:lineRule="auto"/>
              <w:jc w:val="both"/>
              <w:rPr>
                <w:rFonts w:eastAsiaTheme="minorEastAsia" w:cstheme="minorHAnsi"/>
                <w:b w:val="0"/>
                <w:sz w:val="18"/>
                <w:szCs w:val="22"/>
              </w:rPr>
            </w:pPr>
            <w:r w:rsidRPr="00292976">
              <w:rPr>
                <w:rFonts w:eastAsiaTheme="minorEastAsia" w:cstheme="minorHAnsi"/>
                <w:b w:val="0"/>
                <w:sz w:val="18"/>
                <w:szCs w:val="22"/>
              </w:rPr>
              <w:t>Develop principles to guide the design and implementation of digital administrative processes for applications and information management, including e-capability and information provision.</w:t>
            </w:r>
          </w:p>
          <w:p w14:paraId="2A44F53D" w14:textId="2A2C636A" w:rsidR="007F443B" w:rsidRPr="00292976" w:rsidRDefault="007F443B" w:rsidP="00893511">
            <w:pPr>
              <w:pStyle w:val="Body"/>
              <w:numPr>
                <w:ilvl w:val="0"/>
                <w:numId w:val="23"/>
              </w:numPr>
              <w:spacing w:before="120" w:after="120" w:line="240" w:lineRule="auto"/>
              <w:jc w:val="both"/>
              <w:rPr>
                <w:rFonts w:eastAsiaTheme="minorEastAsia" w:cstheme="minorBidi"/>
                <w:b w:val="0"/>
                <w:sz w:val="18"/>
                <w:szCs w:val="22"/>
                <w:lang w:val="en-US"/>
              </w:rPr>
            </w:pPr>
            <w:r w:rsidRPr="00292976">
              <w:rPr>
                <w:rFonts w:eastAsiaTheme="minorEastAsia" w:cstheme="minorHAnsi"/>
                <w:b w:val="0"/>
                <w:sz w:val="18"/>
                <w:szCs w:val="22"/>
              </w:rPr>
              <w:t>Prioritise online capability for the remaining licence, permit, certification and registration application processes by regulated parties.</w:t>
            </w:r>
          </w:p>
          <w:p w14:paraId="3280EE24" w14:textId="77777777" w:rsidR="007F443B" w:rsidRPr="00292976" w:rsidRDefault="007F443B" w:rsidP="00893511">
            <w:pPr>
              <w:pStyle w:val="Body"/>
              <w:numPr>
                <w:ilvl w:val="0"/>
                <w:numId w:val="23"/>
              </w:numPr>
              <w:spacing w:before="120" w:after="120" w:line="240" w:lineRule="auto"/>
              <w:jc w:val="both"/>
              <w:rPr>
                <w:rFonts w:eastAsiaTheme="minorEastAsia" w:cstheme="minorBidi"/>
                <w:b w:val="0"/>
                <w:sz w:val="18"/>
                <w:szCs w:val="22"/>
                <w:lang w:val="en-US"/>
              </w:rPr>
            </w:pPr>
            <w:r w:rsidRPr="00292976">
              <w:rPr>
                <w:rFonts w:eastAsiaTheme="minorEastAsia" w:cstheme="minorHAnsi"/>
                <w:b w:val="0"/>
                <w:sz w:val="18"/>
                <w:szCs w:val="22"/>
              </w:rPr>
              <w:t>Increase the number of biosecurity application processes that are available online to at least 10, focussing on identified priority areas.</w:t>
            </w:r>
          </w:p>
          <w:p w14:paraId="78FE6BBE" w14:textId="173CB1C6" w:rsidR="007F443B" w:rsidRPr="00292976" w:rsidRDefault="007F443B" w:rsidP="00893511">
            <w:pPr>
              <w:pStyle w:val="Body"/>
              <w:numPr>
                <w:ilvl w:val="0"/>
                <w:numId w:val="23"/>
              </w:numPr>
              <w:spacing w:before="120" w:after="120" w:line="240" w:lineRule="auto"/>
              <w:jc w:val="both"/>
              <w:rPr>
                <w:rFonts w:eastAsiaTheme="minorEastAsia" w:cstheme="minorHAnsi"/>
                <w:b w:val="0"/>
                <w:sz w:val="18"/>
                <w:szCs w:val="22"/>
              </w:rPr>
            </w:pPr>
            <w:r w:rsidRPr="00292976">
              <w:rPr>
                <w:rFonts w:eastAsiaTheme="minorEastAsia" w:cstheme="minorHAnsi"/>
                <w:b w:val="0"/>
                <w:sz w:val="18"/>
                <w:szCs w:val="22"/>
              </w:rPr>
              <w:t>100 per cent of new application processes introduced will be made available online in the first instance.</w:t>
            </w:r>
          </w:p>
        </w:tc>
      </w:tr>
    </w:tbl>
    <w:p w14:paraId="20AB1BDC" w14:textId="46DDA31D" w:rsidR="001E0075" w:rsidRPr="001E0075" w:rsidRDefault="001E0075" w:rsidP="001E0075">
      <w:pPr>
        <w:pStyle w:val="Heading2"/>
        <w:numPr>
          <w:ilvl w:val="0"/>
          <w:numId w:val="0"/>
        </w:numPr>
        <w:rPr>
          <w:rFonts w:ascii="Calibri" w:hAnsi="Calibri" w:cs="Calibri"/>
          <w:sz w:val="22"/>
        </w:rPr>
      </w:pPr>
      <w:bookmarkStart w:id="19" w:name="_Toc881034"/>
      <w:bookmarkStart w:id="20" w:name="_Toc5254912"/>
      <w:r w:rsidRPr="001E0075">
        <w:rPr>
          <w:rFonts w:ascii="Calibri" w:hAnsi="Calibri" w:cs="Calibri"/>
          <w:sz w:val="22"/>
        </w:rPr>
        <w:t>Key Findings</w:t>
      </w:r>
      <w:bookmarkEnd w:id="19"/>
      <w:bookmarkEnd w:id="20"/>
      <w:r w:rsidRPr="001E0075">
        <w:rPr>
          <w:rFonts w:ascii="Calibri" w:hAnsi="Calibri" w:cs="Calibri"/>
          <w:sz w:val="22"/>
        </w:rPr>
        <w:t xml:space="preserve"> </w:t>
      </w:r>
    </w:p>
    <w:p w14:paraId="2D7B56D1" w14:textId="1225FB65" w:rsidR="007F443B" w:rsidRDefault="007F443B" w:rsidP="007F443B">
      <w:pPr>
        <w:spacing w:line="276" w:lineRule="auto"/>
        <w:rPr>
          <w:rFonts w:asciiTheme="minorHAnsi" w:hAnsiTheme="minorHAnsi" w:cstheme="minorHAnsi"/>
          <w:sz w:val="20"/>
          <w:szCs w:val="22"/>
          <w:lang w:val="en-AU"/>
        </w:rPr>
      </w:pPr>
      <w:r w:rsidRPr="00374F04">
        <w:rPr>
          <w:rFonts w:asciiTheme="minorHAnsi" w:hAnsiTheme="minorHAnsi" w:cstheme="minorHAnsi"/>
          <w:sz w:val="20"/>
          <w:szCs w:val="22"/>
          <w:lang w:val="en-AU"/>
        </w:rPr>
        <w:t xml:space="preserve">The evaluation found evidence that Agriculture Victoria has taken steps to better enable digital services to enhance </w:t>
      </w:r>
      <w:r w:rsidR="00DA25B5">
        <w:rPr>
          <w:rFonts w:asciiTheme="minorHAnsi" w:hAnsiTheme="minorHAnsi" w:cstheme="minorHAnsi"/>
          <w:sz w:val="20"/>
          <w:szCs w:val="22"/>
          <w:lang w:val="en-AU"/>
        </w:rPr>
        <w:t xml:space="preserve">the capacity for </w:t>
      </w:r>
      <w:r w:rsidRPr="00374F04">
        <w:rPr>
          <w:rFonts w:asciiTheme="minorHAnsi" w:hAnsiTheme="minorHAnsi" w:cstheme="minorHAnsi"/>
          <w:sz w:val="20"/>
          <w:szCs w:val="22"/>
          <w:lang w:val="en-AU"/>
        </w:rPr>
        <w:t>regulated entities to obtain licences or permits in a timely and efficient manner. Approximately 40 types of permits, licen</w:t>
      </w:r>
      <w:r w:rsidR="00365801">
        <w:rPr>
          <w:rFonts w:asciiTheme="minorHAnsi" w:hAnsiTheme="minorHAnsi" w:cstheme="minorHAnsi"/>
          <w:sz w:val="20"/>
          <w:szCs w:val="22"/>
          <w:lang w:val="en-AU"/>
        </w:rPr>
        <w:t>c</w:t>
      </w:r>
      <w:r w:rsidRPr="00374F04">
        <w:rPr>
          <w:rFonts w:asciiTheme="minorHAnsi" w:hAnsiTheme="minorHAnsi" w:cstheme="minorHAnsi"/>
          <w:sz w:val="20"/>
          <w:szCs w:val="22"/>
          <w:lang w:val="en-AU"/>
        </w:rPr>
        <w:t>es, approvals, certifications and registrations are currently administered by</w:t>
      </w:r>
      <w:r w:rsidR="006F7A74">
        <w:rPr>
          <w:rFonts w:asciiTheme="minorHAnsi" w:hAnsiTheme="minorHAnsi" w:cstheme="minorHAnsi"/>
          <w:sz w:val="20"/>
          <w:szCs w:val="22"/>
          <w:lang w:val="en-AU"/>
        </w:rPr>
        <w:t xml:space="preserve"> Agriculture Victoria, </w:t>
      </w:r>
      <w:r w:rsidR="00365801">
        <w:rPr>
          <w:rFonts w:asciiTheme="minorHAnsi" w:hAnsiTheme="minorHAnsi" w:cstheme="minorHAnsi"/>
          <w:sz w:val="20"/>
          <w:szCs w:val="22"/>
          <w:lang w:val="en-AU"/>
        </w:rPr>
        <w:t>of which 20 per cent</w:t>
      </w:r>
      <w:r w:rsidR="00BE5FC4">
        <w:rPr>
          <w:rFonts w:asciiTheme="minorHAnsi" w:hAnsiTheme="minorHAnsi" w:cstheme="minorHAnsi"/>
          <w:sz w:val="20"/>
          <w:szCs w:val="22"/>
          <w:lang w:val="en-AU"/>
        </w:rPr>
        <w:t xml:space="preserve"> </w:t>
      </w:r>
      <w:r w:rsidRPr="00374F04">
        <w:rPr>
          <w:rFonts w:asciiTheme="minorHAnsi" w:hAnsiTheme="minorHAnsi" w:cstheme="minorHAnsi"/>
          <w:sz w:val="20"/>
          <w:szCs w:val="22"/>
          <w:lang w:val="en-AU"/>
        </w:rPr>
        <w:t xml:space="preserve">are currently available online to regulated parties and end users. </w:t>
      </w:r>
      <w:r w:rsidR="00AF3E38">
        <w:rPr>
          <w:rFonts w:asciiTheme="minorHAnsi" w:hAnsiTheme="minorHAnsi" w:cstheme="minorHAnsi"/>
          <w:sz w:val="20"/>
          <w:szCs w:val="22"/>
          <w:lang w:val="en-AU"/>
        </w:rPr>
        <w:t xml:space="preserve">This </w:t>
      </w:r>
      <w:r w:rsidR="00365801">
        <w:rPr>
          <w:rFonts w:asciiTheme="minorHAnsi" w:hAnsiTheme="minorHAnsi" w:cstheme="minorHAnsi"/>
          <w:sz w:val="20"/>
          <w:szCs w:val="22"/>
          <w:lang w:val="en-AU"/>
        </w:rPr>
        <w:t>places</w:t>
      </w:r>
      <w:r w:rsidR="00AF3E38">
        <w:rPr>
          <w:rFonts w:asciiTheme="minorHAnsi" w:hAnsiTheme="minorHAnsi" w:cstheme="minorHAnsi"/>
          <w:sz w:val="20"/>
          <w:szCs w:val="22"/>
          <w:lang w:val="en-AU"/>
        </w:rPr>
        <w:t xml:space="preserve"> Agriculture Victoria in a strong position to meets its target of 25 per cent of processes </w:t>
      </w:r>
      <w:r w:rsidR="009133CC">
        <w:rPr>
          <w:rFonts w:asciiTheme="minorHAnsi" w:hAnsiTheme="minorHAnsi" w:cstheme="minorHAnsi"/>
          <w:sz w:val="20"/>
          <w:szCs w:val="22"/>
          <w:lang w:val="en-AU"/>
        </w:rPr>
        <w:t xml:space="preserve">available online </w:t>
      </w:r>
      <w:r w:rsidR="00AF3E38">
        <w:rPr>
          <w:rFonts w:asciiTheme="minorHAnsi" w:hAnsiTheme="minorHAnsi" w:cstheme="minorHAnsi"/>
          <w:sz w:val="20"/>
          <w:szCs w:val="22"/>
          <w:lang w:val="en-AU"/>
        </w:rPr>
        <w:t xml:space="preserve">by the conclusion of the SOE. </w:t>
      </w:r>
    </w:p>
    <w:p w14:paraId="7D8DA366" w14:textId="09BB3B61" w:rsidR="006F7A74" w:rsidRDefault="006F7A74" w:rsidP="007F443B">
      <w:pPr>
        <w:spacing w:line="276" w:lineRule="auto"/>
        <w:rPr>
          <w:rFonts w:asciiTheme="minorHAnsi" w:hAnsiTheme="minorHAnsi" w:cstheme="minorHAnsi"/>
          <w:sz w:val="20"/>
          <w:szCs w:val="22"/>
          <w:lang w:val="en-AU"/>
        </w:rPr>
      </w:pPr>
      <w:r>
        <w:rPr>
          <w:rFonts w:asciiTheme="minorHAnsi" w:hAnsiTheme="minorHAnsi" w:cstheme="minorHAnsi"/>
          <w:sz w:val="20"/>
          <w:szCs w:val="22"/>
          <w:lang w:val="en-AU"/>
        </w:rPr>
        <w:lastRenderedPageBreak/>
        <w:t>The evaluation identified that the online processes currently available have had significant community and industry uptake</w:t>
      </w:r>
      <w:r w:rsidR="00365801">
        <w:rPr>
          <w:rFonts w:asciiTheme="minorHAnsi" w:hAnsiTheme="minorHAnsi" w:cstheme="minorHAnsi"/>
          <w:sz w:val="20"/>
          <w:szCs w:val="22"/>
          <w:lang w:val="en-AU"/>
        </w:rPr>
        <w:t xml:space="preserve"> and </w:t>
      </w:r>
      <w:r>
        <w:rPr>
          <w:rFonts w:asciiTheme="minorHAnsi" w:hAnsiTheme="minorHAnsi" w:cstheme="minorHAnsi"/>
          <w:sz w:val="20"/>
          <w:szCs w:val="22"/>
          <w:lang w:val="en-AU"/>
        </w:rPr>
        <w:t>are lodged online and completed within a shorter processing timeframe when compared to the processing time of hard</w:t>
      </w:r>
      <w:r w:rsidR="00365801">
        <w:rPr>
          <w:rFonts w:asciiTheme="minorHAnsi" w:hAnsiTheme="minorHAnsi" w:cstheme="minorHAnsi"/>
          <w:sz w:val="20"/>
          <w:szCs w:val="22"/>
          <w:lang w:val="en-AU"/>
        </w:rPr>
        <w:t xml:space="preserve"> </w:t>
      </w:r>
      <w:r>
        <w:rPr>
          <w:rFonts w:asciiTheme="minorHAnsi" w:hAnsiTheme="minorHAnsi" w:cstheme="minorHAnsi"/>
          <w:sz w:val="20"/>
          <w:szCs w:val="22"/>
          <w:lang w:val="en-AU"/>
        </w:rPr>
        <w:t>copy applications.</w:t>
      </w:r>
      <w:r w:rsidR="00F07D7A">
        <w:rPr>
          <w:rFonts w:asciiTheme="minorHAnsi" w:hAnsiTheme="minorHAnsi" w:cstheme="minorHAnsi"/>
          <w:sz w:val="20"/>
          <w:szCs w:val="22"/>
          <w:lang w:val="en-AU"/>
        </w:rPr>
        <w:t xml:space="preserve"> </w:t>
      </w:r>
      <w:r w:rsidR="00365801">
        <w:rPr>
          <w:rFonts w:asciiTheme="minorHAnsi" w:hAnsiTheme="minorHAnsi" w:cstheme="minorHAnsi"/>
          <w:sz w:val="20"/>
          <w:szCs w:val="22"/>
          <w:lang w:val="en-AU"/>
        </w:rPr>
        <w:t>C</w:t>
      </w:r>
      <w:r>
        <w:rPr>
          <w:rFonts w:asciiTheme="minorHAnsi" w:hAnsiTheme="minorHAnsi" w:cstheme="minorHAnsi"/>
          <w:sz w:val="20"/>
          <w:szCs w:val="22"/>
          <w:lang w:val="en-AU"/>
        </w:rPr>
        <w:t xml:space="preserve">urrent online applications made available by </w:t>
      </w:r>
      <w:r w:rsidR="00A43B8B">
        <w:rPr>
          <w:rFonts w:asciiTheme="minorHAnsi" w:hAnsiTheme="minorHAnsi" w:cstheme="minorHAnsi"/>
          <w:sz w:val="20"/>
          <w:szCs w:val="22"/>
          <w:lang w:val="en-AU"/>
        </w:rPr>
        <w:t>A</w:t>
      </w:r>
      <w:r>
        <w:rPr>
          <w:rFonts w:asciiTheme="minorHAnsi" w:hAnsiTheme="minorHAnsi" w:cstheme="minorHAnsi"/>
          <w:sz w:val="20"/>
          <w:szCs w:val="22"/>
          <w:lang w:val="en-AU"/>
        </w:rPr>
        <w:t xml:space="preserve">griculture Victoria </w:t>
      </w:r>
      <w:r w:rsidR="00BE5FC4">
        <w:rPr>
          <w:rFonts w:asciiTheme="minorHAnsi" w:hAnsiTheme="minorHAnsi" w:cstheme="minorHAnsi"/>
          <w:sz w:val="20"/>
          <w:szCs w:val="22"/>
          <w:lang w:val="en-AU"/>
        </w:rPr>
        <w:t>include:</w:t>
      </w:r>
    </w:p>
    <w:p w14:paraId="24EDEEA3" w14:textId="37C5BF5E" w:rsidR="006F7A74" w:rsidRPr="006F7A74" w:rsidRDefault="00A43B8B" w:rsidP="00893511">
      <w:pPr>
        <w:pStyle w:val="NoSpacing"/>
        <w:numPr>
          <w:ilvl w:val="0"/>
          <w:numId w:val="33"/>
        </w:numPr>
        <w:rPr>
          <w:rFonts w:asciiTheme="minorHAnsi" w:hAnsiTheme="minorHAnsi" w:cstheme="minorHAnsi"/>
          <w:sz w:val="20"/>
          <w:szCs w:val="22"/>
          <w:lang w:val="en-AU"/>
        </w:rPr>
      </w:pPr>
      <w:r>
        <w:rPr>
          <w:rFonts w:asciiTheme="minorHAnsi" w:hAnsiTheme="minorHAnsi" w:cstheme="minorHAnsi"/>
          <w:sz w:val="20"/>
          <w:szCs w:val="22"/>
          <w:lang w:val="en-AU"/>
        </w:rPr>
        <w:t>A</w:t>
      </w:r>
      <w:r w:rsidR="006F7A74" w:rsidRPr="006F7A74">
        <w:rPr>
          <w:rFonts w:asciiTheme="minorHAnsi" w:hAnsiTheme="minorHAnsi" w:cstheme="minorHAnsi"/>
          <w:sz w:val="20"/>
          <w:szCs w:val="22"/>
          <w:lang w:val="en-AU"/>
        </w:rPr>
        <w:t xml:space="preserve">nimal </w:t>
      </w:r>
      <w:r>
        <w:rPr>
          <w:rFonts w:asciiTheme="minorHAnsi" w:hAnsiTheme="minorHAnsi" w:cstheme="minorHAnsi"/>
          <w:sz w:val="20"/>
          <w:szCs w:val="22"/>
          <w:lang w:val="en-AU"/>
        </w:rPr>
        <w:t xml:space="preserve">Property Identification Code </w:t>
      </w:r>
      <w:r w:rsidR="006F7A74" w:rsidRPr="006F7A74">
        <w:rPr>
          <w:rFonts w:asciiTheme="minorHAnsi" w:hAnsiTheme="minorHAnsi" w:cstheme="minorHAnsi"/>
          <w:sz w:val="20"/>
          <w:szCs w:val="22"/>
          <w:lang w:val="en-AU"/>
        </w:rPr>
        <w:t xml:space="preserve">applications   </w:t>
      </w:r>
    </w:p>
    <w:p w14:paraId="56E8B15D" w14:textId="2486A0F7" w:rsidR="006F7A74" w:rsidRPr="006F7A74" w:rsidRDefault="00A43B8B" w:rsidP="00893511">
      <w:pPr>
        <w:pStyle w:val="NoSpacing"/>
        <w:numPr>
          <w:ilvl w:val="0"/>
          <w:numId w:val="33"/>
        </w:numPr>
        <w:rPr>
          <w:rFonts w:asciiTheme="minorHAnsi" w:hAnsiTheme="minorHAnsi" w:cstheme="minorHAnsi"/>
          <w:sz w:val="20"/>
          <w:szCs w:val="22"/>
          <w:lang w:val="en-AU"/>
        </w:rPr>
      </w:pPr>
      <w:r>
        <w:rPr>
          <w:rFonts w:asciiTheme="minorHAnsi" w:hAnsiTheme="minorHAnsi" w:cstheme="minorHAnsi"/>
          <w:sz w:val="20"/>
          <w:szCs w:val="22"/>
          <w:lang w:val="en-AU"/>
        </w:rPr>
        <w:t>Plant Property Identification Code</w:t>
      </w:r>
      <w:r w:rsidRPr="006F7A74">
        <w:rPr>
          <w:rFonts w:asciiTheme="minorHAnsi" w:hAnsiTheme="minorHAnsi" w:cstheme="minorHAnsi"/>
          <w:sz w:val="20"/>
          <w:szCs w:val="22"/>
          <w:lang w:val="en-AU"/>
        </w:rPr>
        <w:t xml:space="preserve"> </w:t>
      </w:r>
      <w:r w:rsidR="006F7A74" w:rsidRPr="006F7A74">
        <w:rPr>
          <w:rFonts w:asciiTheme="minorHAnsi" w:hAnsiTheme="minorHAnsi" w:cstheme="minorHAnsi"/>
          <w:sz w:val="20"/>
          <w:szCs w:val="22"/>
          <w:lang w:val="en-AU"/>
        </w:rPr>
        <w:t xml:space="preserve">applications </w:t>
      </w:r>
    </w:p>
    <w:p w14:paraId="37E927EF" w14:textId="05D625C9" w:rsidR="006F7A74" w:rsidRPr="006F7A74" w:rsidRDefault="00A43B8B" w:rsidP="00893511">
      <w:pPr>
        <w:pStyle w:val="NoSpacing"/>
        <w:numPr>
          <w:ilvl w:val="0"/>
          <w:numId w:val="33"/>
        </w:numPr>
        <w:rPr>
          <w:rFonts w:asciiTheme="minorHAnsi" w:hAnsiTheme="minorHAnsi" w:cstheme="minorHAnsi"/>
          <w:sz w:val="20"/>
          <w:szCs w:val="22"/>
          <w:lang w:val="en-AU"/>
        </w:rPr>
      </w:pPr>
      <w:r>
        <w:rPr>
          <w:rFonts w:asciiTheme="minorHAnsi" w:hAnsiTheme="minorHAnsi" w:cstheme="minorHAnsi"/>
          <w:sz w:val="20"/>
          <w:szCs w:val="22"/>
          <w:lang w:val="en-AU"/>
        </w:rPr>
        <w:t>P</w:t>
      </w:r>
      <w:r w:rsidR="006F7A74" w:rsidRPr="006F7A74">
        <w:rPr>
          <w:rFonts w:asciiTheme="minorHAnsi" w:hAnsiTheme="minorHAnsi" w:cstheme="minorHAnsi"/>
          <w:sz w:val="20"/>
          <w:szCs w:val="22"/>
          <w:lang w:val="en-AU"/>
        </w:rPr>
        <w:t xml:space="preserve">urchase of livestock </w:t>
      </w:r>
      <w:r>
        <w:rPr>
          <w:rFonts w:asciiTheme="minorHAnsi" w:hAnsiTheme="minorHAnsi" w:cstheme="minorHAnsi"/>
          <w:sz w:val="20"/>
          <w:szCs w:val="22"/>
          <w:lang w:val="en-AU"/>
        </w:rPr>
        <w:t xml:space="preserve">electronic identification </w:t>
      </w:r>
      <w:r w:rsidR="006F7A74" w:rsidRPr="006F7A74">
        <w:rPr>
          <w:rFonts w:asciiTheme="minorHAnsi" w:hAnsiTheme="minorHAnsi" w:cstheme="minorHAnsi"/>
          <w:sz w:val="20"/>
          <w:szCs w:val="22"/>
          <w:lang w:val="en-AU"/>
        </w:rPr>
        <w:t xml:space="preserve">tags  </w:t>
      </w:r>
    </w:p>
    <w:p w14:paraId="06ADCBED" w14:textId="77777777" w:rsidR="006F7A74" w:rsidRPr="006F7A74" w:rsidRDefault="006F7A74" w:rsidP="00893511">
      <w:pPr>
        <w:pStyle w:val="NoSpacing"/>
        <w:numPr>
          <w:ilvl w:val="0"/>
          <w:numId w:val="33"/>
        </w:numPr>
        <w:rPr>
          <w:rFonts w:asciiTheme="minorHAnsi" w:hAnsiTheme="minorHAnsi" w:cstheme="minorHAnsi"/>
          <w:sz w:val="20"/>
          <w:szCs w:val="22"/>
          <w:lang w:val="en-AU"/>
        </w:rPr>
      </w:pPr>
      <w:r w:rsidRPr="006F7A74">
        <w:rPr>
          <w:rFonts w:asciiTheme="minorHAnsi" w:hAnsiTheme="minorHAnsi" w:cstheme="minorHAnsi"/>
          <w:sz w:val="20"/>
          <w:szCs w:val="22"/>
          <w:lang w:val="en-AU"/>
        </w:rPr>
        <w:t>Agriculture Chemical User Permit applications with four endorsement types</w:t>
      </w:r>
    </w:p>
    <w:p w14:paraId="70F0D0A9" w14:textId="38BF3FA9" w:rsidR="00A43B8B" w:rsidRDefault="00A43B8B" w:rsidP="0066446A">
      <w:pPr>
        <w:pStyle w:val="NoSpacing"/>
        <w:numPr>
          <w:ilvl w:val="0"/>
          <w:numId w:val="33"/>
        </w:numPr>
        <w:rPr>
          <w:rFonts w:asciiTheme="minorHAnsi" w:hAnsiTheme="minorHAnsi" w:cstheme="minorHAnsi"/>
          <w:sz w:val="20"/>
          <w:szCs w:val="22"/>
          <w:lang w:val="en-AU"/>
        </w:rPr>
      </w:pPr>
      <w:r>
        <w:rPr>
          <w:rFonts w:asciiTheme="minorHAnsi" w:hAnsiTheme="minorHAnsi" w:cstheme="minorHAnsi"/>
          <w:sz w:val="20"/>
          <w:szCs w:val="22"/>
          <w:lang w:val="en-AU"/>
        </w:rPr>
        <w:t>B</w:t>
      </w:r>
      <w:r w:rsidR="006F7A74" w:rsidRPr="006F7A74">
        <w:rPr>
          <w:rFonts w:asciiTheme="minorHAnsi" w:hAnsiTheme="minorHAnsi" w:cstheme="minorHAnsi"/>
          <w:sz w:val="20"/>
          <w:szCs w:val="22"/>
          <w:lang w:val="en-AU"/>
        </w:rPr>
        <w:t>ee keeper registrations</w:t>
      </w:r>
    </w:p>
    <w:p w14:paraId="1BF9F9E8" w14:textId="77777777" w:rsidR="0066446A" w:rsidRPr="0066446A" w:rsidRDefault="0066446A" w:rsidP="0066446A">
      <w:pPr>
        <w:pStyle w:val="NoSpacing"/>
        <w:ind w:left="720"/>
        <w:rPr>
          <w:rFonts w:asciiTheme="minorHAnsi" w:hAnsiTheme="minorHAnsi" w:cstheme="minorHAnsi"/>
          <w:sz w:val="20"/>
          <w:szCs w:val="22"/>
          <w:lang w:val="en-AU"/>
        </w:rPr>
      </w:pPr>
    </w:p>
    <w:p w14:paraId="4EF88B37" w14:textId="57778A41" w:rsidR="006F7A74" w:rsidRDefault="00A43B8B" w:rsidP="007F443B">
      <w:pPr>
        <w:spacing w:line="276" w:lineRule="auto"/>
        <w:rPr>
          <w:rFonts w:asciiTheme="minorHAnsi" w:hAnsiTheme="minorHAnsi" w:cstheme="minorHAnsi"/>
          <w:sz w:val="20"/>
          <w:szCs w:val="22"/>
        </w:rPr>
      </w:pPr>
      <w:r w:rsidRPr="00A43B8B">
        <w:rPr>
          <w:rFonts w:asciiTheme="minorHAnsi" w:hAnsiTheme="minorHAnsi" w:cstheme="minorHAnsi"/>
          <w:sz w:val="20"/>
          <w:szCs w:val="22"/>
          <w:lang w:val="en-AU"/>
        </w:rPr>
        <w:t xml:space="preserve">Agriculture Victoria </w:t>
      </w:r>
      <w:r w:rsidR="00C2162B">
        <w:rPr>
          <w:rFonts w:asciiTheme="minorHAnsi" w:hAnsiTheme="minorHAnsi" w:cstheme="minorHAnsi"/>
          <w:sz w:val="20"/>
          <w:szCs w:val="22"/>
          <w:lang w:val="en-AU"/>
        </w:rPr>
        <w:t>is</w:t>
      </w:r>
      <w:r w:rsidR="00C2162B" w:rsidRPr="00A43B8B">
        <w:rPr>
          <w:rFonts w:asciiTheme="minorHAnsi" w:hAnsiTheme="minorHAnsi" w:cstheme="minorHAnsi"/>
          <w:sz w:val="20"/>
          <w:szCs w:val="22"/>
          <w:lang w:val="en-AU"/>
        </w:rPr>
        <w:t xml:space="preserve"> </w:t>
      </w:r>
      <w:r w:rsidRPr="00A43B8B">
        <w:rPr>
          <w:rFonts w:asciiTheme="minorHAnsi" w:hAnsiTheme="minorHAnsi" w:cstheme="minorHAnsi"/>
          <w:sz w:val="20"/>
          <w:szCs w:val="22"/>
          <w:lang w:val="en-AU"/>
        </w:rPr>
        <w:t>currently evaluating the remaining</w:t>
      </w:r>
      <w:r w:rsidRPr="00A43B8B">
        <w:rPr>
          <w:rFonts w:asciiTheme="minorHAnsi" w:hAnsiTheme="minorHAnsi" w:cstheme="minorHAnsi"/>
          <w:sz w:val="20"/>
          <w:szCs w:val="22"/>
        </w:rPr>
        <w:t xml:space="preserve"> licen</w:t>
      </w:r>
      <w:r w:rsidR="00365801">
        <w:rPr>
          <w:rFonts w:asciiTheme="minorHAnsi" w:hAnsiTheme="minorHAnsi" w:cstheme="minorHAnsi"/>
          <w:sz w:val="20"/>
          <w:szCs w:val="22"/>
        </w:rPr>
        <w:t>c</w:t>
      </w:r>
      <w:r w:rsidRPr="00A43B8B">
        <w:rPr>
          <w:rFonts w:asciiTheme="minorHAnsi" w:hAnsiTheme="minorHAnsi" w:cstheme="minorHAnsi"/>
          <w:sz w:val="20"/>
          <w:szCs w:val="22"/>
        </w:rPr>
        <w:t xml:space="preserve">e, permit, certification and registration application processes to determine the potential benefits for </w:t>
      </w:r>
      <w:r w:rsidR="00321D5A">
        <w:rPr>
          <w:rFonts w:asciiTheme="minorHAnsi" w:hAnsiTheme="minorHAnsi" w:cstheme="minorHAnsi"/>
          <w:sz w:val="20"/>
          <w:szCs w:val="22"/>
        </w:rPr>
        <w:t xml:space="preserve">the </w:t>
      </w:r>
      <w:r w:rsidRPr="00A43B8B">
        <w:rPr>
          <w:rFonts w:asciiTheme="minorHAnsi" w:hAnsiTheme="minorHAnsi" w:cstheme="minorHAnsi"/>
          <w:sz w:val="20"/>
          <w:szCs w:val="22"/>
        </w:rPr>
        <w:t>digiti</w:t>
      </w:r>
      <w:r w:rsidR="001A3107">
        <w:rPr>
          <w:rFonts w:asciiTheme="minorHAnsi" w:hAnsiTheme="minorHAnsi" w:cstheme="minorHAnsi"/>
          <w:sz w:val="20"/>
          <w:szCs w:val="22"/>
        </w:rPr>
        <w:t>s</w:t>
      </w:r>
      <w:r w:rsidRPr="00A43B8B">
        <w:rPr>
          <w:rFonts w:asciiTheme="minorHAnsi" w:hAnsiTheme="minorHAnsi" w:cstheme="minorHAnsi"/>
          <w:sz w:val="20"/>
          <w:szCs w:val="22"/>
        </w:rPr>
        <w:t xml:space="preserve">ation of these processes. </w:t>
      </w:r>
      <w:r w:rsidR="009133CC">
        <w:rPr>
          <w:rFonts w:asciiTheme="minorHAnsi" w:hAnsiTheme="minorHAnsi" w:cstheme="minorHAnsi"/>
          <w:sz w:val="20"/>
          <w:szCs w:val="22"/>
        </w:rPr>
        <w:t xml:space="preserve">While this will assist Agriculture Victoria in transitioning to greater use </w:t>
      </w:r>
      <w:r w:rsidR="00C2162B">
        <w:rPr>
          <w:rFonts w:asciiTheme="minorHAnsi" w:hAnsiTheme="minorHAnsi" w:cstheme="minorHAnsi"/>
          <w:sz w:val="20"/>
          <w:szCs w:val="22"/>
        </w:rPr>
        <w:t xml:space="preserve">of </w:t>
      </w:r>
      <w:r w:rsidR="009133CC">
        <w:rPr>
          <w:rFonts w:asciiTheme="minorHAnsi" w:hAnsiTheme="minorHAnsi" w:cstheme="minorHAnsi"/>
          <w:sz w:val="20"/>
          <w:szCs w:val="22"/>
        </w:rPr>
        <w:t xml:space="preserve">online and digital technology, </w:t>
      </w:r>
      <w:r w:rsidR="00365801">
        <w:rPr>
          <w:rFonts w:asciiTheme="minorHAnsi" w:hAnsiTheme="minorHAnsi" w:cstheme="minorHAnsi"/>
          <w:sz w:val="20"/>
          <w:szCs w:val="22"/>
        </w:rPr>
        <w:t>further</w:t>
      </w:r>
      <w:r w:rsidR="009133CC">
        <w:rPr>
          <w:rFonts w:asciiTheme="minorHAnsi" w:hAnsiTheme="minorHAnsi" w:cstheme="minorHAnsi"/>
          <w:sz w:val="20"/>
          <w:szCs w:val="22"/>
        </w:rPr>
        <w:t xml:space="preserve"> planning </w:t>
      </w:r>
      <w:r w:rsidR="00365801">
        <w:rPr>
          <w:rFonts w:asciiTheme="minorHAnsi" w:hAnsiTheme="minorHAnsi" w:cstheme="minorHAnsi"/>
          <w:sz w:val="20"/>
          <w:szCs w:val="22"/>
        </w:rPr>
        <w:t xml:space="preserve">could be undertaken </w:t>
      </w:r>
      <w:r w:rsidR="009133CC">
        <w:rPr>
          <w:rFonts w:asciiTheme="minorHAnsi" w:hAnsiTheme="minorHAnsi" w:cstheme="minorHAnsi"/>
          <w:sz w:val="20"/>
          <w:szCs w:val="22"/>
        </w:rPr>
        <w:t xml:space="preserve">for migrating administrative services online </w:t>
      </w:r>
      <w:r w:rsidR="00365801">
        <w:rPr>
          <w:rFonts w:asciiTheme="minorHAnsi" w:hAnsiTheme="minorHAnsi" w:cstheme="minorHAnsi"/>
          <w:sz w:val="20"/>
          <w:szCs w:val="22"/>
        </w:rPr>
        <w:t xml:space="preserve">and </w:t>
      </w:r>
      <w:r w:rsidR="009133CC">
        <w:rPr>
          <w:rFonts w:asciiTheme="minorHAnsi" w:hAnsiTheme="minorHAnsi" w:cstheme="minorHAnsi"/>
          <w:sz w:val="20"/>
          <w:szCs w:val="22"/>
        </w:rPr>
        <w:t xml:space="preserve">provide a stronger basis for performance evaluation in the future. </w:t>
      </w:r>
    </w:p>
    <w:p w14:paraId="2DA77D31" w14:textId="3A90EF1F" w:rsidR="00E01A73" w:rsidRPr="00374F04" w:rsidRDefault="00E01A73" w:rsidP="00E01A73">
      <w:pPr>
        <w:pStyle w:val="Heading2"/>
        <w:rPr>
          <w:sz w:val="22"/>
        </w:rPr>
      </w:pPr>
      <w:bookmarkStart w:id="21" w:name="_Toc5254913"/>
      <w:r w:rsidRPr="00374F04">
        <w:rPr>
          <w:sz w:val="22"/>
        </w:rPr>
        <w:t xml:space="preserve">Risk </w:t>
      </w:r>
      <w:r w:rsidR="001A682A">
        <w:rPr>
          <w:sz w:val="22"/>
        </w:rPr>
        <w:t>b</w:t>
      </w:r>
      <w:r w:rsidRPr="00374F04">
        <w:rPr>
          <w:sz w:val="22"/>
        </w:rPr>
        <w:t xml:space="preserve">ased </w:t>
      </w:r>
      <w:r w:rsidR="001A682A">
        <w:rPr>
          <w:sz w:val="22"/>
        </w:rPr>
        <w:t>s</w:t>
      </w:r>
      <w:r w:rsidRPr="00374F04">
        <w:rPr>
          <w:sz w:val="22"/>
        </w:rPr>
        <w:t>trategies</w:t>
      </w:r>
      <w:bookmarkEnd w:id="21"/>
    </w:p>
    <w:tbl>
      <w:tblPr>
        <w:tblStyle w:val="TableGrid"/>
        <w:tblW w:w="0" w:type="auto"/>
        <w:tblLook w:val="04A0" w:firstRow="1" w:lastRow="0" w:firstColumn="1" w:lastColumn="0" w:noHBand="0" w:noVBand="1"/>
      </w:tblPr>
      <w:tblGrid>
        <w:gridCol w:w="9730"/>
      </w:tblGrid>
      <w:tr w:rsidR="00F87510" w:rsidRPr="00374F04" w14:paraId="12772D93" w14:textId="77777777" w:rsidTr="00C91A6C">
        <w:tc>
          <w:tcPr>
            <w:tcW w:w="9730" w:type="dxa"/>
            <w:shd w:val="clear" w:color="auto" w:fill="E2EAF6"/>
          </w:tcPr>
          <w:p w14:paraId="1D7F210A" w14:textId="60390215" w:rsidR="00F87510" w:rsidRPr="00292976" w:rsidRDefault="004E1B1A" w:rsidP="00292976">
            <w:pPr>
              <w:pStyle w:val="Body"/>
              <w:spacing w:before="120" w:after="120" w:line="240" w:lineRule="auto"/>
              <w:jc w:val="both"/>
              <w:rPr>
                <w:rFonts w:eastAsiaTheme="minorEastAsia" w:cstheme="minorHAnsi"/>
                <w:sz w:val="18"/>
                <w:szCs w:val="22"/>
              </w:rPr>
            </w:pPr>
            <w:r w:rsidRPr="00292976">
              <w:rPr>
                <w:rFonts w:eastAsiaTheme="minorEastAsia" w:cstheme="minorHAnsi"/>
                <w:sz w:val="18"/>
                <w:szCs w:val="22"/>
              </w:rPr>
              <w:t>Ministerial Expectation</w:t>
            </w:r>
            <w:r w:rsidR="00DE3092" w:rsidRPr="00292976">
              <w:rPr>
                <w:rFonts w:eastAsiaTheme="minorEastAsia" w:cstheme="minorHAnsi"/>
                <w:sz w:val="18"/>
                <w:szCs w:val="22"/>
              </w:rPr>
              <w:t>s</w:t>
            </w:r>
            <w:r w:rsidR="00E01A73" w:rsidRPr="00292976">
              <w:rPr>
                <w:rFonts w:eastAsiaTheme="minorEastAsia" w:cstheme="minorHAnsi"/>
                <w:sz w:val="18"/>
                <w:szCs w:val="22"/>
              </w:rPr>
              <w:t xml:space="preserve"> </w:t>
            </w:r>
          </w:p>
          <w:p w14:paraId="7F7B8DE0" w14:textId="27926960" w:rsidR="00134A89" w:rsidRPr="00292976" w:rsidRDefault="00134A89" w:rsidP="00893511">
            <w:pPr>
              <w:pStyle w:val="Body"/>
              <w:numPr>
                <w:ilvl w:val="0"/>
                <w:numId w:val="6"/>
              </w:numPr>
              <w:spacing w:before="120" w:after="120" w:line="240" w:lineRule="auto"/>
              <w:jc w:val="both"/>
              <w:rPr>
                <w:rFonts w:eastAsiaTheme="minorEastAsia" w:cstheme="minorHAnsi"/>
                <w:b w:val="0"/>
                <w:sz w:val="18"/>
                <w:szCs w:val="22"/>
              </w:rPr>
            </w:pPr>
            <w:r w:rsidRPr="00292976">
              <w:rPr>
                <w:rFonts w:eastAsiaTheme="minorEastAsia" w:cstheme="minorHAnsi"/>
                <w:b w:val="0"/>
                <w:sz w:val="18"/>
                <w:szCs w:val="22"/>
              </w:rPr>
              <w:t>Establish a regular review cycle for biosecurity compliance strategies</w:t>
            </w:r>
            <w:r w:rsidR="005F4E8D">
              <w:rPr>
                <w:rFonts w:eastAsiaTheme="minorEastAsia" w:cstheme="minorHAnsi"/>
                <w:b w:val="0"/>
                <w:sz w:val="18"/>
                <w:szCs w:val="22"/>
              </w:rPr>
              <w:t>.</w:t>
            </w:r>
            <w:r w:rsidRPr="00292976">
              <w:rPr>
                <w:rFonts w:eastAsiaTheme="minorEastAsia" w:cstheme="minorHAnsi"/>
                <w:b w:val="0"/>
                <w:sz w:val="18"/>
                <w:szCs w:val="22"/>
              </w:rPr>
              <w:t xml:space="preserve"> </w:t>
            </w:r>
          </w:p>
          <w:p w14:paraId="01933B38" w14:textId="36E14804" w:rsidR="00134A89" w:rsidRPr="00292976" w:rsidRDefault="00AA1340" w:rsidP="00893511">
            <w:pPr>
              <w:pStyle w:val="Body"/>
              <w:numPr>
                <w:ilvl w:val="0"/>
                <w:numId w:val="6"/>
              </w:numPr>
              <w:spacing w:before="120" w:after="120" w:line="240" w:lineRule="auto"/>
              <w:jc w:val="both"/>
              <w:rPr>
                <w:rFonts w:eastAsiaTheme="minorEastAsia" w:cstheme="minorHAnsi"/>
                <w:b w:val="0"/>
                <w:sz w:val="18"/>
                <w:szCs w:val="22"/>
              </w:rPr>
            </w:pPr>
            <w:r w:rsidRPr="00292976">
              <w:rPr>
                <w:rFonts w:eastAsiaTheme="minorEastAsia" w:cstheme="minorHAnsi"/>
                <w:b w:val="0"/>
                <w:sz w:val="18"/>
                <w:szCs w:val="22"/>
              </w:rPr>
              <w:t>Identify where additional data is required to inform risk-based strategies</w:t>
            </w:r>
            <w:r w:rsidR="005F4E8D">
              <w:rPr>
                <w:rFonts w:eastAsiaTheme="minorEastAsia" w:cstheme="minorHAnsi"/>
                <w:b w:val="0"/>
                <w:sz w:val="18"/>
                <w:szCs w:val="22"/>
              </w:rPr>
              <w:t>.</w:t>
            </w:r>
            <w:r w:rsidRPr="00292976">
              <w:rPr>
                <w:rFonts w:eastAsiaTheme="minorEastAsia" w:cstheme="minorHAnsi"/>
                <w:b w:val="0"/>
                <w:sz w:val="18"/>
                <w:szCs w:val="22"/>
              </w:rPr>
              <w:t xml:space="preserve"> </w:t>
            </w:r>
          </w:p>
          <w:p w14:paraId="10010706" w14:textId="0D229B7B" w:rsidR="00134A89" w:rsidRPr="00292976" w:rsidRDefault="00AA1340" w:rsidP="00893511">
            <w:pPr>
              <w:pStyle w:val="Body"/>
              <w:numPr>
                <w:ilvl w:val="0"/>
                <w:numId w:val="6"/>
              </w:numPr>
              <w:spacing w:before="120" w:after="120" w:line="240" w:lineRule="auto"/>
              <w:jc w:val="both"/>
              <w:rPr>
                <w:rFonts w:eastAsiaTheme="minorEastAsia" w:cstheme="minorHAnsi"/>
                <w:b w:val="0"/>
                <w:sz w:val="18"/>
                <w:szCs w:val="22"/>
              </w:rPr>
            </w:pPr>
            <w:r w:rsidRPr="00292976">
              <w:rPr>
                <w:rFonts w:eastAsiaTheme="minorEastAsia" w:cstheme="minorHAnsi"/>
                <w:b w:val="0"/>
                <w:sz w:val="18"/>
                <w:szCs w:val="22"/>
              </w:rPr>
              <w:t xml:space="preserve">Develop policy and identify legislative gaps relating to the management of state-wide marine pests. </w:t>
            </w:r>
          </w:p>
        </w:tc>
      </w:tr>
      <w:tr w:rsidR="007F443B" w:rsidRPr="00374F04" w14:paraId="33485F10" w14:textId="77777777" w:rsidTr="00C91A6C">
        <w:trPr>
          <w:trHeight w:val="717"/>
        </w:trPr>
        <w:tc>
          <w:tcPr>
            <w:tcW w:w="9730" w:type="dxa"/>
            <w:shd w:val="clear" w:color="auto" w:fill="auto"/>
          </w:tcPr>
          <w:p w14:paraId="20B72E44" w14:textId="77777777" w:rsidR="007F443B" w:rsidRPr="00292976" w:rsidRDefault="007F443B" w:rsidP="00292976">
            <w:pPr>
              <w:pStyle w:val="Body"/>
              <w:spacing w:before="120" w:after="120" w:line="240" w:lineRule="auto"/>
              <w:jc w:val="both"/>
              <w:rPr>
                <w:rFonts w:eastAsiaTheme="minorEastAsia" w:cstheme="minorHAnsi"/>
                <w:sz w:val="18"/>
                <w:szCs w:val="22"/>
              </w:rPr>
            </w:pPr>
            <w:r w:rsidRPr="00292976">
              <w:rPr>
                <w:rFonts w:eastAsiaTheme="minorEastAsia" w:cstheme="minorHAnsi"/>
                <w:sz w:val="18"/>
                <w:szCs w:val="22"/>
              </w:rPr>
              <w:t xml:space="preserve">Agriculture Victoria Improvement Response  </w:t>
            </w:r>
          </w:p>
          <w:p w14:paraId="195B8D7C" w14:textId="77777777" w:rsidR="007F443B" w:rsidRPr="00292976" w:rsidRDefault="007F443B" w:rsidP="00893511">
            <w:pPr>
              <w:pStyle w:val="Body"/>
              <w:numPr>
                <w:ilvl w:val="0"/>
                <w:numId w:val="24"/>
              </w:numPr>
              <w:spacing w:before="120" w:line="240" w:lineRule="auto"/>
              <w:jc w:val="both"/>
              <w:rPr>
                <w:rFonts w:eastAsiaTheme="minorEastAsia" w:cstheme="minorHAnsi"/>
                <w:b w:val="0"/>
                <w:sz w:val="18"/>
                <w:szCs w:val="22"/>
              </w:rPr>
            </w:pPr>
            <w:r w:rsidRPr="00292976">
              <w:rPr>
                <w:rFonts w:eastAsiaTheme="minorEastAsia" w:cstheme="minorHAnsi"/>
                <w:b w:val="0"/>
                <w:sz w:val="18"/>
                <w:szCs w:val="22"/>
              </w:rPr>
              <w:t>Review and update all risk-based compliance strategies.</w:t>
            </w:r>
          </w:p>
          <w:p w14:paraId="684F9A3F" w14:textId="77777777" w:rsidR="007F443B" w:rsidRPr="00292976" w:rsidRDefault="007F443B" w:rsidP="00893511">
            <w:pPr>
              <w:pStyle w:val="Body"/>
              <w:numPr>
                <w:ilvl w:val="0"/>
                <w:numId w:val="24"/>
              </w:numPr>
              <w:spacing w:before="120" w:after="120" w:line="240" w:lineRule="auto"/>
              <w:jc w:val="both"/>
              <w:rPr>
                <w:rFonts w:eastAsiaTheme="minorEastAsia" w:cstheme="minorHAnsi"/>
                <w:sz w:val="18"/>
                <w:szCs w:val="22"/>
              </w:rPr>
            </w:pPr>
            <w:r w:rsidRPr="00292976">
              <w:rPr>
                <w:rFonts w:eastAsiaTheme="minorEastAsia" w:cstheme="minorHAnsi"/>
                <w:b w:val="0"/>
                <w:sz w:val="18"/>
                <w:szCs w:val="22"/>
              </w:rPr>
              <w:t>Review and update all risk-based compliance operations plans.</w:t>
            </w:r>
          </w:p>
          <w:p w14:paraId="50DD58AC" w14:textId="77777777" w:rsidR="007F443B" w:rsidRPr="00292976" w:rsidRDefault="007F443B" w:rsidP="00893511">
            <w:pPr>
              <w:pStyle w:val="Body"/>
              <w:numPr>
                <w:ilvl w:val="0"/>
                <w:numId w:val="24"/>
              </w:numPr>
              <w:spacing w:before="120" w:line="240" w:lineRule="auto"/>
              <w:jc w:val="both"/>
              <w:rPr>
                <w:rFonts w:eastAsiaTheme="minorEastAsia" w:cstheme="minorHAnsi"/>
                <w:b w:val="0"/>
                <w:sz w:val="18"/>
                <w:szCs w:val="22"/>
              </w:rPr>
            </w:pPr>
            <w:r w:rsidRPr="00292976">
              <w:rPr>
                <w:rFonts w:eastAsiaTheme="minorEastAsia" w:cstheme="minorHAnsi"/>
                <w:b w:val="0"/>
                <w:sz w:val="18"/>
                <w:szCs w:val="22"/>
              </w:rPr>
              <w:t>Investigate gaps in current legislative powers and provisions to effectively address marine pest biosecurity for Victoria.</w:t>
            </w:r>
          </w:p>
          <w:p w14:paraId="456E4B37" w14:textId="569FAD01" w:rsidR="007F443B" w:rsidRPr="00292976" w:rsidRDefault="007F443B" w:rsidP="00893511">
            <w:pPr>
              <w:pStyle w:val="ListParagraph"/>
              <w:numPr>
                <w:ilvl w:val="0"/>
                <w:numId w:val="24"/>
              </w:numPr>
              <w:spacing w:before="120" w:line="240" w:lineRule="auto"/>
              <w:rPr>
                <w:rFonts w:asciiTheme="minorHAnsi" w:eastAsiaTheme="minorEastAsia" w:hAnsiTheme="minorHAnsi" w:cstheme="minorBidi"/>
                <w:color w:val="auto"/>
                <w:szCs w:val="22"/>
              </w:rPr>
            </w:pPr>
            <w:r w:rsidRPr="00292976">
              <w:rPr>
                <w:rFonts w:asciiTheme="minorHAnsi" w:eastAsiaTheme="minorEastAsia" w:hAnsiTheme="minorHAnsi" w:cstheme="minorHAnsi"/>
                <w:color w:val="auto"/>
                <w:szCs w:val="22"/>
                <w:lang w:val="en-AU"/>
              </w:rPr>
              <w:t>Develop a marine pest biosecurity policy that includes priority areas for data collection.</w:t>
            </w:r>
          </w:p>
        </w:tc>
      </w:tr>
    </w:tbl>
    <w:p w14:paraId="46FE343B" w14:textId="451CE7CA" w:rsidR="008C1E1C" w:rsidRPr="001E0075" w:rsidRDefault="008C1E1C" w:rsidP="008C1E1C">
      <w:pPr>
        <w:pStyle w:val="Heading2"/>
        <w:numPr>
          <w:ilvl w:val="0"/>
          <w:numId w:val="0"/>
        </w:numPr>
        <w:ind w:left="360" w:hanging="360"/>
        <w:rPr>
          <w:rFonts w:asciiTheme="minorHAnsi" w:hAnsiTheme="minorHAnsi" w:cstheme="minorHAnsi"/>
          <w:sz w:val="22"/>
        </w:rPr>
      </w:pPr>
      <w:bookmarkStart w:id="22" w:name="_Toc881037"/>
      <w:bookmarkStart w:id="23" w:name="_Toc5254914"/>
      <w:r w:rsidRPr="001E0075">
        <w:rPr>
          <w:rFonts w:asciiTheme="minorHAnsi" w:hAnsiTheme="minorHAnsi" w:cstheme="minorHAnsi"/>
          <w:sz w:val="22"/>
        </w:rPr>
        <w:t>Key Findings</w:t>
      </w:r>
      <w:bookmarkEnd w:id="22"/>
      <w:bookmarkEnd w:id="23"/>
      <w:r w:rsidRPr="001E0075">
        <w:rPr>
          <w:rFonts w:asciiTheme="minorHAnsi" w:hAnsiTheme="minorHAnsi" w:cstheme="minorHAnsi"/>
          <w:sz w:val="22"/>
        </w:rPr>
        <w:t xml:space="preserve"> </w:t>
      </w:r>
    </w:p>
    <w:p w14:paraId="14039F34" w14:textId="0CDCFC26" w:rsidR="001B4221" w:rsidRDefault="001B4221" w:rsidP="00F61D13">
      <w:pPr>
        <w:spacing w:line="276" w:lineRule="auto"/>
        <w:rPr>
          <w:rFonts w:asciiTheme="minorHAnsi" w:hAnsiTheme="minorHAnsi" w:cstheme="minorHAnsi"/>
          <w:sz w:val="20"/>
          <w:szCs w:val="22"/>
          <w:lang w:val="en-AU"/>
        </w:rPr>
      </w:pPr>
      <w:r w:rsidRPr="00374F04">
        <w:rPr>
          <w:rFonts w:asciiTheme="minorHAnsi" w:hAnsiTheme="minorHAnsi" w:cstheme="minorHAnsi"/>
          <w:sz w:val="20"/>
          <w:szCs w:val="22"/>
          <w:lang w:val="en-AU"/>
        </w:rPr>
        <w:t>Agriculture Victoria applies a risk-based approach</w:t>
      </w:r>
      <w:r w:rsidR="00F61D13">
        <w:rPr>
          <w:rFonts w:asciiTheme="minorHAnsi" w:hAnsiTheme="minorHAnsi" w:cstheme="minorHAnsi"/>
          <w:sz w:val="20"/>
          <w:szCs w:val="22"/>
          <w:lang w:val="en-AU"/>
        </w:rPr>
        <w:t xml:space="preserve"> that consists of: e</w:t>
      </w:r>
      <w:r w:rsidR="004C5EE1" w:rsidRPr="00A43B8B">
        <w:rPr>
          <w:rFonts w:asciiTheme="minorHAnsi" w:hAnsiTheme="minorHAnsi" w:cstheme="minorHAnsi"/>
          <w:sz w:val="20"/>
          <w:szCs w:val="22"/>
          <w:lang w:val="en-AU"/>
        </w:rPr>
        <w:t>vidence and science</w:t>
      </w:r>
      <w:r w:rsidR="00F564D5">
        <w:rPr>
          <w:rFonts w:asciiTheme="minorHAnsi" w:hAnsiTheme="minorHAnsi" w:cstheme="minorHAnsi"/>
          <w:sz w:val="20"/>
          <w:szCs w:val="22"/>
          <w:lang w:val="en-AU"/>
        </w:rPr>
        <w:t>-based</w:t>
      </w:r>
      <w:r w:rsidR="004C5EE1" w:rsidRPr="00A43B8B">
        <w:rPr>
          <w:rFonts w:asciiTheme="minorHAnsi" w:hAnsiTheme="minorHAnsi" w:cstheme="minorHAnsi"/>
          <w:sz w:val="20"/>
          <w:szCs w:val="22"/>
          <w:lang w:val="en-AU"/>
        </w:rPr>
        <w:t xml:space="preserve"> frameworks</w:t>
      </w:r>
      <w:r w:rsidR="00F61D13">
        <w:rPr>
          <w:rFonts w:asciiTheme="minorHAnsi" w:hAnsiTheme="minorHAnsi" w:cstheme="minorHAnsi"/>
          <w:sz w:val="20"/>
          <w:szCs w:val="22"/>
          <w:lang w:val="en-AU"/>
        </w:rPr>
        <w:t>; part</w:t>
      </w:r>
      <w:r w:rsidRPr="00A43B8B">
        <w:rPr>
          <w:rFonts w:asciiTheme="minorHAnsi" w:hAnsiTheme="minorHAnsi" w:cstheme="minorHAnsi"/>
          <w:sz w:val="20"/>
          <w:szCs w:val="22"/>
          <w:lang w:val="en-AU"/>
        </w:rPr>
        <w:t>nerships among governments, industry, na</w:t>
      </w:r>
      <w:r w:rsidR="004C5EE1" w:rsidRPr="00A43B8B">
        <w:rPr>
          <w:rFonts w:asciiTheme="minorHAnsi" w:hAnsiTheme="minorHAnsi" w:cstheme="minorHAnsi"/>
          <w:sz w:val="20"/>
          <w:szCs w:val="22"/>
          <w:lang w:val="en-AU"/>
        </w:rPr>
        <w:t>tural resources managers and communitie</w:t>
      </w:r>
      <w:r w:rsidR="00F61D13">
        <w:rPr>
          <w:rFonts w:asciiTheme="minorHAnsi" w:hAnsiTheme="minorHAnsi" w:cstheme="minorHAnsi"/>
          <w:sz w:val="20"/>
          <w:szCs w:val="22"/>
          <w:lang w:val="en-AU"/>
        </w:rPr>
        <w:t>s; ef</w:t>
      </w:r>
      <w:r w:rsidRPr="00A43B8B">
        <w:rPr>
          <w:rFonts w:asciiTheme="minorHAnsi" w:hAnsiTheme="minorHAnsi" w:cstheme="minorHAnsi"/>
          <w:sz w:val="20"/>
          <w:szCs w:val="22"/>
          <w:lang w:val="en-AU"/>
        </w:rPr>
        <w:t>fective preparedness, surveillance, traceability and diagnostics</w:t>
      </w:r>
      <w:r w:rsidR="00F61D13">
        <w:rPr>
          <w:rFonts w:asciiTheme="minorHAnsi" w:hAnsiTheme="minorHAnsi" w:cstheme="minorHAnsi"/>
          <w:sz w:val="20"/>
          <w:szCs w:val="22"/>
          <w:lang w:val="en-AU"/>
        </w:rPr>
        <w:t>; and c</w:t>
      </w:r>
      <w:r w:rsidRPr="00A43B8B">
        <w:rPr>
          <w:rFonts w:asciiTheme="minorHAnsi" w:hAnsiTheme="minorHAnsi" w:cstheme="minorHAnsi"/>
          <w:sz w:val="20"/>
          <w:szCs w:val="22"/>
          <w:lang w:val="en-AU"/>
        </w:rPr>
        <w:t>ontemporary regulatory approaches</w:t>
      </w:r>
      <w:r w:rsidR="00F61D13">
        <w:rPr>
          <w:rFonts w:asciiTheme="minorHAnsi" w:hAnsiTheme="minorHAnsi" w:cstheme="minorHAnsi"/>
          <w:sz w:val="20"/>
          <w:szCs w:val="22"/>
          <w:lang w:val="en-AU"/>
        </w:rPr>
        <w:t>.</w:t>
      </w:r>
    </w:p>
    <w:p w14:paraId="7D221430" w14:textId="77777777" w:rsidR="00A43B8B" w:rsidRPr="00A43B8B" w:rsidRDefault="00A43B8B" w:rsidP="00A43B8B">
      <w:pPr>
        <w:pStyle w:val="NoSpacing"/>
        <w:ind w:left="720"/>
        <w:rPr>
          <w:rFonts w:asciiTheme="minorHAnsi" w:hAnsiTheme="minorHAnsi" w:cstheme="minorHAnsi"/>
          <w:sz w:val="20"/>
          <w:szCs w:val="22"/>
          <w:lang w:val="en-AU"/>
        </w:rPr>
      </w:pPr>
    </w:p>
    <w:p w14:paraId="2C365EF3" w14:textId="3CE55CEE" w:rsidR="00885395" w:rsidRDefault="004C5EE1" w:rsidP="00885395">
      <w:pPr>
        <w:spacing w:line="276" w:lineRule="auto"/>
        <w:rPr>
          <w:rFonts w:asciiTheme="minorHAnsi" w:hAnsiTheme="minorHAnsi" w:cstheme="minorHAnsi"/>
          <w:sz w:val="20"/>
          <w:szCs w:val="22"/>
          <w:lang w:val="en-AU"/>
        </w:rPr>
      </w:pPr>
      <w:r w:rsidRPr="00374F04">
        <w:rPr>
          <w:rFonts w:asciiTheme="minorHAnsi" w:hAnsiTheme="minorHAnsi" w:cstheme="minorHAnsi"/>
          <w:sz w:val="20"/>
          <w:szCs w:val="22"/>
          <w:lang w:val="en-AU"/>
        </w:rPr>
        <w:t xml:space="preserve">In the </w:t>
      </w:r>
      <w:r w:rsidR="00E104E6" w:rsidRPr="00374F04">
        <w:rPr>
          <w:rFonts w:asciiTheme="minorHAnsi" w:hAnsiTheme="minorHAnsi" w:cstheme="minorHAnsi"/>
          <w:sz w:val="20"/>
          <w:szCs w:val="22"/>
          <w:lang w:val="en-AU"/>
        </w:rPr>
        <w:t>SOE</w:t>
      </w:r>
      <w:r w:rsidR="00C2162B">
        <w:rPr>
          <w:rFonts w:asciiTheme="minorHAnsi" w:hAnsiTheme="minorHAnsi" w:cstheme="minorHAnsi"/>
          <w:sz w:val="20"/>
          <w:szCs w:val="22"/>
          <w:lang w:val="en-AU"/>
        </w:rPr>
        <w:t>,</w:t>
      </w:r>
      <w:r w:rsidRPr="00374F04">
        <w:rPr>
          <w:rFonts w:asciiTheme="minorHAnsi" w:hAnsiTheme="minorHAnsi" w:cstheme="minorHAnsi"/>
          <w:sz w:val="20"/>
          <w:szCs w:val="22"/>
          <w:lang w:val="en-AU"/>
        </w:rPr>
        <w:t xml:space="preserve"> Agriculture Victoria</w:t>
      </w:r>
      <w:r w:rsidR="001B4221" w:rsidRPr="00374F04">
        <w:rPr>
          <w:rFonts w:asciiTheme="minorHAnsi" w:hAnsiTheme="minorHAnsi" w:cstheme="minorHAnsi"/>
          <w:sz w:val="20"/>
          <w:szCs w:val="22"/>
          <w:lang w:val="en-AU"/>
        </w:rPr>
        <w:t xml:space="preserve"> committed to reviewing its risk-based compliance strategies and plans. </w:t>
      </w:r>
      <w:r w:rsidR="00885395" w:rsidRPr="00374F04">
        <w:rPr>
          <w:rFonts w:asciiTheme="minorHAnsi" w:hAnsiTheme="minorHAnsi" w:cstheme="minorHAnsi"/>
          <w:sz w:val="20"/>
          <w:szCs w:val="22"/>
          <w:lang w:val="en-AU"/>
        </w:rPr>
        <w:t>Agriculture Victoria applies a graduated compliance response to its regulatory activities</w:t>
      </w:r>
      <w:r w:rsidR="00885395">
        <w:rPr>
          <w:rFonts w:asciiTheme="minorHAnsi" w:hAnsiTheme="minorHAnsi" w:cstheme="minorHAnsi"/>
          <w:sz w:val="20"/>
          <w:szCs w:val="22"/>
          <w:lang w:val="en-AU"/>
        </w:rPr>
        <w:t xml:space="preserve"> to ensure the proper prioritisation of responses as well as the proportionality of compliance actions that are taken. The compliance behaviour of regulated individuals and businesses is considered in relation to general risk of harm and where there are higher risks, responses will escalate to higher levels of intervention and enforcement. </w:t>
      </w:r>
    </w:p>
    <w:p w14:paraId="0349AE66" w14:textId="54B0C10F" w:rsidR="008C1E1C" w:rsidRDefault="001B4221" w:rsidP="00885395">
      <w:pPr>
        <w:spacing w:line="276" w:lineRule="auto"/>
        <w:rPr>
          <w:rFonts w:asciiTheme="minorHAnsi" w:hAnsiTheme="minorHAnsi" w:cstheme="minorHAnsi"/>
          <w:sz w:val="20"/>
          <w:szCs w:val="22"/>
          <w:lang w:val="en-AU"/>
        </w:rPr>
      </w:pPr>
      <w:r w:rsidRPr="00374F04">
        <w:rPr>
          <w:rFonts w:asciiTheme="minorHAnsi" w:hAnsiTheme="minorHAnsi" w:cstheme="minorHAnsi"/>
          <w:sz w:val="20"/>
          <w:szCs w:val="22"/>
          <w:lang w:val="en-AU"/>
        </w:rPr>
        <w:t xml:space="preserve">At the time of this evaluation Agriculture Victoria </w:t>
      </w:r>
      <w:r w:rsidR="004C5EE1" w:rsidRPr="00374F04">
        <w:rPr>
          <w:rFonts w:asciiTheme="minorHAnsi" w:hAnsiTheme="minorHAnsi" w:cstheme="minorHAnsi"/>
          <w:sz w:val="20"/>
          <w:szCs w:val="22"/>
          <w:lang w:val="en-AU"/>
        </w:rPr>
        <w:t xml:space="preserve">had </w:t>
      </w:r>
      <w:r w:rsidRPr="00374F04">
        <w:rPr>
          <w:rFonts w:asciiTheme="minorHAnsi" w:hAnsiTheme="minorHAnsi" w:cstheme="minorHAnsi"/>
          <w:sz w:val="20"/>
          <w:szCs w:val="22"/>
          <w:lang w:val="en-AU"/>
        </w:rPr>
        <w:t xml:space="preserve">completed </w:t>
      </w:r>
      <w:r w:rsidR="00F61D13">
        <w:rPr>
          <w:rFonts w:asciiTheme="minorHAnsi" w:hAnsiTheme="minorHAnsi" w:cstheme="minorHAnsi"/>
          <w:sz w:val="20"/>
          <w:szCs w:val="22"/>
          <w:lang w:val="en-AU"/>
        </w:rPr>
        <w:t>a</w:t>
      </w:r>
      <w:r w:rsidRPr="00374F04">
        <w:rPr>
          <w:rFonts w:asciiTheme="minorHAnsi" w:hAnsiTheme="minorHAnsi" w:cstheme="minorHAnsi"/>
          <w:sz w:val="20"/>
          <w:szCs w:val="22"/>
          <w:lang w:val="en-AU"/>
        </w:rPr>
        <w:t xml:space="preserve"> review of its</w:t>
      </w:r>
      <w:r w:rsidR="00E50131">
        <w:rPr>
          <w:rFonts w:asciiTheme="minorHAnsi" w:hAnsiTheme="minorHAnsi" w:cstheme="minorHAnsi"/>
          <w:sz w:val="20"/>
          <w:szCs w:val="22"/>
          <w:lang w:val="en-AU"/>
        </w:rPr>
        <w:t xml:space="preserve"> biosecurity</w:t>
      </w:r>
      <w:r w:rsidRPr="00374F04">
        <w:rPr>
          <w:rFonts w:asciiTheme="minorHAnsi" w:hAnsiTheme="minorHAnsi" w:cstheme="minorHAnsi"/>
          <w:sz w:val="20"/>
          <w:szCs w:val="22"/>
          <w:lang w:val="en-AU"/>
        </w:rPr>
        <w:t xml:space="preserve"> compliance strategies</w:t>
      </w:r>
      <w:r w:rsidR="00F61D13">
        <w:rPr>
          <w:rFonts w:asciiTheme="minorHAnsi" w:hAnsiTheme="minorHAnsi" w:cstheme="minorHAnsi"/>
          <w:sz w:val="20"/>
          <w:szCs w:val="22"/>
          <w:lang w:val="en-AU"/>
        </w:rPr>
        <w:t xml:space="preserve"> and determined </w:t>
      </w:r>
      <w:r w:rsidRPr="00374F04">
        <w:rPr>
          <w:rFonts w:asciiTheme="minorHAnsi" w:hAnsiTheme="minorHAnsi" w:cstheme="minorHAnsi"/>
          <w:sz w:val="20"/>
          <w:szCs w:val="22"/>
          <w:lang w:val="en-AU"/>
        </w:rPr>
        <w:t xml:space="preserve">that rather than </w:t>
      </w:r>
      <w:r w:rsidR="004C5EE1" w:rsidRPr="00374F04">
        <w:rPr>
          <w:rFonts w:asciiTheme="minorHAnsi" w:hAnsiTheme="minorHAnsi" w:cstheme="minorHAnsi"/>
          <w:sz w:val="20"/>
          <w:szCs w:val="22"/>
          <w:lang w:val="en-AU"/>
        </w:rPr>
        <w:t xml:space="preserve">update </w:t>
      </w:r>
      <w:r w:rsidR="00F61D13">
        <w:rPr>
          <w:rFonts w:asciiTheme="minorHAnsi" w:hAnsiTheme="minorHAnsi" w:cstheme="minorHAnsi"/>
          <w:sz w:val="20"/>
          <w:szCs w:val="22"/>
          <w:lang w:val="en-AU"/>
        </w:rPr>
        <w:t>individual</w:t>
      </w:r>
      <w:r w:rsidR="004C5EE1" w:rsidRPr="00374F04">
        <w:rPr>
          <w:rFonts w:asciiTheme="minorHAnsi" w:hAnsiTheme="minorHAnsi" w:cstheme="minorHAnsi"/>
          <w:sz w:val="20"/>
          <w:szCs w:val="22"/>
          <w:lang w:val="en-AU"/>
        </w:rPr>
        <w:t xml:space="preserve"> strategies</w:t>
      </w:r>
      <w:r w:rsidR="00A43B8B">
        <w:rPr>
          <w:rFonts w:asciiTheme="minorHAnsi" w:hAnsiTheme="minorHAnsi" w:cstheme="minorHAnsi"/>
          <w:sz w:val="20"/>
          <w:szCs w:val="22"/>
          <w:lang w:val="en-AU"/>
        </w:rPr>
        <w:t>,</w:t>
      </w:r>
      <w:r w:rsidR="004C5EE1" w:rsidRPr="00374F04">
        <w:rPr>
          <w:rFonts w:asciiTheme="minorHAnsi" w:hAnsiTheme="minorHAnsi" w:cstheme="minorHAnsi"/>
          <w:sz w:val="20"/>
          <w:szCs w:val="22"/>
          <w:lang w:val="en-AU"/>
        </w:rPr>
        <w:t xml:space="preserve"> </w:t>
      </w:r>
      <w:r w:rsidR="00F61D13">
        <w:rPr>
          <w:rFonts w:asciiTheme="minorHAnsi" w:hAnsiTheme="minorHAnsi" w:cstheme="minorHAnsi"/>
          <w:sz w:val="20"/>
          <w:szCs w:val="22"/>
          <w:lang w:val="en-AU"/>
        </w:rPr>
        <w:t>it would de</w:t>
      </w:r>
      <w:r w:rsidRPr="00374F04">
        <w:rPr>
          <w:rFonts w:asciiTheme="minorHAnsi" w:hAnsiTheme="minorHAnsi" w:cstheme="minorHAnsi"/>
          <w:sz w:val="20"/>
          <w:szCs w:val="22"/>
          <w:lang w:val="en-AU"/>
        </w:rPr>
        <w:t xml:space="preserve">velop </w:t>
      </w:r>
      <w:r w:rsidR="00F61D13">
        <w:rPr>
          <w:rFonts w:asciiTheme="minorHAnsi" w:hAnsiTheme="minorHAnsi" w:cstheme="minorHAnsi"/>
          <w:sz w:val="20"/>
          <w:szCs w:val="22"/>
          <w:lang w:val="en-AU"/>
        </w:rPr>
        <w:t>an</w:t>
      </w:r>
      <w:r w:rsidRPr="00374F04">
        <w:rPr>
          <w:rFonts w:asciiTheme="minorHAnsi" w:hAnsiTheme="minorHAnsi" w:cstheme="minorHAnsi"/>
          <w:sz w:val="20"/>
          <w:szCs w:val="22"/>
          <w:lang w:val="en-AU"/>
        </w:rPr>
        <w:t xml:space="preserve"> overarching compliance strategy that reflects contemporary best practice with alignment to risk-ba</w:t>
      </w:r>
      <w:r w:rsidR="004C5EE1" w:rsidRPr="00374F04">
        <w:rPr>
          <w:rFonts w:asciiTheme="minorHAnsi" w:hAnsiTheme="minorHAnsi" w:cstheme="minorHAnsi"/>
          <w:sz w:val="20"/>
          <w:szCs w:val="22"/>
          <w:lang w:val="en-AU"/>
        </w:rPr>
        <w:t xml:space="preserve">sed approaches. </w:t>
      </w:r>
      <w:r w:rsidR="00F1209E" w:rsidRPr="00F1209E">
        <w:rPr>
          <w:rFonts w:asciiTheme="minorHAnsi" w:hAnsiTheme="minorHAnsi" w:cstheme="minorHAnsi"/>
          <w:sz w:val="20"/>
          <w:szCs w:val="22"/>
          <w:lang w:val="en-AU"/>
        </w:rPr>
        <w:t>This approach would use a single strategic model which would ensure a consistent approach</w:t>
      </w:r>
      <w:r w:rsidR="00F61D13">
        <w:rPr>
          <w:rFonts w:asciiTheme="minorHAnsi" w:hAnsiTheme="minorHAnsi" w:cstheme="minorHAnsi"/>
          <w:sz w:val="20"/>
          <w:szCs w:val="22"/>
          <w:lang w:val="en-AU"/>
        </w:rPr>
        <w:t xml:space="preserve"> to the development of program-themed </w:t>
      </w:r>
      <w:r w:rsidR="00F1209E" w:rsidRPr="00F1209E">
        <w:rPr>
          <w:rFonts w:asciiTheme="minorHAnsi" w:hAnsiTheme="minorHAnsi" w:cstheme="minorHAnsi"/>
          <w:sz w:val="20"/>
          <w:szCs w:val="22"/>
          <w:lang w:val="en-AU"/>
        </w:rPr>
        <w:t>compliance plans</w:t>
      </w:r>
      <w:r w:rsidR="00F61D13">
        <w:rPr>
          <w:rFonts w:asciiTheme="minorHAnsi" w:hAnsiTheme="minorHAnsi" w:cstheme="minorHAnsi"/>
          <w:sz w:val="20"/>
          <w:szCs w:val="22"/>
          <w:lang w:val="en-AU"/>
        </w:rPr>
        <w:t>.</w:t>
      </w:r>
    </w:p>
    <w:p w14:paraId="79D22AC4" w14:textId="48D2129D" w:rsidR="00885395" w:rsidRDefault="00885395" w:rsidP="00885395">
      <w:pPr>
        <w:spacing w:line="276" w:lineRule="auto"/>
        <w:rPr>
          <w:rFonts w:asciiTheme="minorHAnsi" w:hAnsiTheme="minorHAnsi" w:cstheme="minorHAnsi"/>
          <w:sz w:val="20"/>
          <w:szCs w:val="22"/>
          <w:lang w:val="en-AU"/>
        </w:rPr>
      </w:pPr>
      <w:r>
        <w:rPr>
          <w:rFonts w:asciiTheme="minorHAnsi" w:hAnsiTheme="minorHAnsi" w:cstheme="minorHAnsi"/>
          <w:sz w:val="20"/>
          <w:szCs w:val="22"/>
          <w:lang w:val="en-AU"/>
        </w:rPr>
        <w:t>Agriculture Victoria is also developing a ‘marine’ module under its Invasive Plants and Animals Policy Framework to document and communicate its responsibilities in marine pest management. Further c</w:t>
      </w:r>
      <w:r w:rsidRPr="00374F04">
        <w:rPr>
          <w:rFonts w:asciiTheme="minorHAnsi" w:hAnsiTheme="minorHAnsi" w:cstheme="minorHAnsi"/>
          <w:sz w:val="20"/>
          <w:szCs w:val="22"/>
          <w:lang w:val="en-AU"/>
        </w:rPr>
        <w:t xml:space="preserve">larifying roles and responsibilities across agencies to improve the coordination </w:t>
      </w:r>
      <w:r>
        <w:rPr>
          <w:rFonts w:asciiTheme="minorHAnsi" w:hAnsiTheme="minorHAnsi" w:cstheme="minorHAnsi"/>
          <w:sz w:val="20"/>
          <w:szCs w:val="22"/>
          <w:lang w:val="en-AU"/>
        </w:rPr>
        <w:t>of</w:t>
      </w:r>
      <w:r w:rsidRPr="00374F04">
        <w:rPr>
          <w:rFonts w:asciiTheme="minorHAnsi" w:hAnsiTheme="minorHAnsi" w:cstheme="minorHAnsi"/>
          <w:sz w:val="20"/>
          <w:szCs w:val="22"/>
          <w:lang w:val="en-AU"/>
        </w:rPr>
        <w:t xml:space="preserve"> risk assessments, surveillance and </w:t>
      </w:r>
      <w:r>
        <w:rPr>
          <w:rFonts w:asciiTheme="minorHAnsi" w:hAnsiTheme="minorHAnsi" w:cstheme="minorHAnsi"/>
          <w:sz w:val="20"/>
          <w:szCs w:val="22"/>
          <w:lang w:val="en-AU"/>
        </w:rPr>
        <w:t xml:space="preserve">incursion </w:t>
      </w:r>
      <w:r w:rsidRPr="00374F04">
        <w:rPr>
          <w:rFonts w:asciiTheme="minorHAnsi" w:hAnsiTheme="minorHAnsi" w:cstheme="minorHAnsi"/>
          <w:sz w:val="20"/>
          <w:szCs w:val="22"/>
          <w:lang w:val="en-AU"/>
        </w:rPr>
        <w:t xml:space="preserve">response planning will be important milestones for this </w:t>
      </w:r>
      <w:r>
        <w:rPr>
          <w:rFonts w:asciiTheme="minorHAnsi" w:hAnsiTheme="minorHAnsi" w:cstheme="minorHAnsi"/>
          <w:sz w:val="20"/>
          <w:szCs w:val="22"/>
          <w:lang w:val="en-AU"/>
        </w:rPr>
        <w:t>area of work moving forward.</w:t>
      </w:r>
    </w:p>
    <w:p w14:paraId="02E21253" w14:textId="4784D079" w:rsidR="00F87510" w:rsidRPr="00374F04" w:rsidRDefault="001B4221" w:rsidP="00E01A73">
      <w:pPr>
        <w:pStyle w:val="Heading2"/>
        <w:rPr>
          <w:sz w:val="22"/>
        </w:rPr>
      </w:pPr>
      <w:bookmarkStart w:id="24" w:name="_Toc5254915"/>
      <w:r w:rsidRPr="00374F04">
        <w:rPr>
          <w:sz w:val="22"/>
        </w:rPr>
        <w:lastRenderedPageBreak/>
        <w:t>Com</w:t>
      </w:r>
      <w:r w:rsidR="00E01A73" w:rsidRPr="00374F04">
        <w:rPr>
          <w:sz w:val="22"/>
        </w:rPr>
        <w:t xml:space="preserve">pliance </w:t>
      </w:r>
      <w:r w:rsidR="004E70FF">
        <w:rPr>
          <w:sz w:val="22"/>
        </w:rPr>
        <w:t>r</w:t>
      </w:r>
      <w:r w:rsidR="00E01A73" w:rsidRPr="00374F04">
        <w:rPr>
          <w:sz w:val="22"/>
        </w:rPr>
        <w:t xml:space="preserve">elated </w:t>
      </w:r>
      <w:r w:rsidR="004E70FF">
        <w:rPr>
          <w:sz w:val="22"/>
        </w:rPr>
        <w:t>a</w:t>
      </w:r>
      <w:r w:rsidR="00E01A73" w:rsidRPr="00374F04">
        <w:rPr>
          <w:sz w:val="22"/>
        </w:rPr>
        <w:t xml:space="preserve">ssistance and </w:t>
      </w:r>
      <w:r w:rsidR="004E70FF">
        <w:rPr>
          <w:sz w:val="22"/>
        </w:rPr>
        <w:t>a</w:t>
      </w:r>
      <w:r w:rsidRPr="00374F04">
        <w:rPr>
          <w:sz w:val="22"/>
        </w:rPr>
        <w:t>dvice</w:t>
      </w:r>
      <w:bookmarkEnd w:id="24"/>
    </w:p>
    <w:tbl>
      <w:tblPr>
        <w:tblStyle w:val="TableGrid"/>
        <w:tblW w:w="0" w:type="auto"/>
        <w:tblLook w:val="04A0" w:firstRow="1" w:lastRow="0" w:firstColumn="1" w:lastColumn="0" w:noHBand="0" w:noVBand="1"/>
      </w:tblPr>
      <w:tblGrid>
        <w:gridCol w:w="9730"/>
      </w:tblGrid>
      <w:tr w:rsidR="00F82D0C" w:rsidRPr="00374F04" w14:paraId="484EE0A1" w14:textId="77777777" w:rsidTr="00C91A6C">
        <w:tc>
          <w:tcPr>
            <w:tcW w:w="9730" w:type="dxa"/>
            <w:shd w:val="clear" w:color="auto" w:fill="E2EAF6"/>
          </w:tcPr>
          <w:p w14:paraId="4775F12A" w14:textId="11EC636B" w:rsidR="00F82D0C" w:rsidRPr="00292976" w:rsidRDefault="004E1B1A" w:rsidP="00292976">
            <w:pPr>
              <w:pStyle w:val="Body"/>
              <w:spacing w:before="120" w:after="120" w:line="240" w:lineRule="auto"/>
              <w:jc w:val="both"/>
              <w:rPr>
                <w:rFonts w:eastAsiaTheme="minorEastAsia" w:cstheme="minorHAnsi"/>
                <w:sz w:val="18"/>
                <w:szCs w:val="22"/>
              </w:rPr>
            </w:pPr>
            <w:bookmarkStart w:id="25" w:name="_Hlk528751394"/>
            <w:r w:rsidRPr="00292976">
              <w:rPr>
                <w:rFonts w:eastAsiaTheme="minorEastAsia" w:cstheme="minorHAnsi"/>
                <w:sz w:val="18"/>
                <w:szCs w:val="22"/>
              </w:rPr>
              <w:t>Ministerial Expectation</w:t>
            </w:r>
            <w:r w:rsidR="00DE3092" w:rsidRPr="00292976">
              <w:rPr>
                <w:rFonts w:eastAsiaTheme="minorEastAsia" w:cstheme="minorHAnsi"/>
                <w:sz w:val="18"/>
                <w:szCs w:val="22"/>
              </w:rPr>
              <w:t>s</w:t>
            </w:r>
          </w:p>
          <w:p w14:paraId="12B1C13C" w14:textId="45F93412" w:rsidR="00F82D0C" w:rsidRPr="00292976" w:rsidRDefault="00AA1340" w:rsidP="00893511">
            <w:pPr>
              <w:pStyle w:val="Body"/>
              <w:numPr>
                <w:ilvl w:val="0"/>
                <w:numId w:val="7"/>
              </w:numPr>
              <w:spacing w:before="120" w:after="120" w:line="240" w:lineRule="auto"/>
              <w:jc w:val="both"/>
              <w:rPr>
                <w:rFonts w:eastAsiaTheme="minorEastAsia" w:cstheme="minorHAnsi"/>
                <w:b w:val="0"/>
                <w:sz w:val="18"/>
                <w:szCs w:val="22"/>
              </w:rPr>
            </w:pPr>
            <w:r w:rsidRPr="00292976">
              <w:rPr>
                <w:rFonts w:eastAsiaTheme="minorEastAsia" w:cstheme="minorHAnsi"/>
                <w:b w:val="0"/>
                <w:sz w:val="18"/>
                <w:szCs w:val="22"/>
              </w:rPr>
              <w:t>Improve the clarity and currency of guidance to regulated parties to ensure it is comprehensible and easy to understand</w:t>
            </w:r>
            <w:r w:rsidR="00880A0D">
              <w:rPr>
                <w:rFonts w:eastAsiaTheme="minorEastAsia" w:cstheme="minorHAnsi"/>
                <w:b w:val="0"/>
                <w:sz w:val="18"/>
                <w:szCs w:val="22"/>
              </w:rPr>
              <w:t>.</w:t>
            </w:r>
          </w:p>
        </w:tc>
      </w:tr>
      <w:tr w:rsidR="007F443B" w:rsidRPr="00374F04" w14:paraId="66E93AA8" w14:textId="77777777" w:rsidTr="00C91A6C">
        <w:trPr>
          <w:trHeight w:val="287"/>
        </w:trPr>
        <w:tc>
          <w:tcPr>
            <w:tcW w:w="9730" w:type="dxa"/>
            <w:shd w:val="clear" w:color="auto" w:fill="auto"/>
          </w:tcPr>
          <w:p w14:paraId="2E243162" w14:textId="77777777" w:rsidR="007F443B" w:rsidRPr="00292976" w:rsidRDefault="007F443B" w:rsidP="00292976">
            <w:pPr>
              <w:pStyle w:val="Body"/>
              <w:spacing w:before="120" w:after="120" w:line="240" w:lineRule="auto"/>
              <w:jc w:val="both"/>
              <w:rPr>
                <w:rFonts w:eastAsiaTheme="minorEastAsia" w:cstheme="minorHAnsi"/>
                <w:sz w:val="18"/>
                <w:szCs w:val="22"/>
              </w:rPr>
            </w:pPr>
            <w:r w:rsidRPr="00292976">
              <w:rPr>
                <w:rFonts w:eastAsiaTheme="minorEastAsia" w:cstheme="minorHAnsi"/>
                <w:sz w:val="18"/>
                <w:szCs w:val="22"/>
              </w:rPr>
              <w:t xml:space="preserve">Agriculture Victoria Improvement Response </w:t>
            </w:r>
          </w:p>
          <w:p w14:paraId="3D8739BE" w14:textId="77777777" w:rsidR="007F443B" w:rsidRPr="00292976" w:rsidRDefault="007F443B" w:rsidP="00893511">
            <w:pPr>
              <w:pStyle w:val="Body"/>
              <w:numPr>
                <w:ilvl w:val="0"/>
                <w:numId w:val="7"/>
              </w:numPr>
              <w:spacing w:before="120" w:line="240" w:lineRule="auto"/>
              <w:jc w:val="both"/>
              <w:rPr>
                <w:rFonts w:eastAsiaTheme="minorEastAsia" w:cstheme="minorHAnsi"/>
                <w:b w:val="0"/>
                <w:sz w:val="18"/>
                <w:szCs w:val="22"/>
              </w:rPr>
            </w:pPr>
            <w:r w:rsidRPr="00292976">
              <w:rPr>
                <w:rFonts w:eastAsiaTheme="minorEastAsia" w:cstheme="minorHAnsi"/>
                <w:b w:val="0"/>
                <w:sz w:val="18"/>
                <w:szCs w:val="22"/>
              </w:rPr>
              <w:t xml:space="preserve">Prepare a plan to review current website content to ensure advisory material for regulated parties is current, relevant and accessible. </w:t>
            </w:r>
          </w:p>
          <w:p w14:paraId="07BF1042" w14:textId="77777777" w:rsidR="007F443B" w:rsidRPr="00292976" w:rsidRDefault="007F443B" w:rsidP="00893511">
            <w:pPr>
              <w:pStyle w:val="Body"/>
              <w:numPr>
                <w:ilvl w:val="0"/>
                <w:numId w:val="7"/>
              </w:numPr>
              <w:spacing w:before="120" w:after="120" w:line="240" w:lineRule="auto"/>
              <w:jc w:val="both"/>
              <w:rPr>
                <w:rFonts w:eastAsiaTheme="minorEastAsia" w:cstheme="minorHAnsi"/>
                <w:sz w:val="18"/>
                <w:szCs w:val="22"/>
              </w:rPr>
            </w:pPr>
            <w:r w:rsidRPr="00292976">
              <w:rPr>
                <w:rFonts w:eastAsiaTheme="minorEastAsia" w:cstheme="minorHAnsi"/>
                <w:b w:val="0"/>
                <w:sz w:val="18"/>
                <w:szCs w:val="22"/>
              </w:rPr>
              <w:t>Implement first stage of website content review.</w:t>
            </w:r>
          </w:p>
          <w:p w14:paraId="47DF6C79" w14:textId="77777777" w:rsidR="007F443B" w:rsidRPr="00292976" w:rsidRDefault="007F443B" w:rsidP="00893511">
            <w:pPr>
              <w:pStyle w:val="Body"/>
              <w:numPr>
                <w:ilvl w:val="0"/>
                <w:numId w:val="7"/>
              </w:numPr>
              <w:spacing w:before="120" w:line="240" w:lineRule="auto"/>
              <w:jc w:val="both"/>
              <w:rPr>
                <w:rFonts w:eastAsiaTheme="minorEastAsia" w:cstheme="minorHAnsi"/>
                <w:b w:val="0"/>
                <w:sz w:val="18"/>
                <w:szCs w:val="22"/>
              </w:rPr>
            </w:pPr>
            <w:r w:rsidRPr="00292976">
              <w:rPr>
                <w:rFonts w:eastAsiaTheme="minorEastAsia" w:cstheme="minorHAnsi"/>
                <w:b w:val="0"/>
                <w:sz w:val="18"/>
                <w:szCs w:val="22"/>
              </w:rPr>
              <w:t>Introduce an ongoing monitoring program of website content to ensure information remains contemporary to legislative requirements and appropriate for use. This will include engagement with end-users to determine their ongoing information requirements as appropriate.</w:t>
            </w:r>
          </w:p>
          <w:p w14:paraId="490F3175" w14:textId="61513625" w:rsidR="007F443B" w:rsidRPr="00292976" w:rsidRDefault="007F443B" w:rsidP="00893511">
            <w:pPr>
              <w:pStyle w:val="Body"/>
              <w:numPr>
                <w:ilvl w:val="0"/>
                <w:numId w:val="7"/>
              </w:numPr>
              <w:spacing w:before="120" w:after="120" w:line="240" w:lineRule="auto"/>
              <w:jc w:val="both"/>
              <w:rPr>
                <w:rFonts w:eastAsiaTheme="minorEastAsia" w:cstheme="minorHAnsi"/>
                <w:b w:val="0"/>
                <w:sz w:val="18"/>
                <w:szCs w:val="22"/>
              </w:rPr>
            </w:pPr>
            <w:r w:rsidRPr="00292976">
              <w:rPr>
                <w:rFonts w:eastAsiaTheme="minorEastAsia" w:cstheme="minorHAnsi"/>
                <w:b w:val="0"/>
                <w:sz w:val="18"/>
                <w:szCs w:val="22"/>
              </w:rPr>
              <w:t>Collect stakeholder information and report on the accessibility and effectiveness of available advisory information relating to EID of sheep and goats in Victoria. Report responses to any recommended improvements.</w:t>
            </w:r>
          </w:p>
        </w:tc>
      </w:tr>
    </w:tbl>
    <w:p w14:paraId="5F5F80C4" w14:textId="45CD256C" w:rsidR="00A464C9" w:rsidRPr="001E0075" w:rsidRDefault="005112C2" w:rsidP="005112C2">
      <w:pPr>
        <w:pStyle w:val="Heading2"/>
        <w:numPr>
          <w:ilvl w:val="0"/>
          <w:numId w:val="0"/>
        </w:numPr>
        <w:ind w:left="360" w:hanging="360"/>
        <w:rPr>
          <w:rFonts w:asciiTheme="minorHAnsi" w:hAnsiTheme="minorHAnsi" w:cstheme="minorHAnsi"/>
          <w:sz w:val="22"/>
        </w:rPr>
      </w:pPr>
      <w:bookmarkStart w:id="26" w:name="_Toc881040"/>
      <w:bookmarkStart w:id="27" w:name="_Toc5254916"/>
      <w:r w:rsidRPr="001E0075">
        <w:rPr>
          <w:rFonts w:asciiTheme="minorHAnsi" w:hAnsiTheme="minorHAnsi" w:cstheme="minorHAnsi"/>
          <w:sz w:val="22"/>
        </w:rPr>
        <w:t>Key Findings</w:t>
      </w:r>
      <w:bookmarkEnd w:id="26"/>
      <w:bookmarkEnd w:id="27"/>
      <w:r w:rsidRPr="001E0075">
        <w:rPr>
          <w:rFonts w:asciiTheme="minorHAnsi" w:hAnsiTheme="minorHAnsi" w:cstheme="minorHAnsi"/>
          <w:sz w:val="22"/>
        </w:rPr>
        <w:t xml:space="preserve"> </w:t>
      </w:r>
    </w:p>
    <w:tbl>
      <w:tblPr>
        <w:tblStyle w:val="TableGrid"/>
        <w:tblpPr w:leftFromText="180" w:rightFromText="180" w:vertAnchor="text" w:horzAnchor="margin" w:tblpXSpec="right" w:tblpY="116"/>
        <w:tblW w:w="0" w:type="auto"/>
        <w:tblLook w:val="04A0" w:firstRow="1" w:lastRow="0" w:firstColumn="1" w:lastColumn="0" w:noHBand="0" w:noVBand="1"/>
      </w:tblPr>
      <w:tblGrid>
        <w:gridCol w:w="4711"/>
      </w:tblGrid>
      <w:tr w:rsidR="00E276EB" w:rsidRPr="00374F04" w14:paraId="556D1C22" w14:textId="77777777" w:rsidTr="003735E5">
        <w:tc>
          <w:tcPr>
            <w:tcW w:w="4711" w:type="dxa"/>
            <w:shd w:val="clear" w:color="auto" w:fill="EDFEE2"/>
          </w:tcPr>
          <w:p w14:paraId="4D587FCD" w14:textId="77777777" w:rsidR="00E276EB" w:rsidRPr="00292976" w:rsidRDefault="00E276EB" w:rsidP="00E276EB">
            <w:pPr>
              <w:spacing w:line="276" w:lineRule="auto"/>
              <w:rPr>
                <w:rFonts w:asciiTheme="minorHAnsi" w:hAnsiTheme="minorHAnsi" w:cstheme="minorHAnsi"/>
                <w:b/>
                <w:szCs w:val="22"/>
                <w:lang w:val="en-AU"/>
              </w:rPr>
            </w:pPr>
            <w:bookmarkStart w:id="28" w:name="_Hlk528751467"/>
            <w:bookmarkEnd w:id="25"/>
            <w:r w:rsidRPr="00292976">
              <w:rPr>
                <w:rFonts w:asciiTheme="minorHAnsi" w:hAnsiTheme="minorHAnsi" w:cstheme="minorHAnsi"/>
                <w:b/>
                <w:szCs w:val="22"/>
                <w:lang w:val="en-AU"/>
              </w:rPr>
              <w:t xml:space="preserve">Electronic Identification (EID) of Sheep and Goats in Victoria </w:t>
            </w:r>
          </w:p>
          <w:p w14:paraId="572BC2B9" w14:textId="5AC51B59" w:rsidR="00E276EB" w:rsidRPr="00292976" w:rsidRDefault="00E276EB" w:rsidP="00E276EB">
            <w:pPr>
              <w:spacing w:before="120" w:line="276" w:lineRule="auto"/>
              <w:rPr>
                <w:rFonts w:asciiTheme="minorHAnsi" w:eastAsiaTheme="minorEastAsia" w:hAnsiTheme="minorHAnsi" w:cstheme="minorBidi"/>
                <w:szCs w:val="22"/>
              </w:rPr>
            </w:pPr>
            <w:r w:rsidRPr="00292976">
              <w:rPr>
                <w:rFonts w:asciiTheme="minorHAnsi" w:eastAsiaTheme="minorEastAsia" w:hAnsiTheme="minorHAnsi" w:cstheme="minorBidi"/>
                <w:szCs w:val="22"/>
              </w:rPr>
              <w:t xml:space="preserve">The Victorian sheep and goat industry </w:t>
            </w:r>
            <w:r w:rsidR="007E1011">
              <w:rPr>
                <w:rFonts w:asciiTheme="minorHAnsi" w:eastAsiaTheme="minorEastAsia" w:hAnsiTheme="minorHAnsi" w:cstheme="minorBidi"/>
                <w:szCs w:val="22"/>
              </w:rPr>
              <w:t xml:space="preserve">commenced the </w:t>
            </w:r>
            <w:r w:rsidRPr="00292976">
              <w:rPr>
                <w:rFonts w:asciiTheme="minorHAnsi" w:eastAsiaTheme="minorEastAsia" w:hAnsiTheme="minorHAnsi" w:cstheme="minorBidi"/>
                <w:szCs w:val="22"/>
              </w:rPr>
              <w:t>transition to mandatory electronic identification (EID) for sheep and goats as of 1 January 2017. The introduction of the EID requirement is a world-leading process in the optimi</w:t>
            </w:r>
            <w:r w:rsidR="004D59A9">
              <w:rPr>
                <w:rFonts w:asciiTheme="minorHAnsi" w:eastAsiaTheme="minorEastAsia" w:hAnsiTheme="minorHAnsi" w:cstheme="minorBidi"/>
                <w:szCs w:val="22"/>
              </w:rPr>
              <w:t>s</w:t>
            </w:r>
            <w:r w:rsidRPr="00292976">
              <w:rPr>
                <w:rFonts w:asciiTheme="minorHAnsi" w:eastAsiaTheme="minorEastAsia" w:hAnsiTheme="minorHAnsi" w:cstheme="minorBidi"/>
                <w:szCs w:val="22"/>
              </w:rPr>
              <w:t xml:space="preserve">ation of traceability of livestock in Victoria. </w:t>
            </w:r>
          </w:p>
          <w:p w14:paraId="44DA1896" w14:textId="25E5134E" w:rsidR="00E276EB" w:rsidRPr="00292976" w:rsidRDefault="00E276EB" w:rsidP="00E276EB">
            <w:pPr>
              <w:spacing w:before="120" w:line="276" w:lineRule="auto"/>
              <w:rPr>
                <w:rFonts w:asciiTheme="minorHAnsi" w:eastAsiaTheme="minorEastAsia" w:hAnsiTheme="minorHAnsi" w:cstheme="minorBidi"/>
                <w:szCs w:val="22"/>
              </w:rPr>
            </w:pPr>
            <w:r w:rsidRPr="00292976">
              <w:rPr>
                <w:rFonts w:asciiTheme="minorHAnsi" w:eastAsiaTheme="minorEastAsia" w:hAnsiTheme="minorHAnsi" w:cstheme="minorBidi"/>
                <w:szCs w:val="22"/>
              </w:rPr>
              <w:t xml:space="preserve">Agriculture Victoria </w:t>
            </w:r>
            <w:r w:rsidR="007E1011">
              <w:rPr>
                <w:rFonts w:asciiTheme="minorHAnsi" w:eastAsiaTheme="minorEastAsia" w:hAnsiTheme="minorHAnsi" w:cstheme="minorBidi"/>
                <w:szCs w:val="22"/>
              </w:rPr>
              <w:t>is</w:t>
            </w:r>
            <w:r w:rsidRPr="00292976">
              <w:rPr>
                <w:rFonts w:asciiTheme="minorHAnsi" w:eastAsiaTheme="minorEastAsia" w:hAnsiTheme="minorHAnsi" w:cstheme="minorBidi"/>
                <w:szCs w:val="22"/>
              </w:rPr>
              <w:t xml:space="preserve"> work</w:t>
            </w:r>
            <w:r w:rsidR="007E1011">
              <w:rPr>
                <w:rFonts w:asciiTheme="minorHAnsi" w:eastAsiaTheme="minorEastAsia" w:hAnsiTheme="minorHAnsi" w:cstheme="minorBidi"/>
                <w:szCs w:val="22"/>
              </w:rPr>
              <w:t>ing</w:t>
            </w:r>
            <w:r w:rsidRPr="00292976">
              <w:rPr>
                <w:rFonts w:asciiTheme="minorHAnsi" w:eastAsiaTheme="minorEastAsia" w:hAnsiTheme="minorHAnsi" w:cstheme="minorBidi"/>
                <w:szCs w:val="22"/>
              </w:rPr>
              <w:t xml:space="preserve"> closely with stakeholders to provide information about the new regulatory requirements through online information and videos, on-farm workshops</w:t>
            </w:r>
            <w:r w:rsidR="004D59A9">
              <w:rPr>
                <w:rFonts w:asciiTheme="minorHAnsi" w:eastAsiaTheme="minorEastAsia" w:hAnsiTheme="minorHAnsi" w:cstheme="minorBidi"/>
                <w:szCs w:val="22"/>
              </w:rPr>
              <w:t>,</w:t>
            </w:r>
            <w:r w:rsidRPr="00292976">
              <w:rPr>
                <w:rFonts w:asciiTheme="minorHAnsi" w:eastAsiaTheme="minorEastAsia" w:hAnsiTheme="minorHAnsi" w:cstheme="minorBidi"/>
                <w:szCs w:val="22"/>
              </w:rPr>
              <w:t xml:space="preserve"> </w:t>
            </w:r>
            <w:r w:rsidR="004D59A9">
              <w:rPr>
                <w:rFonts w:asciiTheme="minorHAnsi" w:eastAsiaTheme="minorEastAsia" w:hAnsiTheme="minorHAnsi" w:cstheme="minorBidi"/>
                <w:szCs w:val="22"/>
              </w:rPr>
              <w:t xml:space="preserve">targeted communications </w:t>
            </w:r>
            <w:r w:rsidRPr="00292976">
              <w:rPr>
                <w:rFonts w:asciiTheme="minorHAnsi" w:eastAsiaTheme="minorEastAsia" w:hAnsiTheme="minorHAnsi" w:cstheme="minorBidi"/>
                <w:szCs w:val="22"/>
              </w:rPr>
              <w:t xml:space="preserve">and guidance materials. </w:t>
            </w:r>
          </w:p>
          <w:p w14:paraId="2EFA5A76" w14:textId="410DD017" w:rsidR="00E276EB" w:rsidRPr="00374F04" w:rsidRDefault="00E276EB" w:rsidP="00E276EB">
            <w:pPr>
              <w:spacing w:before="120" w:line="276" w:lineRule="auto"/>
              <w:rPr>
                <w:rFonts w:asciiTheme="minorHAnsi" w:eastAsiaTheme="minorEastAsia" w:hAnsiTheme="minorHAnsi" w:cstheme="minorBidi"/>
                <w:sz w:val="20"/>
                <w:szCs w:val="22"/>
              </w:rPr>
            </w:pPr>
            <w:r w:rsidRPr="00292976">
              <w:rPr>
                <w:rFonts w:asciiTheme="minorHAnsi" w:eastAsiaTheme="minorEastAsia" w:hAnsiTheme="minorHAnsi" w:cstheme="minorBidi"/>
                <w:szCs w:val="22"/>
              </w:rPr>
              <w:t xml:space="preserve">Agriculture Victoria has reported large-scale compliance with  </w:t>
            </w:r>
            <w:r w:rsidR="00D52E68">
              <w:rPr>
                <w:rFonts w:asciiTheme="minorHAnsi" w:eastAsiaTheme="minorEastAsia" w:hAnsiTheme="minorHAnsi" w:cstheme="minorBidi"/>
                <w:szCs w:val="22"/>
              </w:rPr>
              <w:t xml:space="preserve">EID </w:t>
            </w:r>
            <w:r w:rsidRPr="00292976">
              <w:rPr>
                <w:rFonts w:asciiTheme="minorHAnsi" w:eastAsiaTheme="minorEastAsia" w:hAnsiTheme="minorHAnsi" w:cstheme="minorBidi"/>
                <w:szCs w:val="22"/>
              </w:rPr>
              <w:t>mandatory requirement</w:t>
            </w:r>
            <w:r w:rsidR="003C4AC9">
              <w:rPr>
                <w:rFonts w:asciiTheme="minorHAnsi" w:eastAsiaTheme="minorEastAsia" w:hAnsiTheme="minorHAnsi" w:cstheme="minorBidi"/>
                <w:szCs w:val="22"/>
              </w:rPr>
              <w:t>s</w:t>
            </w:r>
            <w:r w:rsidRPr="00292976">
              <w:rPr>
                <w:rFonts w:asciiTheme="minorHAnsi" w:eastAsiaTheme="minorEastAsia" w:hAnsiTheme="minorHAnsi" w:cstheme="minorBidi"/>
                <w:szCs w:val="22"/>
              </w:rPr>
              <w:t xml:space="preserve">, as well as strong industry ownership in </w:t>
            </w:r>
            <w:r w:rsidR="003F5177" w:rsidRPr="00292976">
              <w:rPr>
                <w:rFonts w:asciiTheme="minorHAnsi" w:eastAsiaTheme="minorEastAsia" w:hAnsiTheme="minorHAnsi" w:cstheme="minorBidi"/>
                <w:szCs w:val="22"/>
              </w:rPr>
              <w:t>saleyards</w:t>
            </w:r>
            <w:r w:rsidRPr="00292976">
              <w:rPr>
                <w:rFonts w:asciiTheme="minorHAnsi" w:eastAsiaTheme="minorEastAsia" w:hAnsiTheme="minorHAnsi" w:cstheme="minorBidi"/>
                <w:szCs w:val="22"/>
              </w:rPr>
              <w:t xml:space="preserve"> and among livestock agents.</w:t>
            </w:r>
          </w:p>
        </w:tc>
      </w:tr>
    </w:tbl>
    <w:p w14:paraId="5BA05CF1" w14:textId="3F54D5E2" w:rsidR="005112C2" w:rsidRPr="00374F04" w:rsidRDefault="0077319E" w:rsidP="004D59A9">
      <w:pPr>
        <w:spacing w:line="276" w:lineRule="auto"/>
        <w:rPr>
          <w:rFonts w:asciiTheme="minorHAnsi" w:hAnsiTheme="minorHAnsi" w:cstheme="minorHAnsi"/>
          <w:sz w:val="20"/>
          <w:szCs w:val="22"/>
          <w:lang w:val="en-AU"/>
        </w:rPr>
      </w:pPr>
      <w:r w:rsidRPr="00374F04">
        <w:rPr>
          <w:rFonts w:asciiTheme="minorHAnsi" w:hAnsiTheme="minorHAnsi" w:cstheme="minorHAnsi"/>
          <w:sz w:val="20"/>
          <w:szCs w:val="22"/>
          <w:lang w:val="en-AU"/>
        </w:rPr>
        <w:t>Agriculture Victoria provides advisory material to regulated parties via</w:t>
      </w:r>
      <w:r w:rsidR="005112C2" w:rsidRPr="00374F04">
        <w:rPr>
          <w:rFonts w:asciiTheme="minorHAnsi" w:hAnsiTheme="minorHAnsi" w:cstheme="minorHAnsi"/>
          <w:sz w:val="20"/>
          <w:szCs w:val="22"/>
          <w:lang w:val="en-AU"/>
        </w:rPr>
        <w:t xml:space="preserve"> online platforms, such as</w:t>
      </w:r>
      <w:r w:rsidRPr="00374F04">
        <w:rPr>
          <w:rFonts w:asciiTheme="minorHAnsi" w:hAnsiTheme="minorHAnsi" w:cstheme="minorHAnsi"/>
          <w:sz w:val="20"/>
          <w:szCs w:val="22"/>
          <w:lang w:val="en-AU"/>
        </w:rPr>
        <w:t xml:space="preserve"> its website</w:t>
      </w:r>
      <w:r w:rsidR="00F07D7A">
        <w:rPr>
          <w:rFonts w:asciiTheme="minorHAnsi" w:hAnsiTheme="minorHAnsi" w:cstheme="minorHAnsi"/>
          <w:sz w:val="20"/>
          <w:szCs w:val="22"/>
          <w:lang w:val="en-AU"/>
        </w:rPr>
        <w:t>, and has</w:t>
      </w:r>
      <w:r w:rsidR="00F61D13">
        <w:rPr>
          <w:rFonts w:asciiTheme="minorHAnsi" w:hAnsiTheme="minorHAnsi" w:cstheme="minorHAnsi"/>
          <w:sz w:val="20"/>
          <w:szCs w:val="22"/>
          <w:lang w:val="en-AU"/>
        </w:rPr>
        <w:t xml:space="preserve"> </w:t>
      </w:r>
      <w:r w:rsidR="005112C2" w:rsidRPr="00374F04">
        <w:rPr>
          <w:rFonts w:asciiTheme="minorHAnsi" w:hAnsiTheme="minorHAnsi" w:cstheme="minorHAnsi"/>
          <w:sz w:val="20"/>
          <w:szCs w:val="22"/>
          <w:lang w:val="en-AU"/>
        </w:rPr>
        <w:t>progress</w:t>
      </w:r>
      <w:r w:rsidR="00F61D13">
        <w:rPr>
          <w:rFonts w:asciiTheme="minorHAnsi" w:hAnsiTheme="minorHAnsi" w:cstheme="minorHAnsi"/>
          <w:sz w:val="20"/>
          <w:szCs w:val="22"/>
          <w:lang w:val="en-AU"/>
        </w:rPr>
        <w:t>ed</w:t>
      </w:r>
      <w:r w:rsidRPr="00374F04">
        <w:rPr>
          <w:rFonts w:asciiTheme="minorHAnsi" w:hAnsiTheme="minorHAnsi" w:cstheme="minorHAnsi"/>
          <w:sz w:val="20"/>
          <w:szCs w:val="22"/>
          <w:lang w:val="en-AU"/>
        </w:rPr>
        <w:t xml:space="preserve"> </w:t>
      </w:r>
      <w:r w:rsidR="00F61D13">
        <w:rPr>
          <w:rFonts w:asciiTheme="minorHAnsi" w:hAnsiTheme="minorHAnsi" w:cstheme="minorHAnsi"/>
          <w:sz w:val="20"/>
          <w:szCs w:val="22"/>
          <w:lang w:val="en-AU"/>
        </w:rPr>
        <w:t xml:space="preserve">the </w:t>
      </w:r>
      <w:r w:rsidRPr="00374F04">
        <w:rPr>
          <w:rFonts w:asciiTheme="minorHAnsi" w:hAnsiTheme="minorHAnsi" w:cstheme="minorHAnsi"/>
          <w:sz w:val="20"/>
          <w:szCs w:val="22"/>
          <w:lang w:val="en-AU"/>
        </w:rPr>
        <w:t>review</w:t>
      </w:r>
      <w:r w:rsidR="00F61D13">
        <w:rPr>
          <w:rFonts w:asciiTheme="minorHAnsi" w:hAnsiTheme="minorHAnsi" w:cstheme="minorHAnsi"/>
          <w:sz w:val="20"/>
          <w:szCs w:val="22"/>
          <w:lang w:val="en-AU"/>
        </w:rPr>
        <w:t xml:space="preserve"> of </w:t>
      </w:r>
      <w:r w:rsidRPr="00374F04">
        <w:rPr>
          <w:rFonts w:asciiTheme="minorHAnsi" w:hAnsiTheme="minorHAnsi" w:cstheme="minorHAnsi"/>
          <w:sz w:val="20"/>
          <w:szCs w:val="22"/>
          <w:lang w:val="en-AU"/>
        </w:rPr>
        <w:t>this</w:t>
      </w:r>
      <w:r w:rsidR="005112C2" w:rsidRPr="00374F04">
        <w:rPr>
          <w:rFonts w:asciiTheme="minorHAnsi" w:hAnsiTheme="minorHAnsi" w:cstheme="minorHAnsi"/>
          <w:sz w:val="20"/>
          <w:szCs w:val="22"/>
          <w:lang w:val="en-AU"/>
        </w:rPr>
        <w:t xml:space="preserve"> </w:t>
      </w:r>
      <w:r w:rsidRPr="00374F04">
        <w:rPr>
          <w:rFonts w:asciiTheme="minorHAnsi" w:hAnsiTheme="minorHAnsi" w:cstheme="minorHAnsi"/>
          <w:sz w:val="20"/>
          <w:szCs w:val="22"/>
          <w:lang w:val="en-AU"/>
        </w:rPr>
        <w:t>material</w:t>
      </w:r>
      <w:r w:rsidR="005112C2" w:rsidRPr="00374F04">
        <w:rPr>
          <w:rFonts w:asciiTheme="minorHAnsi" w:hAnsiTheme="minorHAnsi" w:cstheme="minorHAnsi"/>
          <w:sz w:val="20"/>
          <w:szCs w:val="22"/>
          <w:lang w:val="en-AU"/>
        </w:rPr>
        <w:t xml:space="preserve"> to </w:t>
      </w:r>
      <w:r w:rsidR="003C4AC9">
        <w:rPr>
          <w:rFonts w:asciiTheme="minorHAnsi" w:hAnsiTheme="minorHAnsi" w:cstheme="minorHAnsi"/>
          <w:sz w:val="20"/>
          <w:szCs w:val="22"/>
          <w:lang w:val="en-AU"/>
        </w:rPr>
        <w:t>assist</w:t>
      </w:r>
      <w:r w:rsidR="003C4AC9" w:rsidRPr="00374F04">
        <w:rPr>
          <w:rFonts w:asciiTheme="minorHAnsi" w:hAnsiTheme="minorHAnsi" w:cstheme="minorHAnsi"/>
          <w:sz w:val="20"/>
          <w:szCs w:val="22"/>
          <w:lang w:val="en-AU"/>
        </w:rPr>
        <w:t xml:space="preserve"> </w:t>
      </w:r>
      <w:r w:rsidR="005112C2" w:rsidRPr="00374F04">
        <w:rPr>
          <w:rFonts w:asciiTheme="minorHAnsi" w:hAnsiTheme="minorHAnsi" w:cstheme="minorHAnsi"/>
          <w:sz w:val="20"/>
          <w:szCs w:val="22"/>
          <w:lang w:val="en-AU"/>
        </w:rPr>
        <w:t>community</w:t>
      </w:r>
      <w:r w:rsidR="003C4AC9">
        <w:rPr>
          <w:rFonts w:asciiTheme="minorHAnsi" w:hAnsiTheme="minorHAnsi" w:cstheme="minorHAnsi"/>
          <w:sz w:val="20"/>
          <w:szCs w:val="22"/>
          <w:lang w:val="en-AU"/>
        </w:rPr>
        <w:t xml:space="preserve"> awareness and understanding.</w:t>
      </w:r>
      <w:r w:rsidR="004D59A9">
        <w:rPr>
          <w:rFonts w:asciiTheme="minorHAnsi" w:hAnsiTheme="minorHAnsi" w:cstheme="minorHAnsi"/>
          <w:sz w:val="20"/>
          <w:szCs w:val="22"/>
          <w:lang w:val="en-AU"/>
        </w:rPr>
        <w:t xml:space="preserve"> </w:t>
      </w:r>
      <w:r w:rsidR="005112C2" w:rsidRPr="00374F04">
        <w:rPr>
          <w:rFonts w:asciiTheme="minorHAnsi" w:hAnsiTheme="minorHAnsi" w:cstheme="minorHAnsi"/>
          <w:sz w:val="20"/>
          <w:szCs w:val="22"/>
          <w:lang w:val="en-AU"/>
        </w:rPr>
        <w:t xml:space="preserve">In reviewing </w:t>
      </w:r>
      <w:r w:rsidR="00F61D13">
        <w:rPr>
          <w:rFonts w:asciiTheme="minorHAnsi" w:hAnsiTheme="minorHAnsi" w:cstheme="minorHAnsi"/>
          <w:sz w:val="20"/>
          <w:szCs w:val="22"/>
          <w:lang w:val="en-AU"/>
        </w:rPr>
        <w:t xml:space="preserve">this </w:t>
      </w:r>
      <w:r w:rsidR="005112C2" w:rsidRPr="00374F04">
        <w:rPr>
          <w:rFonts w:asciiTheme="minorHAnsi" w:hAnsiTheme="minorHAnsi" w:cstheme="minorHAnsi"/>
          <w:sz w:val="20"/>
          <w:szCs w:val="22"/>
          <w:lang w:val="en-AU"/>
        </w:rPr>
        <w:t>material, Agriculture Victoria developed an approach to audit, review and assign web content to authors in the current website platform to ensure content is regularly reviewed</w:t>
      </w:r>
      <w:r w:rsidR="004D59A9">
        <w:rPr>
          <w:rFonts w:asciiTheme="minorHAnsi" w:hAnsiTheme="minorHAnsi" w:cstheme="minorHAnsi"/>
          <w:sz w:val="20"/>
          <w:szCs w:val="22"/>
          <w:lang w:val="en-AU"/>
        </w:rPr>
        <w:t>.</w:t>
      </w:r>
    </w:p>
    <w:p w14:paraId="0CE41E56" w14:textId="78E3B8CF" w:rsidR="005112C2" w:rsidRPr="00374F04" w:rsidRDefault="006D01AB" w:rsidP="0077319E">
      <w:pPr>
        <w:spacing w:line="276" w:lineRule="auto"/>
        <w:rPr>
          <w:rFonts w:asciiTheme="minorHAnsi" w:hAnsiTheme="minorHAnsi" w:cstheme="minorHAnsi"/>
          <w:sz w:val="20"/>
          <w:szCs w:val="22"/>
          <w:lang w:val="en-AU"/>
        </w:rPr>
      </w:pPr>
      <w:r>
        <w:rPr>
          <w:rFonts w:asciiTheme="minorHAnsi" w:hAnsiTheme="minorHAnsi" w:cstheme="minorHAnsi"/>
          <w:sz w:val="20"/>
          <w:szCs w:val="22"/>
          <w:lang w:val="en-AU"/>
        </w:rPr>
        <w:t>T</w:t>
      </w:r>
      <w:r w:rsidR="00E276EB" w:rsidRPr="00374F04">
        <w:rPr>
          <w:rFonts w:asciiTheme="minorHAnsi" w:hAnsiTheme="minorHAnsi" w:cstheme="minorHAnsi"/>
          <w:sz w:val="20"/>
          <w:szCs w:val="22"/>
          <w:lang w:val="en-AU"/>
        </w:rPr>
        <w:t>he Agriculture Victoria website provide</w:t>
      </w:r>
      <w:r w:rsidR="004D59A9">
        <w:rPr>
          <w:rFonts w:asciiTheme="minorHAnsi" w:hAnsiTheme="minorHAnsi" w:cstheme="minorHAnsi"/>
          <w:sz w:val="20"/>
          <w:szCs w:val="22"/>
          <w:lang w:val="en-AU"/>
        </w:rPr>
        <w:t>s</w:t>
      </w:r>
      <w:r w:rsidR="00E276EB" w:rsidRPr="00374F04">
        <w:rPr>
          <w:rFonts w:asciiTheme="minorHAnsi" w:hAnsiTheme="minorHAnsi" w:cstheme="minorHAnsi"/>
          <w:sz w:val="20"/>
          <w:szCs w:val="22"/>
          <w:lang w:val="en-AU"/>
        </w:rPr>
        <w:t xml:space="preserve"> real-time</w:t>
      </w:r>
      <w:r>
        <w:rPr>
          <w:rFonts w:asciiTheme="minorHAnsi" w:hAnsiTheme="minorHAnsi" w:cstheme="minorHAnsi"/>
          <w:sz w:val="20"/>
          <w:szCs w:val="22"/>
          <w:lang w:val="en-AU"/>
        </w:rPr>
        <w:t xml:space="preserve">, </w:t>
      </w:r>
      <w:r w:rsidR="00E276EB" w:rsidRPr="00374F04">
        <w:rPr>
          <w:rFonts w:asciiTheme="minorHAnsi" w:hAnsiTheme="minorHAnsi" w:cstheme="minorHAnsi"/>
          <w:sz w:val="20"/>
          <w:szCs w:val="22"/>
          <w:lang w:val="en-AU"/>
        </w:rPr>
        <w:t xml:space="preserve">accessible advice to </w:t>
      </w:r>
      <w:r>
        <w:rPr>
          <w:rFonts w:asciiTheme="minorHAnsi" w:hAnsiTheme="minorHAnsi" w:cstheme="minorHAnsi"/>
          <w:sz w:val="20"/>
          <w:szCs w:val="22"/>
          <w:lang w:val="en-AU"/>
        </w:rPr>
        <w:t xml:space="preserve">key </w:t>
      </w:r>
      <w:r w:rsidR="00E276EB" w:rsidRPr="00374F04">
        <w:rPr>
          <w:rFonts w:asciiTheme="minorHAnsi" w:hAnsiTheme="minorHAnsi" w:cstheme="minorHAnsi"/>
          <w:sz w:val="20"/>
          <w:szCs w:val="22"/>
          <w:lang w:val="en-AU"/>
        </w:rPr>
        <w:t xml:space="preserve">regulated communities and industries. </w:t>
      </w:r>
      <w:r w:rsidR="003F5177">
        <w:rPr>
          <w:rFonts w:asciiTheme="minorHAnsi" w:hAnsiTheme="minorHAnsi" w:cstheme="minorHAnsi"/>
          <w:sz w:val="20"/>
          <w:szCs w:val="22"/>
          <w:lang w:val="en-AU"/>
        </w:rPr>
        <w:t>For example, i</w:t>
      </w:r>
      <w:r w:rsidR="003F5177" w:rsidRPr="00374F04">
        <w:rPr>
          <w:rFonts w:asciiTheme="minorHAnsi" w:hAnsiTheme="minorHAnsi" w:cstheme="minorHAnsi"/>
          <w:sz w:val="20"/>
          <w:szCs w:val="22"/>
          <w:lang w:val="en-AU"/>
        </w:rPr>
        <w:t xml:space="preserve">n </w:t>
      </w:r>
      <w:r w:rsidR="00E276EB" w:rsidRPr="00374F04">
        <w:rPr>
          <w:rFonts w:asciiTheme="minorHAnsi" w:hAnsiTheme="minorHAnsi" w:cstheme="minorHAnsi"/>
          <w:sz w:val="20"/>
          <w:szCs w:val="22"/>
          <w:lang w:val="en-AU"/>
        </w:rPr>
        <w:t xml:space="preserve">the transition of the Victorian sheep and goat industry to </w:t>
      </w:r>
      <w:r w:rsidR="003C4AC9">
        <w:rPr>
          <w:rFonts w:asciiTheme="minorHAnsi" w:hAnsiTheme="minorHAnsi" w:cstheme="minorHAnsi"/>
          <w:sz w:val="20"/>
          <w:szCs w:val="22"/>
          <w:lang w:val="en-AU"/>
        </w:rPr>
        <w:t xml:space="preserve">new </w:t>
      </w:r>
      <w:r w:rsidR="00E276EB" w:rsidRPr="00374F04">
        <w:rPr>
          <w:rFonts w:asciiTheme="minorHAnsi" w:hAnsiTheme="minorHAnsi" w:cstheme="minorHAnsi"/>
          <w:sz w:val="20"/>
          <w:szCs w:val="22"/>
          <w:lang w:val="en-AU"/>
        </w:rPr>
        <w:t>mandatory electronic identification (EID)</w:t>
      </w:r>
      <w:r>
        <w:rPr>
          <w:rFonts w:asciiTheme="minorHAnsi" w:hAnsiTheme="minorHAnsi" w:cstheme="minorHAnsi"/>
          <w:sz w:val="20"/>
          <w:szCs w:val="22"/>
          <w:lang w:val="en-AU"/>
        </w:rPr>
        <w:t xml:space="preserve"> requirements</w:t>
      </w:r>
      <w:r w:rsidR="003C4AC9">
        <w:rPr>
          <w:rFonts w:asciiTheme="minorHAnsi" w:hAnsiTheme="minorHAnsi" w:cstheme="minorHAnsi"/>
          <w:sz w:val="20"/>
          <w:szCs w:val="22"/>
          <w:lang w:val="en-AU"/>
        </w:rPr>
        <w:t xml:space="preserve">, </w:t>
      </w:r>
      <w:r w:rsidR="00E276EB" w:rsidRPr="00374F04">
        <w:rPr>
          <w:rFonts w:asciiTheme="minorHAnsi" w:hAnsiTheme="minorHAnsi" w:cstheme="minorHAnsi"/>
          <w:sz w:val="20"/>
          <w:szCs w:val="22"/>
          <w:lang w:val="en-AU"/>
        </w:rPr>
        <w:t>Agriculture Victoria reported</w:t>
      </w:r>
      <w:r w:rsidR="007644DB">
        <w:rPr>
          <w:rFonts w:asciiTheme="minorHAnsi" w:hAnsiTheme="minorHAnsi" w:cstheme="minorHAnsi"/>
          <w:sz w:val="20"/>
          <w:szCs w:val="22"/>
          <w:lang w:val="en-AU"/>
        </w:rPr>
        <w:t xml:space="preserve"> that stakeholders found</w:t>
      </w:r>
      <w:r w:rsidR="00E276EB" w:rsidRPr="00374F04">
        <w:rPr>
          <w:rFonts w:asciiTheme="minorHAnsi" w:hAnsiTheme="minorHAnsi" w:cstheme="minorHAnsi"/>
          <w:sz w:val="20"/>
          <w:szCs w:val="22"/>
          <w:lang w:val="en-AU"/>
        </w:rPr>
        <w:t xml:space="preserve"> the available advisory material </w:t>
      </w:r>
      <w:r w:rsidR="007644DB">
        <w:rPr>
          <w:rFonts w:asciiTheme="minorHAnsi" w:hAnsiTheme="minorHAnsi" w:cstheme="minorHAnsi"/>
          <w:sz w:val="20"/>
          <w:szCs w:val="22"/>
          <w:lang w:val="en-AU"/>
        </w:rPr>
        <w:t xml:space="preserve">to be </w:t>
      </w:r>
      <w:r>
        <w:rPr>
          <w:rFonts w:asciiTheme="minorHAnsi" w:hAnsiTheme="minorHAnsi" w:cstheme="minorHAnsi"/>
          <w:sz w:val="20"/>
          <w:szCs w:val="22"/>
          <w:lang w:val="en-AU"/>
        </w:rPr>
        <w:t xml:space="preserve">very </w:t>
      </w:r>
      <w:r w:rsidR="003F5177">
        <w:rPr>
          <w:rFonts w:asciiTheme="minorHAnsi" w:hAnsiTheme="minorHAnsi" w:cstheme="minorHAnsi"/>
          <w:sz w:val="20"/>
          <w:szCs w:val="22"/>
          <w:lang w:val="en-AU"/>
        </w:rPr>
        <w:t>effective and relevant</w:t>
      </w:r>
      <w:r w:rsidR="00E276EB" w:rsidRPr="00374F04">
        <w:rPr>
          <w:rFonts w:asciiTheme="minorHAnsi" w:hAnsiTheme="minorHAnsi" w:cstheme="minorHAnsi"/>
          <w:sz w:val="20"/>
          <w:szCs w:val="22"/>
          <w:lang w:val="en-AU"/>
        </w:rPr>
        <w:t>.</w:t>
      </w:r>
    </w:p>
    <w:p w14:paraId="490A1B83" w14:textId="4797CB70" w:rsidR="00A43B8B" w:rsidRDefault="00C07E26" w:rsidP="0077319E">
      <w:pPr>
        <w:spacing w:line="276" w:lineRule="auto"/>
        <w:rPr>
          <w:rFonts w:asciiTheme="minorHAnsi" w:hAnsiTheme="minorHAnsi" w:cstheme="minorHAnsi"/>
          <w:sz w:val="20"/>
          <w:szCs w:val="22"/>
          <w:lang w:val="en-AU"/>
        </w:rPr>
      </w:pPr>
      <w:r w:rsidRPr="00374F04">
        <w:rPr>
          <w:rFonts w:asciiTheme="minorHAnsi" w:hAnsiTheme="minorHAnsi" w:cstheme="minorHAnsi"/>
          <w:sz w:val="20"/>
          <w:szCs w:val="22"/>
          <w:lang w:val="en-AU"/>
        </w:rPr>
        <w:t xml:space="preserve">Agriculture Victoria </w:t>
      </w:r>
      <w:r w:rsidR="003F5177">
        <w:rPr>
          <w:rFonts w:asciiTheme="minorHAnsi" w:hAnsiTheme="minorHAnsi" w:cstheme="minorHAnsi"/>
          <w:sz w:val="20"/>
          <w:szCs w:val="22"/>
          <w:lang w:val="en-AU"/>
        </w:rPr>
        <w:t>is achieving positive and demonstrated improvements in providing guidance material that is</w:t>
      </w:r>
      <w:r w:rsidRPr="00374F04">
        <w:rPr>
          <w:rFonts w:asciiTheme="minorHAnsi" w:hAnsiTheme="minorHAnsi" w:cstheme="minorHAnsi"/>
          <w:sz w:val="20"/>
          <w:szCs w:val="22"/>
          <w:lang w:val="en-AU"/>
        </w:rPr>
        <w:t xml:space="preserve"> clear, current </w:t>
      </w:r>
      <w:r w:rsidR="007644DB">
        <w:rPr>
          <w:rFonts w:asciiTheme="minorHAnsi" w:hAnsiTheme="minorHAnsi" w:cstheme="minorHAnsi"/>
          <w:sz w:val="20"/>
          <w:szCs w:val="22"/>
          <w:lang w:val="en-AU"/>
        </w:rPr>
        <w:t xml:space="preserve">and </w:t>
      </w:r>
      <w:r w:rsidR="003F5177">
        <w:rPr>
          <w:rFonts w:asciiTheme="minorHAnsi" w:hAnsiTheme="minorHAnsi" w:cstheme="minorHAnsi"/>
          <w:sz w:val="20"/>
          <w:szCs w:val="22"/>
          <w:lang w:val="en-AU"/>
        </w:rPr>
        <w:t>is</w:t>
      </w:r>
      <w:r w:rsidRPr="00374F04">
        <w:rPr>
          <w:rFonts w:asciiTheme="minorHAnsi" w:hAnsiTheme="minorHAnsi" w:cstheme="minorHAnsi"/>
          <w:sz w:val="20"/>
          <w:szCs w:val="22"/>
          <w:lang w:val="en-AU"/>
        </w:rPr>
        <w:t xml:space="preserve"> appropriate </w:t>
      </w:r>
      <w:r w:rsidR="003F5177">
        <w:rPr>
          <w:rFonts w:asciiTheme="minorHAnsi" w:hAnsiTheme="minorHAnsi" w:cstheme="minorHAnsi"/>
          <w:sz w:val="20"/>
          <w:szCs w:val="22"/>
          <w:lang w:val="en-AU"/>
        </w:rPr>
        <w:t xml:space="preserve">for </w:t>
      </w:r>
      <w:r w:rsidRPr="00374F04">
        <w:rPr>
          <w:rFonts w:asciiTheme="minorHAnsi" w:hAnsiTheme="minorHAnsi" w:cstheme="minorHAnsi"/>
          <w:sz w:val="20"/>
          <w:szCs w:val="22"/>
          <w:lang w:val="en-AU"/>
        </w:rPr>
        <w:t xml:space="preserve">regulated communities and industries. </w:t>
      </w:r>
      <w:r w:rsidR="006D01AB">
        <w:rPr>
          <w:rFonts w:asciiTheme="minorHAnsi" w:hAnsiTheme="minorHAnsi" w:cstheme="minorHAnsi"/>
          <w:sz w:val="20"/>
          <w:szCs w:val="22"/>
          <w:lang w:val="en-AU"/>
        </w:rPr>
        <w:t>The</w:t>
      </w:r>
      <w:r w:rsidRPr="00374F04">
        <w:rPr>
          <w:rFonts w:asciiTheme="minorHAnsi" w:hAnsiTheme="minorHAnsi" w:cstheme="minorHAnsi"/>
          <w:sz w:val="20"/>
          <w:szCs w:val="22"/>
          <w:lang w:val="en-AU"/>
        </w:rPr>
        <w:t xml:space="preserve"> material provided to communities and industries is largely </w:t>
      </w:r>
      <w:r w:rsidR="006D01AB">
        <w:rPr>
          <w:rFonts w:asciiTheme="minorHAnsi" w:hAnsiTheme="minorHAnsi" w:cstheme="minorHAnsi"/>
          <w:sz w:val="20"/>
          <w:szCs w:val="22"/>
          <w:lang w:val="en-AU"/>
        </w:rPr>
        <w:t xml:space="preserve">provided in </w:t>
      </w:r>
      <w:r w:rsidRPr="00374F04">
        <w:rPr>
          <w:rFonts w:asciiTheme="minorHAnsi" w:hAnsiTheme="minorHAnsi" w:cstheme="minorHAnsi"/>
          <w:sz w:val="20"/>
          <w:szCs w:val="22"/>
          <w:lang w:val="en-AU"/>
        </w:rPr>
        <w:t xml:space="preserve">written </w:t>
      </w:r>
      <w:r w:rsidR="006D01AB">
        <w:rPr>
          <w:rFonts w:asciiTheme="minorHAnsi" w:hAnsiTheme="minorHAnsi" w:cstheme="minorHAnsi"/>
          <w:sz w:val="20"/>
          <w:szCs w:val="22"/>
          <w:lang w:val="en-AU"/>
        </w:rPr>
        <w:t>and</w:t>
      </w:r>
      <w:r w:rsidRPr="00374F04">
        <w:rPr>
          <w:rFonts w:asciiTheme="minorHAnsi" w:hAnsiTheme="minorHAnsi" w:cstheme="minorHAnsi"/>
          <w:sz w:val="20"/>
          <w:szCs w:val="22"/>
          <w:lang w:val="en-AU"/>
        </w:rPr>
        <w:t xml:space="preserve"> interactive/video platforms. </w:t>
      </w:r>
      <w:r w:rsidR="006D01AB">
        <w:rPr>
          <w:rFonts w:asciiTheme="minorHAnsi" w:hAnsiTheme="minorHAnsi" w:cstheme="minorHAnsi"/>
          <w:sz w:val="20"/>
          <w:szCs w:val="22"/>
          <w:lang w:val="en-AU"/>
        </w:rPr>
        <w:t>Some</w:t>
      </w:r>
      <w:r w:rsidR="001A0AFC">
        <w:rPr>
          <w:rFonts w:asciiTheme="minorHAnsi" w:hAnsiTheme="minorHAnsi" w:cstheme="minorHAnsi"/>
          <w:sz w:val="20"/>
          <w:szCs w:val="22"/>
          <w:lang w:val="en-AU"/>
        </w:rPr>
        <w:t xml:space="preserve"> national and international </w:t>
      </w:r>
      <w:r w:rsidR="00A16950">
        <w:rPr>
          <w:rFonts w:asciiTheme="minorHAnsi" w:hAnsiTheme="minorHAnsi" w:cstheme="minorHAnsi"/>
          <w:sz w:val="20"/>
          <w:szCs w:val="22"/>
          <w:lang w:val="en-AU"/>
        </w:rPr>
        <w:t>regulators</w:t>
      </w:r>
      <w:r w:rsidR="007548AD" w:rsidRPr="00374F04">
        <w:rPr>
          <w:rFonts w:asciiTheme="minorHAnsi" w:hAnsiTheme="minorHAnsi" w:cstheme="minorHAnsi"/>
          <w:sz w:val="20"/>
          <w:szCs w:val="22"/>
          <w:lang w:val="en-AU"/>
        </w:rPr>
        <w:t xml:space="preserve"> </w:t>
      </w:r>
      <w:r w:rsidR="00A16950">
        <w:rPr>
          <w:rFonts w:asciiTheme="minorHAnsi" w:hAnsiTheme="minorHAnsi" w:cstheme="minorHAnsi"/>
          <w:sz w:val="20"/>
          <w:szCs w:val="22"/>
          <w:lang w:val="en-AU"/>
        </w:rPr>
        <w:t xml:space="preserve">are </w:t>
      </w:r>
      <w:r w:rsidR="007644DB">
        <w:rPr>
          <w:rFonts w:asciiTheme="minorHAnsi" w:hAnsiTheme="minorHAnsi" w:cstheme="minorHAnsi"/>
          <w:sz w:val="20"/>
          <w:szCs w:val="22"/>
          <w:lang w:val="en-AU"/>
        </w:rPr>
        <w:t>operating on</w:t>
      </w:r>
      <w:r w:rsidR="007548AD" w:rsidRPr="00374F04">
        <w:rPr>
          <w:rFonts w:asciiTheme="minorHAnsi" w:hAnsiTheme="minorHAnsi" w:cstheme="minorHAnsi"/>
          <w:sz w:val="20"/>
          <w:szCs w:val="22"/>
          <w:lang w:val="en-AU"/>
        </w:rPr>
        <w:t xml:space="preserve"> systems </w:t>
      </w:r>
      <w:r w:rsidR="006D01AB">
        <w:rPr>
          <w:rFonts w:asciiTheme="minorHAnsi" w:hAnsiTheme="minorHAnsi" w:cstheme="minorHAnsi"/>
          <w:sz w:val="20"/>
          <w:szCs w:val="22"/>
          <w:lang w:val="en-AU"/>
        </w:rPr>
        <w:t xml:space="preserve">that </w:t>
      </w:r>
      <w:r w:rsidR="007548AD" w:rsidRPr="00374F04">
        <w:rPr>
          <w:rFonts w:asciiTheme="minorHAnsi" w:hAnsiTheme="minorHAnsi" w:cstheme="minorHAnsi"/>
          <w:sz w:val="20"/>
          <w:szCs w:val="22"/>
          <w:lang w:val="en-AU"/>
        </w:rPr>
        <w:t>draw on data analytics and artificial intelligence to assist communities and industries in meeting compliance requirement</w:t>
      </w:r>
      <w:r w:rsidR="006D01AB">
        <w:rPr>
          <w:rFonts w:asciiTheme="minorHAnsi" w:hAnsiTheme="minorHAnsi" w:cstheme="minorHAnsi"/>
          <w:sz w:val="20"/>
          <w:szCs w:val="22"/>
          <w:lang w:val="en-AU"/>
        </w:rPr>
        <w:t>s</w:t>
      </w:r>
      <w:r w:rsidR="007548AD" w:rsidRPr="00374F04">
        <w:rPr>
          <w:rFonts w:asciiTheme="minorHAnsi" w:hAnsiTheme="minorHAnsi" w:cstheme="minorHAnsi"/>
          <w:sz w:val="20"/>
          <w:szCs w:val="22"/>
          <w:lang w:val="en-AU"/>
        </w:rPr>
        <w:t>.</w:t>
      </w:r>
      <w:r w:rsidR="00A16950">
        <w:rPr>
          <w:rFonts w:asciiTheme="minorHAnsi" w:hAnsiTheme="minorHAnsi" w:cstheme="minorHAnsi"/>
          <w:sz w:val="20"/>
          <w:szCs w:val="22"/>
          <w:lang w:val="en-AU"/>
        </w:rPr>
        <w:t xml:space="preserve"> </w:t>
      </w:r>
      <w:r w:rsidR="00794AC1">
        <w:rPr>
          <w:rFonts w:asciiTheme="minorHAnsi" w:hAnsiTheme="minorHAnsi" w:cstheme="minorHAnsi"/>
          <w:sz w:val="20"/>
          <w:szCs w:val="22"/>
          <w:lang w:val="en-AU"/>
        </w:rPr>
        <w:t>The implementation of Sheep and Goat EID requirements is an example where Agriculture Victoria is explor</w:t>
      </w:r>
      <w:r w:rsidR="006D01AB">
        <w:rPr>
          <w:rFonts w:asciiTheme="minorHAnsi" w:hAnsiTheme="minorHAnsi" w:cstheme="minorHAnsi"/>
          <w:sz w:val="20"/>
          <w:szCs w:val="22"/>
          <w:lang w:val="en-AU"/>
        </w:rPr>
        <w:t>ing</w:t>
      </w:r>
      <w:r w:rsidR="00794AC1">
        <w:rPr>
          <w:rFonts w:asciiTheme="minorHAnsi" w:hAnsiTheme="minorHAnsi" w:cstheme="minorHAnsi"/>
          <w:sz w:val="20"/>
          <w:szCs w:val="22"/>
          <w:lang w:val="en-AU"/>
        </w:rPr>
        <w:t xml:space="preserve"> how these</w:t>
      </w:r>
      <w:r w:rsidR="006D01AB">
        <w:rPr>
          <w:rFonts w:asciiTheme="minorHAnsi" w:hAnsiTheme="minorHAnsi" w:cstheme="minorHAnsi"/>
          <w:sz w:val="20"/>
          <w:szCs w:val="22"/>
          <w:lang w:val="en-AU"/>
        </w:rPr>
        <w:t xml:space="preserve"> </w:t>
      </w:r>
      <w:r w:rsidR="00794AC1">
        <w:rPr>
          <w:rFonts w:asciiTheme="minorHAnsi" w:hAnsiTheme="minorHAnsi" w:cstheme="minorHAnsi"/>
          <w:sz w:val="20"/>
          <w:szCs w:val="22"/>
          <w:lang w:val="en-AU"/>
        </w:rPr>
        <w:t>technologies can be applied to regulatory arrangements</w:t>
      </w:r>
      <w:r w:rsidR="003C4AC9">
        <w:rPr>
          <w:rFonts w:asciiTheme="minorHAnsi" w:hAnsiTheme="minorHAnsi" w:cstheme="minorHAnsi"/>
          <w:sz w:val="20"/>
          <w:szCs w:val="22"/>
          <w:lang w:val="en-AU"/>
        </w:rPr>
        <w:t>.</w:t>
      </w:r>
      <w:r w:rsidR="00794AC1">
        <w:rPr>
          <w:rFonts w:asciiTheme="minorHAnsi" w:hAnsiTheme="minorHAnsi" w:cstheme="minorHAnsi"/>
          <w:sz w:val="20"/>
          <w:szCs w:val="22"/>
          <w:lang w:val="en-AU"/>
        </w:rPr>
        <w:t xml:space="preserve"> </w:t>
      </w:r>
    </w:p>
    <w:p w14:paraId="0D53A7D5" w14:textId="73B3D8FB" w:rsidR="007548AD" w:rsidRDefault="00794AC1" w:rsidP="0077319E">
      <w:pPr>
        <w:spacing w:line="276" w:lineRule="auto"/>
        <w:rPr>
          <w:rFonts w:asciiTheme="minorHAnsi" w:hAnsiTheme="minorHAnsi" w:cstheme="minorHAnsi"/>
          <w:sz w:val="20"/>
          <w:szCs w:val="22"/>
          <w:lang w:val="en-AU"/>
        </w:rPr>
      </w:pPr>
      <w:r w:rsidRPr="00794AC1">
        <w:rPr>
          <w:rFonts w:asciiTheme="minorHAnsi" w:hAnsiTheme="minorHAnsi" w:cstheme="minorHAnsi"/>
          <w:sz w:val="20"/>
          <w:szCs w:val="22"/>
          <w:lang w:val="en-AU"/>
        </w:rPr>
        <w:t xml:space="preserve">Agriculture Victoria </w:t>
      </w:r>
      <w:r w:rsidR="003C4AC9">
        <w:rPr>
          <w:rFonts w:asciiTheme="minorHAnsi" w:hAnsiTheme="minorHAnsi" w:cstheme="minorHAnsi"/>
          <w:sz w:val="20"/>
          <w:szCs w:val="22"/>
          <w:lang w:val="en-AU"/>
        </w:rPr>
        <w:t>c</w:t>
      </w:r>
      <w:r w:rsidRPr="00794AC1">
        <w:rPr>
          <w:rFonts w:asciiTheme="minorHAnsi" w:hAnsiTheme="minorHAnsi" w:cstheme="minorHAnsi"/>
          <w:sz w:val="20"/>
          <w:szCs w:val="22"/>
          <w:lang w:val="en-AU"/>
        </w:rPr>
        <w:t>ould explore expanding this approach into other areas and examine how partnering with expert agencies could facilitate further use of advanced technologies.</w:t>
      </w:r>
      <w:r>
        <w:rPr>
          <w:rFonts w:asciiTheme="minorHAnsi" w:hAnsiTheme="minorHAnsi" w:cstheme="minorHAnsi"/>
          <w:sz w:val="20"/>
          <w:szCs w:val="22"/>
          <w:lang w:val="en-AU"/>
        </w:rPr>
        <w:t xml:space="preserve"> For example, </w:t>
      </w:r>
      <w:r w:rsidR="00A16950">
        <w:rPr>
          <w:rFonts w:asciiTheme="minorHAnsi" w:hAnsiTheme="minorHAnsi" w:cstheme="minorHAnsi"/>
          <w:sz w:val="20"/>
          <w:szCs w:val="22"/>
          <w:lang w:val="en-AU"/>
        </w:rPr>
        <w:t>Agriculture Victoria</w:t>
      </w:r>
      <w:r w:rsidR="003C4AC9">
        <w:rPr>
          <w:rFonts w:asciiTheme="minorHAnsi" w:hAnsiTheme="minorHAnsi" w:cstheme="minorHAnsi"/>
          <w:sz w:val="20"/>
          <w:szCs w:val="22"/>
          <w:lang w:val="en-AU"/>
        </w:rPr>
        <w:t xml:space="preserve"> </w:t>
      </w:r>
      <w:r w:rsidR="00320857">
        <w:rPr>
          <w:rFonts w:asciiTheme="minorHAnsi" w:hAnsiTheme="minorHAnsi" w:cstheme="minorHAnsi"/>
          <w:sz w:val="20"/>
          <w:szCs w:val="22"/>
          <w:lang w:val="en-AU"/>
        </w:rPr>
        <w:t>could</w:t>
      </w:r>
      <w:r w:rsidR="00A16950">
        <w:rPr>
          <w:rFonts w:asciiTheme="minorHAnsi" w:hAnsiTheme="minorHAnsi" w:cstheme="minorHAnsi"/>
          <w:sz w:val="20"/>
          <w:szCs w:val="22"/>
          <w:lang w:val="en-AU"/>
        </w:rPr>
        <w:t xml:space="preserve"> </w:t>
      </w:r>
      <w:r w:rsidR="006D01AB">
        <w:rPr>
          <w:rFonts w:asciiTheme="minorHAnsi" w:hAnsiTheme="minorHAnsi" w:cstheme="minorHAnsi"/>
          <w:sz w:val="20"/>
          <w:szCs w:val="22"/>
          <w:lang w:val="en-AU"/>
        </w:rPr>
        <w:t xml:space="preserve">consider the potential to </w:t>
      </w:r>
      <w:r w:rsidR="00A16950">
        <w:rPr>
          <w:rFonts w:asciiTheme="minorHAnsi" w:hAnsiTheme="minorHAnsi" w:cstheme="minorHAnsi"/>
          <w:sz w:val="20"/>
          <w:szCs w:val="22"/>
          <w:lang w:val="en-AU"/>
        </w:rPr>
        <w:t>work with research networks such as Data 61 to e</w:t>
      </w:r>
      <w:r w:rsidR="006D01AB">
        <w:rPr>
          <w:rFonts w:asciiTheme="minorHAnsi" w:hAnsiTheme="minorHAnsi" w:cstheme="minorHAnsi"/>
          <w:sz w:val="20"/>
          <w:szCs w:val="22"/>
          <w:lang w:val="en-AU"/>
        </w:rPr>
        <w:t>xplore</w:t>
      </w:r>
      <w:r w:rsidR="00A16950">
        <w:rPr>
          <w:rFonts w:asciiTheme="minorHAnsi" w:hAnsiTheme="minorHAnsi" w:cstheme="minorHAnsi"/>
          <w:sz w:val="20"/>
          <w:szCs w:val="22"/>
          <w:lang w:val="en-AU"/>
        </w:rPr>
        <w:t xml:space="preserve"> </w:t>
      </w:r>
      <w:r w:rsidR="006D01AB">
        <w:rPr>
          <w:rFonts w:asciiTheme="minorHAnsi" w:hAnsiTheme="minorHAnsi" w:cstheme="minorHAnsi"/>
          <w:sz w:val="20"/>
          <w:szCs w:val="22"/>
          <w:lang w:val="en-AU"/>
        </w:rPr>
        <w:t xml:space="preserve">opportunities around developing </w:t>
      </w:r>
      <w:r w:rsidR="00A16950">
        <w:rPr>
          <w:rFonts w:asciiTheme="minorHAnsi" w:hAnsiTheme="minorHAnsi" w:cstheme="minorHAnsi"/>
          <w:sz w:val="20"/>
          <w:szCs w:val="22"/>
          <w:lang w:val="en-AU"/>
        </w:rPr>
        <w:t xml:space="preserve">more </w:t>
      </w:r>
      <w:r w:rsidR="006D01AB">
        <w:rPr>
          <w:rFonts w:asciiTheme="minorHAnsi" w:hAnsiTheme="minorHAnsi" w:cstheme="minorHAnsi"/>
          <w:sz w:val="20"/>
          <w:szCs w:val="22"/>
          <w:lang w:val="en-AU"/>
        </w:rPr>
        <w:t xml:space="preserve">advanced </w:t>
      </w:r>
      <w:r w:rsidR="00A16950">
        <w:rPr>
          <w:rFonts w:asciiTheme="minorHAnsi" w:hAnsiTheme="minorHAnsi" w:cstheme="minorHAnsi"/>
          <w:sz w:val="20"/>
          <w:szCs w:val="22"/>
          <w:lang w:val="en-AU"/>
        </w:rPr>
        <w:t>compliance related assistance and tools.</w:t>
      </w:r>
      <w:r w:rsidR="00A43B8B">
        <w:rPr>
          <w:rFonts w:asciiTheme="minorHAnsi" w:hAnsiTheme="minorHAnsi" w:cstheme="minorHAnsi"/>
          <w:sz w:val="20"/>
          <w:szCs w:val="22"/>
          <w:lang w:val="en-AU"/>
        </w:rPr>
        <w:t xml:space="preserve"> </w:t>
      </w:r>
    </w:p>
    <w:p w14:paraId="5597F790" w14:textId="42013C2F" w:rsidR="00321D5A" w:rsidRDefault="00321D5A" w:rsidP="0077319E">
      <w:pPr>
        <w:spacing w:line="276" w:lineRule="auto"/>
        <w:rPr>
          <w:rFonts w:asciiTheme="minorHAnsi" w:hAnsiTheme="minorHAnsi" w:cstheme="minorHAnsi"/>
          <w:sz w:val="20"/>
          <w:szCs w:val="22"/>
          <w:lang w:val="en-AU"/>
        </w:rPr>
      </w:pPr>
    </w:p>
    <w:p w14:paraId="446EADFE" w14:textId="6ECB4843" w:rsidR="00321D5A" w:rsidRDefault="00321D5A" w:rsidP="0077319E">
      <w:pPr>
        <w:spacing w:line="276" w:lineRule="auto"/>
        <w:rPr>
          <w:rFonts w:asciiTheme="minorHAnsi" w:hAnsiTheme="minorHAnsi" w:cstheme="minorHAnsi"/>
          <w:sz w:val="20"/>
          <w:szCs w:val="22"/>
          <w:lang w:val="en-AU"/>
        </w:rPr>
      </w:pPr>
    </w:p>
    <w:p w14:paraId="07A0145A" w14:textId="1F398E9A" w:rsidR="00321D5A" w:rsidRDefault="00321D5A" w:rsidP="0077319E">
      <w:pPr>
        <w:spacing w:line="276" w:lineRule="auto"/>
        <w:rPr>
          <w:rFonts w:asciiTheme="minorHAnsi" w:hAnsiTheme="minorHAnsi" w:cstheme="minorHAnsi"/>
          <w:sz w:val="20"/>
          <w:szCs w:val="22"/>
          <w:lang w:val="en-AU"/>
        </w:rPr>
      </w:pPr>
    </w:p>
    <w:p w14:paraId="7E20758B" w14:textId="77777777" w:rsidR="00321D5A" w:rsidRDefault="00321D5A" w:rsidP="0077319E">
      <w:pPr>
        <w:spacing w:line="276" w:lineRule="auto"/>
        <w:rPr>
          <w:rFonts w:asciiTheme="minorHAnsi" w:hAnsiTheme="minorHAnsi" w:cstheme="minorHAnsi"/>
          <w:sz w:val="20"/>
          <w:szCs w:val="22"/>
          <w:lang w:val="en-AU"/>
        </w:rPr>
      </w:pPr>
    </w:p>
    <w:p w14:paraId="4943E502" w14:textId="1195DD73" w:rsidR="00E01A73" w:rsidRPr="0066446A" w:rsidRDefault="00E01A73" w:rsidP="0066446A">
      <w:pPr>
        <w:pStyle w:val="Heading2"/>
        <w:rPr>
          <w:sz w:val="22"/>
        </w:rPr>
      </w:pPr>
      <w:bookmarkStart w:id="29" w:name="_Toc5254917"/>
      <w:r w:rsidRPr="0066446A">
        <w:rPr>
          <w:sz w:val="22"/>
        </w:rPr>
        <w:lastRenderedPageBreak/>
        <w:t xml:space="preserve">Role </w:t>
      </w:r>
      <w:r w:rsidR="004E70FF">
        <w:rPr>
          <w:sz w:val="22"/>
        </w:rPr>
        <w:t>c</w:t>
      </w:r>
      <w:r w:rsidRPr="0066446A">
        <w:rPr>
          <w:sz w:val="22"/>
        </w:rPr>
        <w:t>larity</w:t>
      </w:r>
      <w:bookmarkEnd w:id="29"/>
    </w:p>
    <w:tbl>
      <w:tblPr>
        <w:tblStyle w:val="TableGrid"/>
        <w:tblW w:w="0" w:type="auto"/>
        <w:tblLook w:val="04A0" w:firstRow="1" w:lastRow="0" w:firstColumn="1" w:lastColumn="0" w:noHBand="0" w:noVBand="1"/>
      </w:tblPr>
      <w:tblGrid>
        <w:gridCol w:w="9730"/>
      </w:tblGrid>
      <w:tr w:rsidR="00F82D0C" w:rsidRPr="00374F04" w14:paraId="33B3BDC8" w14:textId="77777777" w:rsidTr="00C91A6C">
        <w:tc>
          <w:tcPr>
            <w:tcW w:w="9730" w:type="dxa"/>
            <w:shd w:val="clear" w:color="auto" w:fill="E2EAF6"/>
          </w:tcPr>
          <w:p w14:paraId="3779A08C" w14:textId="7318CA56" w:rsidR="00F82D0C" w:rsidRPr="00292976" w:rsidRDefault="004E1B1A" w:rsidP="00292976">
            <w:pPr>
              <w:pStyle w:val="Body"/>
              <w:spacing w:before="120" w:after="120" w:line="240" w:lineRule="auto"/>
              <w:jc w:val="both"/>
              <w:rPr>
                <w:rFonts w:eastAsiaTheme="minorEastAsia" w:cstheme="minorHAnsi"/>
                <w:sz w:val="18"/>
                <w:szCs w:val="22"/>
              </w:rPr>
            </w:pPr>
            <w:r w:rsidRPr="00292976">
              <w:rPr>
                <w:rFonts w:eastAsiaTheme="minorEastAsia" w:cstheme="minorHAnsi"/>
                <w:sz w:val="18"/>
                <w:szCs w:val="22"/>
              </w:rPr>
              <w:t>Ministerial Expectation</w:t>
            </w:r>
            <w:r w:rsidR="00DE3092" w:rsidRPr="00292976">
              <w:rPr>
                <w:rFonts w:eastAsiaTheme="minorEastAsia" w:cstheme="minorHAnsi"/>
                <w:sz w:val="18"/>
                <w:szCs w:val="22"/>
              </w:rPr>
              <w:t>s</w:t>
            </w:r>
            <w:r w:rsidR="00E01A73" w:rsidRPr="00292976">
              <w:rPr>
                <w:rFonts w:eastAsiaTheme="minorEastAsia" w:cstheme="minorHAnsi"/>
                <w:sz w:val="18"/>
                <w:szCs w:val="22"/>
              </w:rPr>
              <w:t xml:space="preserve"> </w:t>
            </w:r>
          </w:p>
          <w:p w14:paraId="0AECF598" w14:textId="6645C58F" w:rsidR="00AA1340" w:rsidRPr="00292976" w:rsidRDefault="00AA1340" w:rsidP="00893511">
            <w:pPr>
              <w:pStyle w:val="Body"/>
              <w:numPr>
                <w:ilvl w:val="0"/>
                <w:numId w:val="8"/>
              </w:numPr>
              <w:spacing w:before="120" w:after="120" w:line="240" w:lineRule="auto"/>
              <w:jc w:val="both"/>
              <w:rPr>
                <w:rFonts w:eastAsiaTheme="minorEastAsia" w:cstheme="minorHAnsi"/>
                <w:b w:val="0"/>
                <w:sz w:val="18"/>
                <w:szCs w:val="22"/>
              </w:rPr>
            </w:pPr>
            <w:r w:rsidRPr="00292976">
              <w:rPr>
                <w:rFonts w:eastAsiaTheme="minorEastAsia" w:cstheme="minorHAnsi"/>
                <w:b w:val="0"/>
                <w:sz w:val="18"/>
                <w:szCs w:val="22"/>
              </w:rPr>
              <w:t xml:space="preserve">Develop coordination agreements for the regulation of new industries, to support the clarification of the roles and responsibilities between departments and any agencies, including authorisation requirements. </w:t>
            </w:r>
          </w:p>
          <w:p w14:paraId="1DB8DF62" w14:textId="5978D72D" w:rsidR="00AA1340" w:rsidRPr="00292976" w:rsidRDefault="00AA1340" w:rsidP="00893511">
            <w:pPr>
              <w:pStyle w:val="Body"/>
              <w:numPr>
                <w:ilvl w:val="0"/>
                <w:numId w:val="8"/>
              </w:numPr>
              <w:spacing w:before="120" w:after="120" w:line="240" w:lineRule="auto"/>
              <w:jc w:val="both"/>
              <w:rPr>
                <w:rFonts w:eastAsiaTheme="minorEastAsia" w:cstheme="minorHAnsi"/>
                <w:b w:val="0"/>
                <w:sz w:val="18"/>
                <w:szCs w:val="22"/>
              </w:rPr>
            </w:pPr>
            <w:r w:rsidRPr="00292976">
              <w:rPr>
                <w:rFonts w:eastAsiaTheme="minorEastAsia" w:cstheme="minorHAnsi"/>
                <w:b w:val="0"/>
                <w:sz w:val="18"/>
                <w:szCs w:val="22"/>
              </w:rPr>
              <w:t xml:space="preserve">Roles, responsibilities and accountabilities should be clarified for primary production – related food safety incident management and documented and clarified for animal welfare as part of the animal welfare reform project. </w:t>
            </w:r>
          </w:p>
          <w:p w14:paraId="44373E49" w14:textId="4E7BD09B" w:rsidR="00AA1340" w:rsidRPr="00292976" w:rsidRDefault="00AA1340" w:rsidP="00893511">
            <w:pPr>
              <w:pStyle w:val="Body"/>
              <w:numPr>
                <w:ilvl w:val="0"/>
                <w:numId w:val="8"/>
              </w:numPr>
              <w:spacing w:before="120" w:after="120" w:line="240" w:lineRule="auto"/>
              <w:jc w:val="both"/>
              <w:rPr>
                <w:rFonts w:eastAsiaTheme="minorEastAsia" w:cstheme="minorHAnsi"/>
                <w:b w:val="0"/>
                <w:sz w:val="18"/>
                <w:szCs w:val="22"/>
              </w:rPr>
            </w:pPr>
            <w:r w:rsidRPr="00292976">
              <w:rPr>
                <w:rFonts w:eastAsiaTheme="minorEastAsia" w:cstheme="minorHAnsi"/>
                <w:b w:val="0"/>
                <w:sz w:val="18"/>
                <w:szCs w:val="22"/>
              </w:rPr>
              <w:t>Continue to use the Biosecurity Evidence Framework to demonstrate the effectiveness, efficiency, impact, and continuous improvement of regulatory performance</w:t>
            </w:r>
            <w:r w:rsidR="00F1209E">
              <w:rPr>
                <w:rFonts w:eastAsiaTheme="minorEastAsia" w:cstheme="minorHAnsi"/>
                <w:b w:val="0"/>
                <w:sz w:val="18"/>
                <w:szCs w:val="22"/>
              </w:rPr>
              <w:t>.</w:t>
            </w:r>
          </w:p>
          <w:p w14:paraId="5010E87C" w14:textId="61ECE097" w:rsidR="00F82D0C" w:rsidRPr="00292976" w:rsidRDefault="00AA1340" w:rsidP="00893511">
            <w:pPr>
              <w:pStyle w:val="Body"/>
              <w:numPr>
                <w:ilvl w:val="0"/>
                <w:numId w:val="8"/>
              </w:numPr>
              <w:spacing w:before="120" w:after="120" w:line="240" w:lineRule="auto"/>
              <w:jc w:val="both"/>
              <w:rPr>
                <w:rFonts w:eastAsiaTheme="minorEastAsia" w:cstheme="minorHAnsi"/>
                <w:b w:val="0"/>
                <w:sz w:val="18"/>
                <w:szCs w:val="22"/>
              </w:rPr>
            </w:pPr>
            <w:r w:rsidRPr="00292976">
              <w:rPr>
                <w:rFonts w:eastAsiaTheme="minorEastAsia" w:cstheme="minorHAnsi"/>
                <w:b w:val="0"/>
                <w:sz w:val="18"/>
                <w:szCs w:val="22"/>
              </w:rPr>
              <w:t xml:space="preserve">Information is made publicly available to ensure that the public and industry are aware of the work undertaken by DEDJTR, to build trust with stakeholders and ensures transparency of role clarity in DEDJTR operations. </w:t>
            </w:r>
          </w:p>
        </w:tc>
      </w:tr>
      <w:tr w:rsidR="007F443B" w:rsidRPr="00374F04" w14:paraId="67ADE696" w14:textId="77777777" w:rsidTr="00C91A6C">
        <w:trPr>
          <w:trHeight w:val="429"/>
        </w:trPr>
        <w:tc>
          <w:tcPr>
            <w:tcW w:w="9730" w:type="dxa"/>
            <w:shd w:val="clear" w:color="auto" w:fill="auto"/>
          </w:tcPr>
          <w:p w14:paraId="1A781D9F" w14:textId="77777777" w:rsidR="007F443B" w:rsidRPr="00292976" w:rsidRDefault="007F443B" w:rsidP="00F1209E">
            <w:pPr>
              <w:pStyle w:val="Body"/>
              <w:spacing w:before="120" w:after="120" w:line="240" w:lineRule="auto"/>
              <w:jc w:val="both"/>
              <w:rPr>
                <w:rFonts w:eastAsiaTheme="minorEastAsia" w:cstheme="minorHAnsi"/>
                <w:sz w:val="18"/>
                <w:szCs w:val="22"/>
              </w:rPr>
            </w:pPr>
            <w:r w:rsidRPr="00292976">
              <w:rPr>
                <w:rFonts w:eastAsiaTheme="minorEastAsia" w:cstheme="minorHAnsi"/>
                <w:sz w:val="18"/>
                <w:szCs w:val="22"/>
              </w:rPr>
              <w:t xml:space="preserve">Agriculture Victoria Improvement Response </w:t>
            </w:r>
          </w:p>
          <w:p w14:paraId="0D15126A" w14:textId="2AB386C9" w:rsidR="007F443B" w:rsidRPr="00292976" w:rsidRDefault="007F443B" w:rsidP="00893511">
            <w:pPr>
              <w:pStyle w:val="Body"/>
              <w:numPr>
                <w:ilvl w:val="0"/>
                <w:numId w:val="8"/>
              </w:numPr>
              <w:spacing w:before="120" w:line="240" w:lineRule="auto"/>
              <w:jc w:val="both"/>
              <w:rPr>
                <w:rFonts w:eastAsiaTheme="minorEastAsia" w:cstheme="minorHAnsi"/>
                <w:b w:val="0"/>
                <w:sz w:val="18"/>
                <w:szCs w:val="22"/>
              </w:rPr>
            </w:pPr>
            <w:r w:rsidRPr="00292976">
              <w:rPr>
                <w:rFonts w:eastAsiaTheme="minorEastAsia" w:cstheme="minorHAnsi"/>
                <w:b w:val="0"/>
                <w:sz w:val="18"/>
                <w:szCs w:val="22"/>
              </w:rPr>
              <w:t>Review current agreement on operational arrangements between DEDJTR and Victoria Police for regulating poppy and hemp production.</w:t>
            </w:r>
          </w:p>
          <w:p w14:paraId="7C702214" w14:textId="77777777" w:rsidR="007F443B" w:rsidRPr="00292976" w:rsidRDefault="007F443B" w:rsidP="00893511">
            <w:pPr>
              <w:pStyle w:val="Body"/>
              <w:numPr>
                <w:ilvl w:val="0"/>
                <w:numId w:val="8"/>
              </w:numPr>
              <w:spacing w:before="120" w:after="120" w:line="240" w:lineRule="auto"/>
              <w:jc w:val="both"/>
              <w:rPr>
                <w:rFonts w:eastAsiaTheme="minorEastAsia" w:cstheme="minorHAnsi"/>
                <w:sz w:val="18"/>
                <w:szCs w:val="22"/>
              </w:rPr>
            </w:pPr>
            <w:r w:rsidRPr="00292976">
              <w:rPr>
                <w:rFonts w:eastAsiaTheme="minorEastAsia" w:cstheme="minorHAnsi"/>
                <w:b w:val="0"/>
                <w:sz w:val="18"/>
                <w:szCs w:val="22"/>
              </w:rPr>
              <w:t xml:space="preserve">Develop an agreement with Department of Health and Human Services for Agriculture Victoria staff to be authorised under the </w:t>
            </w:r>
            <w:r w:rsidRPr="00F1209E">
              <w:rPr>
                <w:rFonts w:eastAsiaTheme="minorEastAsia" w:cstheme="minorHAnsi"/>
                <w:b w:val="0"/>
                <w:i/>
                <w:sz w:val="18"/>
                <w:szCs w:val="22"/>
              </w:rPr>
              <w:t>Drugs Poisons and Controlled Substances Act 1981</w:t>
            </w:r>
            <w:r w:rsidRPr="00292976">
              <w:rPr>
                <w:rFonts w:eastAsiaTheme="minorEastAsia" w:cstheme="minorHAnsi"/>
                <w:b w:val="0"/>
                <w:sz w:val="18"/>
                <w:szCs w:val="22"/>
              </w:rPr>
              <w:t>.</w:t>
            </w:r>
          </w:p>
          <w:p w14:paraId="74D85498" w14:textId="3D71664F" w:rsidR="007F443B" w:rsidRPr="00292976" w:rsidRDefault="007F443B" w:rsidP="00893511">
            <w:pPr>
              <w:pStyle w:val="Body"/>
              <w:numPr>
                <w:ilvl w:val="0"/>
                <w:numId w:val="8"/>
              </w:numPr>
              <w:spacing w:before="120" w:line="240" w:lineRule="auto"/>
              <w:jc w:val="both"/>
              <w:rPr>
                <w:rFonts w:eastAsiaTheme="minorEastAsia" w:cstheme="minorHAnsi"/>
                <w:b w:val="0"/>
                <w:sz w:val="18"/>
                <w:szCs w:val="22"/>
              </w:rPr>
            </w:pPr>
            <w:r w:rsidRPr="00292976">
              <w:rPr>
                <w:rFonts w:eastAsiaTheme="minorEastAsia" w:cstheme="minorHAnsi"/>
                <w:b w:val="0"/>
                <w:sz w:val="18"/>
                <w:szCs w:val="22"/>
              </w:rPr>
              <w:t xml:space="preserve">Clarify roles and responsibilities between DEDJTR and Department of Health and Human Services for primary production related food safety incident management under the </w:t>
            </w:r>
            <w:r w:rsidRPr="00705A16">
              <w:rPr>
                <w:rFonts w:eastAsiaTheme="minorEastAsia" w:cstheme="minorHAnsi"/>
                <w:b w:val="0"/>
                <w:i/>
                <w:sz w:val="18"/>
                <w:szCs w:val="22"/>
              </w:rPr>
              <w:t>Victorian Food Act 1984</w:t>
            </w:r>
            <w:r w:rsidRPr="00292976">
              <w:rPr>
                <w:rFonts w:eastAsiaTheme="minorEastAsia" w:cstheme="minorHAnsi"/>
                <w:b w:val="0"/>
                <w:sz w:val="18"/>
                <w:szCs w:val="22"/>
              </w:rPr>
              <w:t>.</w:t>
            </w:r>
          </w:p>
          <w:p w14:paraId="2A324AD3" w14:textId="426EAB6F" w:rsidR="007F443B" w:rsidRPr="00292976" w:rsidRDefault="007F443B" w:rsidP="00893511">
            <w:pPr>
              <w:pStyle w:val="Body"/>
              <w:numPr>
                <w:ilvl w:val="0"/>
                <w:numId w:val="8"/>
              </w:numPr>
              <w:spacing w:before="120" w:line="240" w:lineRule="auto"/>
              <w:jc w:val="both"/>
              <w:rPr>
                <w:rFonts w:eastAsiaTheme="minorEastAsia" w:cstheme="minorHAnsi"/>
                <w:b w:val="0"/>
                <w:sz w:val="18"/>
                <w:szCs w:val="22"/>
              </w:rPr>
            </w:pPr>
            <w:r w:rsidRPr="00292976">
              <w:rPr>
                <w:rFonts w:eastAsiaTheme="minorEastAsia" w:cstheme="minorHAnsi"/>
                <w:b w:val="0"/>
                <w:sz w:val="18"/>
                <w:szCs w:val="22"/>
              </w:rPr>
              <w:t>Publish a statement clarifying the arrangement between the RSPCA Victoria and DEDJTR in relation to animal welfare on the Agriculture Victoria website to provide the public community with an overview of the different roles and res</w:t>
            </w:r>
            <w:r w:rsidR="00292976" w:rsidRPr="00292976">
              <w:rPr>
                <w:rFonts w:eastAsiaTheme="minorEastAsia" w:cstheme="minorHAnsi"/>
                <w:b w:val="0"/>
                <w:sz w:val="18"/>
                <w:szCs w:val="22"/>
              </w:rPr>
              <w:t>ponsibilities of the respective</w:t>
            </w:r>
            <w:r w:rsidRPr="00292976">
              <w:rPr>
                <w:rFonts w:eastAsiaTheme="minorEastAsia" w:cstheme="minorHAnsi"/>
                <w:b w:val="0"/>
                <w:sz w:val="18"/>
                <w:szCs w:val="22"/>
              </w:rPr>
              <w:t xml:space="preserve"> organisations.</w:t>
            </w:r>
          </w:p>
          <w:p w14:paraId="53405FF4" w14:textId="666D4104" w:rsidR="007F443B" w:rsidRPr="00292976" w:rsidRDefault="007F443B" w:rsidP="00893511">
            <w:pPr>
              <w:pStyle w:val="ListParagraph"/>
              <w:numPr>
                <w:ilvl w:val="0"/>
                <w:numId w:val="8"/>
              </w:numPr>
              <w:spacing w:before="120" w:line="240" w:lineRule="auto"/>
              <w:rPr>
                <w:rFonts w:eastAsiaTheme="minorEastAsia" w:cstheme="minorHAnsi"/>
                <w:b/>
                <w:szCs w:val="22"/>
              </w:rPr>
            </w:pPr>
            <w:r w:rsidRPr="00292976">
              <w:rPr>
                <w:rFonts w:asciiTheme="minorHAnsi" w:eastAsiaTheme="minorEastAsia" w:hAnsiTheme="minorHAnsi" w:cstheme="minorHAnsi"/>
                <w:color w:val="auto"/>
                <w:szCs w:val="22"/>
                <w:lang w:val="en-AU"/>
              </w:rPr>
              <w:t>Document the Victorian enforcement framework for animal welfare in Victoria and identify where greater clarity is required.</w:t>
            </w:r>
          </w:p>
        </w:tc>
      </w:tr>
    </w:tbl>
    <w:p w14:paraId="1210C090" w14:textId="77777777" w:rsidR="000E5BE0" w:rsidRPr="001E0075" w:rsidRDefault="000E5BE0" w:rsidP="000E5BE0">
      <w:pPr>
        <w:pStyle w:val="Heading2"/>
        <w:numPr>
          <w:ilvl w:val="0"/>
          <w:numId w:val="0"/>
        </w:numPr>
        <w:ind w:left="360" w:hanging="360"/>
        <w:rPr>
          <w:rFonts w:ascii="Calibri" w:hAnsi="Calibri" w:cs="Calibri"/>
          <w:sz w:val="22"/>
        </w:rPr>
      </w:pPr>
      <w:bookmarkStart w:id="30" w:name="_Toc881043"/>
      <w:bookmarkStart w:id="31" w:name="_Toc5254918"/>
      <w:r w:rsidRPr="001E0075">
        <w:rPr>
          <w:rFonts w:ascii="Calibri" w:hAnsi="Calibri" w:cs="Calibri"/>
          <w:sz w:val="22"/>
        </w:rPr>
        <w:t>Key Findings</w:t>
      </w:r>
      <w:bookmarkEnd w:id="30"/>
      <w:bookmarkEnd w:id="31"/>
      <w:r w:rsidRPr="001E0075">
        <w:rPr>
          <w:rFonts w:ascii="Calibri" w:hAnsi="Calibri" w:cs="Calibri"/>
          <w:sz w:val="22"/>
        </w:rPr>
        <w:t xml:space="preserve"> </w:t>
      </w:r>
    </w:p>
    <w:p w14:paraId="7F1C1E36" w14:textId="58895CE6" w:rsidR="002C1315" w:rsidRDefault="0077319E" w:rsidP="002C1315">
      <w:pPr>
        <w:spacing w:line="276" w:lineRule="auto"/>
        <w:rPr>
          <w:rFonts w:asciiTheme="minorHAnsi" w:hAnsiTheme="minorHAnsi" w:cstheme="minorHAnsi"/>
          <w:sz w:val="20"/>
          <w:szCs w:val="22"/>
          <w:lang w:val="en-AU"/>
        </w:rPr>
      </w:pPr>
      <w:bookmarkStart w:id="32" w:name="_Hlk528751829"/>
      <w:bookmarkEnd w:id="28"/>
      <w:r w:rsidRPr="00374F04">
        <w:rPr>
          <w:rFonts w:asciiTheme="minorHAnsi" w:hAnsiTheme="minorHAnsi" w:cstheme="minorHAnsi"/>
          <w:sz w:val="20"/>
          <w:szCs w:val="22"/>
          <w:lang w:val="en-AU"/>
        </w:rPr>
        <w:t>Agriculture Victoria has entered into Memoranda of Understanding (MoU) arrangements with agencies to promote role clarity and reduce potential duplication of its regulatory fu</w:t>
      </w:r>
      <w:r w:rsidR="0095365F" w:rsidRPr="00374F04">
        <w:rPr>
          <w:rFonts w:asciiTheme="minorHAnsi" w:hAnsiTheme="minorHAnsi" w:cstheme="minorHAnsi"/>
          <w:sz w:val="20"/>
          <w:szCs w:val="22"/>
          <w:lang w:val="en-AU"/>
        </w:rPr>
        <w:t xml:space="preserve">nction. </w:t>
      </w:r>
      <w:r w:rsidR="001A0AFC">
        <w:rPr>
          <w:rFonts w:asciiTheme="minorHAnsi" w:hAnsiTheme="minorHAnsi" w:cstheme="minorHAnsi"/>
          <w:sz w:val="20"/>
          <w:szCs w:val="22"/>
          <w:lang w:val="en-AU"/>
        </w:rPr>
        <w:t xml:space="preserve">These </w:t>
      </w:r>
      <w:r w:rsidRPr="00374F04">
        <w:rPr>
          <w:rFonts w:asciiTheme="minorHAnsi" w:hAnsiTheme="minorHAnsi" w:cstheme="minorHAnsi"/>
          <w:sz w:val="20"/>
          <w:szCs w:val="22"/>
          <w:lang w:val="en-AU"/>
        </w:rPr>
        <w:t>MoUs allow Agriculture Victoria to work with partner organisations to</w:t>
      </w:r>
      <w:r w:rsidR="007644DB">
        <w:rPr>
          <w:rFonts w:asciiTheme="minorHAnsi" w:hAnsiTheme="minorHAnsi" w:cstheme="minorHAnsi"/>
          <w:sz w:val="20"/>
          <w:szCs w:val="22"/>
          <w:lang w:val="en-AU"/>
        </w:rPr>
        <w:t xml:space="preserve"> minimise regulatory burden, </w:t>
      </w:r>
      <w:r w:rsidRPr="00374F04">
        <w:rPr>
          <w:rFonts w:asciiTheme="minorHAnsi" w:hAnsiTheme="minorHAnsi" w:cstheme="minorHAnsi"/>
          <w:sz w:val="20"/>
          <w:szCs w:val="22"/>
          <w:lang w:val="en-AU"/>
        </w:rPr>
        <w:t xml:space="preserve">reduce overlap and improve operational processes and practices within regulators. </w:t>
      </w:r>
      <w:r w:rsidR="001A0AFC">
        <w:rPr>
          <w:rFonts w:asciiTheme="minorHAnsi" w:hAnsiTheme="minorHAnsi" w:cstheme="minorHAnsi"/>
          <w:sz w:val="20"/>
          <w:szCs w:val="22"/>
          <w:lang w:val="en-AU"/>
        </w:rPr>
        <w:t xml:space="preserve">The evaluation </w:t>
      </w:r>
      <w:r w:rsidR="007644DB">
        <w:rPr>
          <w:rFonts w:asciiTheme="minorHAnsi" w:hAnsiTheme="minorHAnsi" w:cstheme="minorHAnsi"/>
          <w:sz w:val="20"/>
          <w:szCs w:val="22"/>
          <w:lang w:val="en-AU"/>
        </w:rPr>
        <w:t>found that</w:t>
      </w:r>
      <w:r w:rsidR="001A0AFC">
        <w:rPr>
          <w:rFonts w:asciiTheme="minorHAnsi" w:hAnsiTheme="minorHAnsi" w:cstheme="minorHAnsi"/>
          <w:sz w:val="20"/>
          <w:szCs w:val="22"/>
          <w:lang w:val="en-AU"/>
        </w:rPr>
        <w:t xml:space="preserve"> d</w:t>
      </w:r>
      <w:r w:rsidRPr="00374F04">
        <w:rPr>
          <w:rFonts w:asciiTheme="minorHAnsi" w:hAnsiTheme="minorHAnsi" w:cstheme="minorHAnsi"/>
          <w:sz w:val="20"/>
          <w:szCs w:val="22"/>
          <w:lang w:val="en-AU"/>
        </w:rPr>
        <w:t xml:space="preserve">efining roles and responsibilities </w:t>
      </w:r>
      <w:r w:rsidR="007644DB">
        <w:rPr>
          <w:rFonts w:asciiTheme="minorHAnsi" w:hAnsiTheme="minorHAnsi" w:cstheme="minorHAnsi"/>
          <w:sz w:val="20"/>
          <w:szCs w:val="22"/>
          <w:lang w:val="en-AU"/>
        </w:rPr>
        <w:t>has</w:t>
      </w:r>
      <w:r w:rsidRPr="00374F04">
        <w:rPr>
          <w:rFonts w:asciiTheme="minorHAnsi" w:hAnsiTheme="minorHAnsi" w:cstheme="minorHAnsi"/>
          <w:sz w:val="20"/>
          <w:szCs w:val="22"/>
          <w:lang w:val="en-AU"/>
        </w:rPr>
        <w:t xml:space="preserve"> </w:t>
      </w:r>
      <w:r w:rsidR="001A0AFC">
        <w:rPr>
          <w:rFonts w:asciiTheme="minorHAnsi" w:hAnsiTheme="minorHAnsi" w:cstheme="minorHAnsi"/>
          <w:sz w:val="20"/>
          <w:szCs w:val="22"/>
          <w:lang w:val="en-AU"/>
        </w:rPr>
        <w:t>led to</w:t>
      </w:r>
      <w:r w:rsidRPr="00374F04">
        <w:rPr>
          <w:rFonts w:asciiTheme="minorHAnsi" w:hAnsiTheme="minorHAnsi" w:cstheme="minorHAnsi"/>
          <w:sz w:val="20"/>
          <w:szCs w:val="22"/>
          <w:lang w:val="en-AU"/>
        </w:rPr>
        <w:t xml:space="preserve"> better co-ordination of regulatory activities and </w:t>
      </w:r>
      <w:r w:rsidR="001A0AFC">
        <w:rPr>
          <w:rFonts w:asciiTheme="minorHAnsi" w:hAnsiTheme="minorHAnsi" w:cstheme="minorHAnsi"/>
          <w:sz w:val="20"/>
          <w:szCs w:val="22"/>
          <w:lang w:val="en-AU"/>
        </w:rPr>
        <w:t xml:space="preserve">is fostering a </w:t>
      </w:r>
      <w:r w:rsidRPr="00374F04">
        <w:rPr>
          <w:rFonts w:asciiTheme="minorHAnsi" w:hAnsiTheme="minorHAnsi" w:cstheme="minorHAnsi"/>
          <w:sz w:val="20"/>
          <w:szCs w:val="22"/>
          <w:lang w:val="en-AU"/>
        </w:rPr>
        <w:t xml:space="preserve">consistent </w:t>
      </w:r>
      <w:r w:rsidR="001A0AFC">
        <w:rPr>
          <w:rFonts w:asciiTheme="minorHAnsi" w:hAnsiTheme="minorHAnsi" w:cstheme="minorHAnsi"/>
          <w:sz w:val="20"/>
          <w:szCs w:val="22"/>
          <w:lang w:val="en-AU"/>
        </w:rPr>
        <w:t xml:space="preserve">compliance approach </w:t>
      </w:r>
      <w:r w:rsidRPr="00374F04">
        <w:rPr>
          <w:rFonts w:asciiTheme="minorHAnsi" w:hAnsiTheme="minorHAnsi" w:cstheme="minorHAnsi"/>
          <w:sz w:val="20"/>
          <w:szCs w:val="22"/>
          <w:lang w:val="en-AU"/>
        </w:rPr>
        <w:t>across</w:t>
      </w:r>
      <w:r w:rsidR="002C1315">
        <w:rPr>
          <w:rFonts w:asciiTheme="minorHAnsi" w:hAnsiTheme="minorHAnsi" w:cstheme="minorHAnsi"/>
          <w:sz w:val="20"/>
          <w:szCs w:val="22"/>
          <w:lang w:val="en-AU"/>
        </w:rPr>
        <w:t xml:space="preserve"> different regulatory agencies. </w:t>
      </w:r>
    </w:p>
    <w:p w14:paraId="61084EBD" w14:textId="1812E514" w:rsidR="007644DB" w:rsidRDefault="001A0AFC" w:rsidP="002006E7">
      <w:pPr>
        <w:spacing w:line="276" w:lineRule="auto"/>
        <w:rPr>
          <w:rFonts w:asciiTheme="minorHAnsi" w:hAnsiTheme="minorHAnsi" w:cstheme="minorHAnsi"/>
          <w:sz w:val="20"/>
          <w:szCs w:val="22"/>
          <w:lang w:val="en-AU"/>
        </w:rPr>
      </w:pPr>
      <w:r>
        <w:rPr>
          <w:rFonts w:asciiTheme="minorHAnsi" w:hAnsiTheme="minorHAnsi" w:cstheme="minorHAnsi"/>
          <w:sz w:val="20"/>
          <w:szCs w:val="22"/>
          <w:lang w:val="en-AU"/>
        </w:rPr>
        <w:t xml:space="preserve">There </w:t>
      </w:r>
      <w:r w:rsidR="00321D5A">
        <w:rPr>
          <w:rFonts w:asciiTheme="minorHAnsi" w:hAnsiTheme="minorHAnsi" w:cstheme="minorHAnsi"/>
          <w:sz w:val="20"/>
          <w:szCs w:val="22"/>
          <w:lang w:val="en-AU"/>
        </w:rPr>
        <w:t>are indications</w:t>
      </w:r>
      <w:r>
        <w:rPr>
          <w:rFonts w:asciiTheme="minorHAnsi" w:hAnsiTheme="minorHAnsi" w:cstheme="minorHAnsi"/>
          <w:sz w:val="20"/>
          <w:szCs w:val="22"/>
          <w:lang w:val="en-AU"/>
        </w:rPr>
        <w:t xml:space="preserve"> to show that </w:t>
      </w:r>
      <w:r w:rsidR="002C1315">
        <w:rPr>
          <w:rFonts w:asciiTheme="minorHAnsi" w:hAnsiTheme="minorHAnsi" w:cstheme="minorHAnsi"/>
          <w:sz w:val="20"/>
          <w:szCs w:val="22"/>
          <w:lang w:val="en-AU"/>
        </w:rPr>
        <w:t>A</w:t>
      </w:r>
      <w:r w:rsidR="002C1315" w:rsidRPr="00374F04">
        <w:rPr>
          <w:rFonts w:asciiTheme="minorHAnsi" w:hAnsiTheme="minorHAnsi" w:cstheme="minorHAnsi"/>
          <w:sz w:val="20"/>
          <w:szCs w:val="22"/>
          <w:lang w:val="en-AU"/>
        </w:rPr>
        <w:t xml:space="preserve">griculture Victoria’s MoUs </w:t>
      </w:r>
      <w:r w:rsidR="001F2F2C">
        <w:rPr>
          <w:rFonts w:asciiTheme="minorHAnsi" w:hAnsiTheme="minorHAnsi" w:cstheme="minorHAnsi"/>
          <w:sz w:val="20"/>
          <w:szCs w:val="22"/>
          <w:lang w:val="en-AU"/>
        </w:rPr>
        <w:t xml:space="preserve">are </w:t>
      </w:r>
      <w:r w:rsidR="007644DB">
        <w:rPr>
          <w:rFonts w:asciiTheme="minorHAnsi" w:hAnsiTheme="minorHAnsi" w:cstheme="minorHAnsi"/>
          <w:sz w:val="20"/>
          <w:szCs w:val="22"/>
          <w:lang w:val="en-AU"/>
        </w:rPr>
        <w:t xml:space="preserve">encouraging </w:t>
      </w:r>
      <w:r w:rsidR="007644DB" w:rsidRPr="00374F04">
        <w:rPr>
          <w:rFonts w:asciiTheme="minorHAnsi" w:hAnsiTheme="minorHAnsi" w:cstheme="minorHAnsi"/>
          <w:sz w:val="20"/>
          <w:szCs w:val="22"/>
          <w:lang w:val="en-AU"/>
        </w:rPr>
        <w:t>minimum</w:t>
      </w:r>
      <w:r w:rsidR="002C1315" w:rsidRPr="00374F04">
        <w:rPr>
          <w:rFonts w:asciiTheme="minorHAnsi" w:hAnsiTheme="minorHAnsi" w:cstheme="minorHAnsi"/>
          <w:sz w:val="20"/>
          <w:szCs w:val="22"/>
          <w:lang w:val="en-AU"/>
        </w:rPr>
        <w:t xml:space="preserve"> standards and clear benchmark</w:t>
      </w:r>
      <w:r w:rsidR="001F2F2C">
        <w:rPr>
          <w:rFonts w:asciiTheme="minorHAnsi" w:hAnsiTheme="minorHAnsi" w:cstheme="minorHAnsi"/>
          <w:sz w:val="20"/>
          <w:szCs w:val="22"/>
          <w:lang w:val="en-AU"/>
        </w:rPr>
        <w:t>s</w:t>
      </w:r>
      <w:r w:rsidR="002C1315" w:rsidRPr="00374F04">
        <w:rPr>
          <w:rFonts w:asciiTheme="minorHAnsi" w:hAnsiTheme="minorHAnsi" w:cstheme="minorHAnsi"/>
          <w:sz w:val="20"/>
          <w:szCs w:val="22"/>
          <w:lang w:val="en-AU"/>
        </w:rPr>
        <w:t xml:space="preserve"> to all parties on regulatory initiatives. Agriculture Victoria is establishing organisational arrangements </w:t>
      </w:r>
      <w:r w:rsidR="001F2F2C">
        <w:rPr>
          <w:rFonts w:asciiTheme="minorHAnsi" w:hAnsiTheme="minorHAnsi" w:cstheme="minorHAnsi"/>
          <w:sz w:val="20"/>
          <w:szCs w:val="22"/>
          <w:lang w:val="en-AU"/>
        </w:rPr>
        <w:t xml:space="preserve">with other agencies </w:t>
      </w:r>
      <w:r w:rsidR="002C1315" w:rsidRPr="00374F04">
        <w:rPr>
          <w:rFonts w:asciiTheme="minorHAnsi" w:hAnsiTheme="minorHAnsi" w:cstheme="minorHAnsi"/>
          <w:sz w:val="20"/>
          <w:szCs w:val="22"/>
          <w:lang w:val="en-AU"/>
        </w:rPr>
        <w:t xml:space="preserve">to ensure transparency in decision making, accountability of roles and responsibilities and is working towards good regulatory practice. </w:t>
      </w:r>
    </w:p>
    <w:p w14:paraId="4482F6C6" w14:textId="77777777" w:rsidR="00321D5A" w:rsidRDefault="00321D5A" w:rsidP="00321D5A">
      <w:pPr>
        <w:spacing w:line="276" w:lineRule="auto"/>
        <w:rPr>
          <w:rFonts w:asciiTheme="minorHAnsi" w:hAnsiTheme="minorHAnsi" w:cstheme="minorHAnsi"/>
          <w:b/>
          <w:sz w:val="20"/>
          <w:szCs w:val="22"/>
        </w:rPr>
      </w:pPr>
      <w:r w:rsidRPr="00374F04">
        <w:rPr>
          <w:rFonts w:asciiTheme="minorHAnsi" w:hAnsiTheme="minorHAnsi" w:cstheme="minorHAnsi"/>
          <w:b/>
          <w:sz w:val="20"/>
          <w:szCs w:val="22"/>
        </w:rPr>
        <w:t>Department of Health and Human Services</w:t>
      </w:r>
    </w:p>
    <w:p w14:paraId="6F41ECAF" w14:textId="77777777" w:rsidR="00321D5A" w:rsidRPr="0066446A" w:rsidRDefault="00321D5A" w:rsidP="00321D5A">
      <w:pPr>
        <w:spacing w:line="276" w:lineRule="auto"/>
        <w:rPr>
          <w:rFonts w:asciiTheme="minorHAnsi" w:hAnsiTheme="minorHAnsi" w:cstheme="minorHAnsi"/>
          <w:sz w:val="20"/>
          <w:szCs w:val="22"/>
          <w:lang w:val="en-AU"/>
        </w:rPr>
      </w:pPr>
      <w:r w:rsidRPr="0066446A">
        <w:rPr>
          <w:rFonts w:asciiTheme="minorHAnsi" w:hAnsiTheme="minorHAnsi" w:cstheme="minorHAnsi"/>
          <w:sz w:val="20"/>
          <w:szCs w:val="22"/>
          <w:lang w:val="en-AU"/>
        </w:rPr>
        <w:t xml:space="preserve">In May 2018 an MoU with DHHS was signed to enable Agriculture Victoria staff to be authorised under the </w:t>
      </w:r>
      <w:r w:rsidRPr="00E50131">
        <w:rPr>
          <w:rFonts w:asciiTheme="minorHAnsi" w:hAnsiTheme="minorHAnsi" w:cstheme="minorHAnsi"/>
          <w:i/>
          <w:sz w:val="20"/>
          <w:szCs w:val="22"/>
          <w:lang w:val="en-AU"/>
        </w:rPr>
        <w:t>Drugs Poisons and Controlled Substances Act 1981.</w:t>
      </w:r>
      <w:r w:rsidRPr="0066446A">
        <w:rPr>
          <w:rFonts w:asciiTheme="minorHAnsi" w:hAnsiTheme="minorHAnsi" w:cstheme="minorHAnsi"/>
          <w:sz w:val="20"/>
          <w:szCs w:val="22"/>
          <w:lang w:val="en-AU"/>
        </w:rPr>
        <w:t xml:space="preserve"> </w:t>
      </w:r>
      <w:r>
        <w:rPr>
          <w:rFonts w:asciiTheme="minorHAnsi" w:hAnsiTheme="minorHAnsi" w:cstheme="minorHAnsi"/>
          <w:sz w:val="20"/>
          <w:szCs w:val="22"/>
          <w:lang w:val="en-AU"/>
        </w:rPr>
        <w:t>T</w:t>
      </w:r>
      <w:r w:rsidRPr="0066446A">
        <w:rPr>
          <w:rFonts w:asciiTheme="minorHAnsi" w:hAnsiTheme="minorHAnsi" w:cstheme="minorHAnsi"/>
          <w:sz w:val="20"/>
          <w:szCs w:val="22"/>
          <w:lang w:val="en-AU"/>
        </w:rPr>
        <w:t>his collaborative agreement is already showing some positive results in compliance activities</w:t>
      </w:r>
      <w:r>
        <w:rPr>
          <w:rFonts w:asciiTheme="minorHAnsi" w:hAnsiTheme="minorHAnsi" w:cstheme="minorHAnsi"/>
          <w:sz w:val="20"/>
          <w:szCs w:val="22"/>
          <w:lang w:val="en-AU"/>
        </w:rPr>
        <w:t>, including</w:t>
      </w:r>
      <w:r w:rsidRPr="0066446A">
        <w:rPr>
          <w:rFonts w:asciiTheme="minorHAnsi" w:hAnsiTheme="minorHAnsi" w:cstheme="minorHAnsi"/>
          <w:sz w:val="20"/>
          <w:szCs w:val="22"/>
          <w:lang w:val="en-AU"/>
        </w:rPr>
        <w:t xml:space="preserve"> joint investigations</w:t>
      </w:r>
      <w:r>
        <w:rPr>
          <w:rFonts w:asciiTheme="minorHAnsi" w:hAnsiTheme="minorHAnsi" w:cstheme="minorHAnsi"/>
          <w:sz w:val="20"/>
          <w:szCs w:val="22"/>
          <w:lang w:val="en-AU"/>
        </w:rPr>
        <w:t>.</w:t>
      </w:r>
      <w:r w:rsidRPr="0066446A">
        <w:rPr>
          <w:rFonts w:asciiTheme="minorHAnsi" w:hAnsiTheme="minorHAnsi" w:cstheme="minorHAnsi"/>
          <w:sz w:val="20"/>
          <w:szCs w:val="22"/>
          <w:lang w:val="en-AU"/>
        </w:rPr>
        <w:t xml:space="preserve"> The MoU has strengthened the regulatory framework between </w:t>
      </w:r>
      <w:r>
        <w:rPr>
          <w:rFonts w:asciiTheme="minorHAnsi" w:hAnsiTheme="minorHAnsi" w:cstheme="minorHAnsi"/>
          <w:sz w:val="20"/>
          <w:szCs w:val="22"/>
          <w:lang w:val="en-AU"/>
        </w:rPr>
        <w:t xml:space="preserve">these </w:t>
      </w:r>
      <w:r w:rsidRPr="0066446A">
        <w:rPr>
          <w:rFonts w:asciiTheme="minorHAnsi" w:hAnsiTheme="minorHAnsi" w:cstheme="minorHAnsi"/>
          <w:sz w:val="20"/>
          <w:szCs w:val="22"/>
          <w:lang w:val="en-AU"/>
        </w:rPr>
        <w:t>agencies and helped to foster stronger ties between operational staff. </w:t>
      </w:r>
    </w:p>
    <w:p w14:paraId="04C85156" w14:textId="4F21DED9" w:rsidR="0095365F" w:rsidRDefault="0095365F" w:rsidP="0077319E">
      <w:pPr>
        <w:spacing w:line="276" w:lineRule="auto"/>
        <w:rPr>
          <w:rFonts w:asciiTheme="minorHAnsi" w:hAnsiTheme="minorHAnsi" w:cstheme="minorHAnsi"/>
          <w:b/>
          <w:sz w:val="20"/>
          <w:szCs w:val="22"/>
          <w:lang w:val="en-AU"/>
        </w:rPr>
      </w:pPr>
      <w:r w:rsidRPr="00374F04">
        <w:rPr>
          <w:rFonts w:asciiTheme="minorHAnsi" w:hAnsiTheme="minorHAnsi" w:cstheme="minorHAnsi"/>
          <w:b/>
          <w:sz w:val="20"/>
          <w:szCs w:val="22"/>
          <w:lang w:val="en-AU"/>
        </w:rPr>
        <w:t xml:space="preserve">Animal Welfare </w:t>
      </w:r>
      <w:r w:rsidR="00C05F27">
        <w:rPr>
          <w:rFonts w:asciiTheme="minorHAnsi" w:hAnsiTheme="minorHAnsi" w:cstheme="minorHAnsi"/>
          <w:b/>
          <w:sz w:val="20"/>
          <w:szCs w:val="22"/>
          <w:lang w:val="en-AU"/>
        </w:rPr>
        <w:t>Enforcement Framework</w:t>
      </w:r>
    </w:p>
    <w:p w14:paraId="23E59480" w14:textId="77777777" w:rsidR="004E70FF" w:rsidRDefault="00321D5A" w:rsidP="0077319E">
      <w:pPr>
        <w:spacing w:line="276" w:lineRule="auto"/>
        <w:rPr>
          <w:rFonts w:asciiTheme="minorHAnsi" w:hAnsiTheme="minorHAnsi" w:cstheme="minorHAnsi"/>
          <w:sz w:val="20"/>
          <w:szCs w:val="22"/>
          <w:lang w:val="en-AU"/>
        </w:rPr>
      </w:pPr>
      <w:r w:rsidRPr="00321D5A">
        <w:rPr>
          <w:rFonts w:asciiTheme="minorHAnsi" w:hAnsiTheme="minorHAnsi" w:cstheme="minorHAnsi"/>
          <w:sz w:val="20"/>
          <w:szCs w:val="22"/>
          <w:lang w:val="en-AU"/>
        </w:rPr>
        <w:t>The</w:t>
      </w:r>
      <w:r>
        <w:rPr>
          <w:rFonts w:asciiTheme="minorHAnsi" w:hAnsiTheme="minorHAnsi" w:cstheme="minorHAnsi"/>
          <w:sz w:val="20"/>
          <w:szCs w:val="22"/>
          <w:lang w:val="en-AU"/>
        </w:rPr>
        <w:t xml:space="preserve"> evaluation found that </w:t>
      </w:r>
      <w:r w:rsidRPr="00374F04">
        <w:rPr>
          <w:rFonts w:asciiTheme="minorHAnsi" w:hAnsiTheme="minorHAnsi" w:cstheme="minorHAnsi"/>
          <w:sz w:val="20"/>
          <w:szCs w:val="22"/>
          <w:lang w:val="en-AU"/>
        </w:rPr>
        <w:t xml:space="preserve">Agriculture Victoria commissioned an independent review on the Victorian enforcement framework for animal welfare in Victoria to identify where greater clarity is required. The review identified that the current enforcement framework is complex and </w:t>
      </w:r>
      <w:r w:rsidR="004E70FF">
        <w:rPr>
          <w:rFonts w:asciiTheme="minorHAnsi" w:hAnsiTheme="minorHAnsi" w:cstheme="minorHAnsi"/>
          <w:sz w:val="20"/>
          <w:szCs w:val="22"/>
          <w:lang w:val="en-AU"/>
        </w:rPr>
        <w:t xml:space="preserve">there is a need for greater clarity in roles and responsibilities. </w:t>
      </w:r>
    </w:p>
    <w:p w14:paraId="616F0C9D" w14:textId="4B8A796C" w:rsidR="00321D5A" w:rsidRPr="00321D5A" w:rsidRDefault="00321D5A" w:rsidP="0077319E">
      <w:pPr>
        <w:spacing w:line="276" w:lineRule="auto"/>
        <w:rPr>
          <w:rFonts w:asciiTheme="minorHAnsi" w:hAnsiTheme="minorHAnsi" w:cstheme="minorHAnsi"/>
          <w:sz w:val="20"/>
          <w:szCs w:val="22"/>
          <w:lang w:val="en-AU"/>
        </w:rPr>
      </w:pPr>
    </w:p>
    <w:tbl>
      <w:tblPr>
        <w:tblStyle w:val="TableGrid"/>
        <w:tblpPr w:leftFromText="180" w:rightFromText="180" w:vertAnchor="text" w:horzAnchor="margin" w:tblpXSpec="right" w:tblpY="-19"/>
        <w:tblW w:w="0" w:type="auto"/>
        <w:tblLook w:val="04A0" w:firstRow="1" w:lastRow="0" w:firstColumn="1" w:lastColumn="0" w:noHBand="0" w:noVBand="1"/>
      </w:tblPr>
      <w:tblGrid>
        <w:gridCol w:w="4524"/>
      </w:tblGrid>
      <w:tr w:rsidR="002C1315" w:rsidRPr="00374F04" w14:paraId="489B57EB" w14:textId="77777777" w:rsidTr="004E70FF">
        <w:trPr>
          <w:trHeight w:val="3251"/>
        </w:trPr>
        <w:tc>
          <w:tcPr>
            <w:tcW w:w="4524" w:type="dxa"/>
            <w:shd w:val="clear" w:color="auto" w:fill="EDFEE2"/>
          </w:tcPr>
          <w:p w14:paraId="314982A4" w14:textId="5DE1F75D" w:rsidR="002C1315" w:rsidRPr="00292976" w:rsidRDefault="002C1315" w:rsidP="002C1315">
            <w:pPr>
              <w:spacing w:line="276" w:lineRule="auto"/>
              <w:rPr>
                <w:rFonts w:asciiTheme="minorHAnsi" w:hAnsiTheme="minorHAnsi" w:cstheme="minorHAnsi"/>
                <w:b/>
                <w:szCs w:val="22"/>
                <w:lang w:val="en-AU"/>
              </w:rPr>
            </w:pPr>
            <w:r w:rsidRPr="00292976">
              <w:rPr>
                <w:rFonts w:asciiTheme="minorHAnsi" w:hAnsiTheme="minorHAnsi" w:cstheme="minorHAnsi"/>
                <w:b/>
                <w:szCs w:val="22"/>
                <w:lang w:val="en-AU"/>
              </w:rPr>
              <w:lastRenderedPageBreak/>
              <w:t xml:space="preserve">RSPCA </w:t>
            </w:r>
            <w:r w:rsidR="0019030A">
              <w:rPr>
                <w:rFonts w:asciiTheme="minorHAnsi" w:hAnsiTheme="minorHAnsi" w:cstheme="minorHAnsi"/>
                <w:b/>
                <w:szCs w:val="22"/>
                <w:lang w:val="en-AU"/>
              </w:rPr>
              <w:t xml:space="preserve">(Victoria) </w:t>
            </w:r>
            <w:r w:rsidRPr="00292976">
              <w:rPr>
                <w:rFonts w:asciiTheme="minorHAnsi" w:hAnsiTheme="minorHAnsi" w:cstheme="minorHAnsi"/>
                <w:b/>
                <w:szCs w:val="22"/>
                <w:lang w:val="en-AU"/>
              </w:rPr>
              <w:t>MoU</w:t>
            </w:r>
          </w:p>
          <w:p w14:paraId="4344FC99" w14:textId="373D98E3" w:rsidR="002C1315" w:rsidRPr="00374F04" w:rsidRDefault="002C1315" w:rsidP="004E70FF">
            <w:pPr>
              <w:spacing w:line="276" w:lineRule="auto"/>
              <w:rPr>
                <w:rFonts w:asciiTheme="minorHAnsi" w:hAnsiTheme="minorHAnsi" w:cstheme="minorHAnsi"/>
                <w:sz w:val="20"/>
                <w:szCs w:val="22"/>
                <w:lang w:val="en-AU"/>
              </w:rPr>
            </w:pPr>
            <w:r w:rsidRPr="00292976">
              <w:rPr>
                <w:rFonts w:asciiTheme="minorHAnsi" w:hAnsiTheme="minorHAnsi" w:cstheme="minorHAnsi"/>
                <w:szCs w:val="22"/>
                <w:lang w:val="en-AU"/>
              </w:rPr>
              <w:t>As part of Agriculture Victoria’s commitment to clarify its role with other regulatory agencies it has signed an MoU with the RSPCA</w:t>
            </w:r>
            <w:r w:rsidR="0019030A">
              <w:rPr>
                <w:rFonts w:asciiTheme="minorHAnsi" w:hAnsiTheme="minorHAnsi" w:cstheme="minorHAnsi"/>
                <w:szCs w:val="22"/>
                <w:lang w:val="en-AU"/>
              </w:rPr>
              <w:t xml:space="preserve"> (Victoria)</w:t>
            </w:r>
            <w:r w:rsidRPr="00292976">
              <w:rPr>
                <w:rFonts w:asciiTheme="minorHAnsi" w:hAnsiTheme="minorHAnsi" w:cstheme="minorHAnsi"/>
                <w:szCs w:val="22"/>
                <w:lang w:val="en-AU"/>
              </w:rPr>
              <w:t xml:space="preserve"> which clearly </w:t>
            </w:r>
            <w:r w:rsidR="004E70FF">
              <w:rPr>
                <w:rFonts w:asciiTheme="minorHAnsi" w:hAnsiTheme="minorHAnsi" w:cstheme="minorHAnsi"/>
                <w:szCs w:val="22"/>
                <w:lang w:val="en-AU"/>
              </w:rPr>
              <w:t xml:space="preserve">describes </w:t>
            </w:r>
            <w:r w:rsidRPr="00292976">
              <w:rPr>
                <w:rFonts w:asciiTheme="minorHAnsi" w:hAnsiTheme="minorHAnsi" w:cstheme="minorHAnsi"/>
                <w:szCs w:val="22"/>
                <w:lang w:val="en-AU"/>
              </w:rPr>
              <w:t>the roles and contribution of each agency.</w:t>
            </w:r>
            <w:r w:rsidR="004E70FF">
              <w:rPr>
                <w:rFonts w:asciiTheme="minorHAnsi" w:hAnsiTheme="minorHAnsi" w:cstheme="minorHAnsi"/>
                <w:szCs w:val="22"/>
                <w:lang w:val="en-AU"/>
              </w:rPr>
              <w:t xml:space="preserve"> </w:t>
            </w:r>
            <w:r w:rsidRPr="00292976">
              <w:rPr>
                <w:rFonts w:asciiTheme="minorHAnsi" w:hAnsiTheme="minorHAnsi" w:cstheme="minorHAnsi"/>
                <w:szCs w:val="22"/>
                <w:lang w:val="en-AU"/>
              </w:rPr>
              <w:t>Th</w:t>
            </w:r>
            <w:r w:rsidR="00794AC1">
              <w:rPr>
                <w:rFonts w:asciiTheme="minorHAnsi" w:hAnsiTheme="minorHAnsi" w:cstheme="minorHAnsi"/>
                <w:szCs w:val="22"/>
                <w:lang w:val="en-AU"/>
              </w:rPr>
              <w:t>rough th</w:t>
            </w:r>
            <w:r w:rsidRPr="00292976">
              <w:rPr>
                <w:rFonts w:asciiTheme="minorHAnsi" w:hAnsiTheme="minorHAnsi" w:cstheme="minorHAnsi"/>
                <w:szCs w:val="22"/>
                <w:lang w:val="en-AU"/>
              </w:rPr>
              <w:t>e</w:t>
            </w:r>
            <w:r w:rsidR="00794AC1">
              <w:rPr>
                <w:rFonts w:asciiTheme="minorHAnsi" w:hAnsiTheme="minorHAnsi" w:cstheme="minorHAnsi"/>
                <w:szCs w:val="22"/>
                <w:lang w:val="en-AU"/>
              </w:rPr>
              <w:t xml:space="preserve"> MoU,</w:t>
            </w:r>
            <w:r w:rsidRPr="00292976">
              <w:rPr>
                <w:rFonts w:asciiTheme="minorHAnsi" w:hAnsiTheme="minorHAnsi" w:cstheme="minorHAnsi"/>
                <w:szCs w:val="22"/>
                <w:lang w:val="en-AU"/>
              </w:rPr>
              <w:t xml:space="preserve"> </w:t>
            </w:r>
            <w:r w:rsidR="00794AC1">
              <w:rPr>
                <w:rFonts w:asciiTheme="minorHAnsi" w:hAnsiTheme="minorHAnsi" w:cstheme="minorHAnsi"/>
                <w:szCs w:val="22"/>
                <w:lang w:val="en-AU"/>
              </w:rPr>
              <w:t xml:space="preserve">Agriculture Victoria and the RSPCA </w:t>
            </w:r>
            <w:r w:rsidR="0019030A">
              <w:rPr>
                <w:rFonts w:asciiTheme="minorHAnsi" w:hAnsiTheme="minorHAnsi" w:cstheme="minorHAnsi"/>
                <w:szCs w:val="22"/>
                <w:lang w:val="en-AU"/>
              </w:rPr>
              <w:t xml:space="preserve">(Victoria) </w:t>
            </w:r>
            <w:r w:rsidRPr="00292976">
              <w:rPr>
                <w:rFonts w:asciiTheme="minorHAnsi" w:hAnsiTheme="minorHAnsi" w:cstheme="minorHAnsi"/>
                <w:szCs w:val="22"/>
                <w:lang w:val="en-AU"/>
              </w:rPr>
              <w:t>acknowledge and agree that the division of responsibility for animal welfare cases is implemented and managed through the triaging of animal welfare reports received from the public and other relevant sources</w:t>
            </w:r>
            <w:r w:rsidR="00794AC1">
              <w:rPr>
                <w:rFonts w:asciiTheme="minorHAnsi" w:hAnsiTheme="minorHAnsi" w:cstheme="minorHAnsi"/>
                <w:szCs w:val="22"/>
                <w:lang w:val="en-AU"/>
              </w:rPr>
              <w:t>.</w:t>
            </w:r>
            <w:r w:rsidRPr="00292976">
              <w:rPr>
                <w:rFonts w:asciiTheme="minorHAnsi" w:hAnsiTheme="minorHAnsi" w:cstheme="minorHAnsi"/>
                <w:szCs w:val="22"/>
                <w:lang w:val="en-AU"/>
              </w:rPr>
              <w:t xml:space="preserve"> </w:t>
            </w:r>
            <w:r w:rsidR="00794AC1">
              <w:rPr>
                <w:rFonts w:asciiTheme="minorHAnsi" w:hAnsiTheme="minorHAnsi" w:cstheme="minorHAnsi"/>
                <w:szCs w:val="22"/>
                <w:lang w:val="en-AU"/>
              </w:rPr>
              <w:t>This ensures</w:t>
            </w:r>
            <w:r w:rsidR="00794AC1" w:rsidRPr="00292976">
              <w:rPr>
                <w:rFonts w:asciiTheme="minorHAnsi" w:hAnsiTheme="minorHAnsi" w:cstheme="minorHAnsi"/>
                <w:szCs w:val="22"/>
                <w:lang w:val="en-AU"/>
              </w:rPr>
              <w:t xml:space="preserve"> </w:t>
            </w:r>
            <w:r w:rsidR="00794AC1">
              <w:rPr>
                <w:rFonts w:asciiTheme="minorHAnsi" w:hAnsiTheme="minorHAnsi" w:cstheme="minorHAnsi"/>
                <w:szCs w:val="22"/>
                <w:lang w:val="en-AU"/>
              </w:rPr>
              <w:t>each</w:t>
            </w:r>
            <w:r w:rsidRPr="00292976">
              <w:rPr>
                <w:rFonts w:asciiTheme="minorHAnsi" w:hAnsiTheme="minorHAnsi" w:cstheme="minorHAnsi"/>
                <w:szCs w:val="22"/>
                <w:lang w:val="en-AU"/>
              </w:rPr>
              <w:t xml:space="preserve"> part</w:t>
            </w:r>
            <w:r w:rsidR="00794AC1">
              <w:rPr>
                <w:rFonts w:asciiTheme="minorHAnsi" w:hAnsiTheme="minorHAnsi" w:cstheme="minorHAnsi"/>
                <w:szCs w:val="22"/>
                <w:lang w:val="en-AU"/>
              </w:rPr>
              <w:t>y</w:t>
            </w:r>
            <w:r w:rsidRPr="00292976">
              <w:rPr>
                <w:rFonts w:asciiTheme="minorHAnsi" w:hAnsiTheme="minorHAnsi" w:cstheme="minorHAnsi"/>
                <w:szCs w:val="22"/>
                <w:lang w:val="en-AU"/>
              </w:rPr>
              <w:t xml:space="preserve"> attend</w:t>
            </w:r>
            <w:r w:rsidR="00794AC1">
              <w:rPr>
                <w:rFonts w:asciiTheme="minorHAnsi" w:hAnsiTheme="minorHAnsi" w:cstheme="minorHAnsi"/>
                <w:szCs w:val="22"/>
                <w:lang w:val="en-AU"/>
              </w:rPr>
              <w:t>s</w:t>
            </w:r>
            <w:r w:rsidRPr="00292976">
              <w:rPr>
                <w:rFonts w:asciiTheme="minorHAnsi" w:hAnsiTheme="minorHAnsi" w:cstheme="minorHAnsi"/>
                <w:szCs w:val="22"/>
                <w:lang w:val="en-AU"/>
              </w:rPr>
              <w:t xml:space="preserve"> to reports in respect of animal welfare cases for which they are responsible under th</w:t>
            </w:r>
            <w:r w:rsidR="00794AC1">
              <w:rPr>
                <w:rFonts w:asciiTheme="minorHAnsi" w:hAnsiTheme="minorHAnsi" w:cstheme="minorHAnsi"/>
                <w:szCs w:val="22"/>
                <w:lang w:val="en-AU"/>
              </w:rPr>
              <w:t>e</w:t>
            </w:r>
            <w:r w:rsidRPr="00292976">
              <w:rPr>
                <w:rFonts w:asciiTheme="minorHAnsi" w:hAnsiTheme="minorHAnsi" w:cstheme="minorHAnsi"/>
                <w:szCs w:val="22"/>
                <w:lang w:val="en-AU"/>
              </w:rPr>
              <w:t xml:space="preserve"> MoU. </w:t>
            </w:r>
          </w:p>
        </w:tc>
      </w:tr>
    </w:tbl>
    <w:p w14:paraId="23CA7DCA" w14:textId="2A4870EC" w:rsidR="004E70FF" w:rsidRDefault="004E70FF" w:rsidP="0077319E">
      <w:pPr>
        <w:spacing w:line="276" w:lineRule="auto"/>
        <w:rPr>
          <w:rFonts w:asciiTheme="minorHAnsi" w:hAnsiTheme="minorHAnsi" w:cstheme="minorHAnsi"/>
          <w:sz w:val="20"/>
          <w:szCs w:val="22"/>
          <w:lang w:val="en-AU"/>
        </w:rPr>
      </w:pPr>
      <w:r w:rsidRPr="00374F04">
        <w:rPr>
          <w:rFonts w:asciiTheme="minorHAnsi" w:hAnsiTheme="minorHAnsi" w:cstheme="minorHAnsi"/>
          <w:sz w:val="20"/>
          <w:szCs w:val="22"/>
          <w:lang w:val="en-AU"/>
        </w:rPr>
        <w:t>There are multiple enforcement organisations with overlapping roles and responsibilities across different animal types, which leads to public confusion and compromises the ability of agencies to receive and address animal cruelty report</w:t>
      </w:r>
      <w:r>
        <w:rPr>
          <w:rFonts w:asciiTheme="minorHAnsi" w:hAnsiTheme="minorHAnsi" w:cstheme="minorHAnsi"/>
          <w:sz w:val="20"/>
          <w:szCs w:val="22"/>
          <w:lang w:val="en-AU"/>
        </w:rPr>
        <w:t>s</w:t>
      </w:r>
      <w:r w:rsidRPr="00374F04">
        <w:rPr>
          <w:rFonts w:asciiTheme="minorHAnsi" w:hAnsiTheme="minorHAnsi" w:cstheme="minorHAnsi"/>
          <w:sz w:val="20"/>
          <w:szCs w:val="22"/>
          <w:lang w:val="en-AU"/>
        </w:rPr>
        <w:t xml:space="preserve"> and investigations.</w:t>
      </w:r>
    </w:p>
    <w:p w14:paraId="61AC5E21" w14:textId="368191FE" w:rsidR="0077319E" w:rsidRDefault="0077319E" w:rsidP="0077319E">
      <w:pPr>
        <w:spacing w:line="276" w:lineRule="auto"/>
        <w:rPr>
          <w:rFonts w:asciiTheme="minorHAnsi" w:hAnsiTheme="minorHAnsi" w:cstheme="minorHAnsi"/>
          <w:sz w:val="20"/>
          <w:szCs w:val="22"/>
          <w:lang w:val="en-AU"/>
        </w:rPr>
      </w:pPr>
      <w:r w:rsidRPr="00374F04">
        <w:rPr>
          <w:rFonts w:asciiTheme="minorHAnsi" w:hAnsiTheme="minorHAnsi" w:cstheme="minorHAnsi"/>
          <w:sz w:val="20"/>
          <w:szCs w:val="22"/>
          <w:lang w:val="en-AU"/>
        </w:rPr>
        <w:t xml:space="preserve">Consequently, Agriculture Victoria will need to </w:t>
      </w:r>
      <w:r w:rsidR="00321D5A">
        <w:rPr>
          <w:rFonts w:asciiTheme="minorHAnsi" w:hAnsiTheme="minorHAnsi" w:cstheme="minorHAnsi"/>
          <w:sz w:val="20"/>
          <w:szCs w:val="22"/>
          <w:lang w:val="en-AU"/>
        </w:rPr>
        <w:t xml:space="preserve">consider </w:t>
      </w:r>
      <w:r w:rsidRPr="00374F04">
        <w:rPr>
          <w:rFonts w:asciiTheme="minorHAnsi" w:hAnsiTheme="minorHAnsi" w:cstheme="minorHAnsi"/>
          <w:sz w:val="20"/>
          <w:szCs w:val="22"/>
          <w:lang w:val="en-AU"/>
        </w:rPr>
        <w:t xml:space="preserve">a functioning regulatory regime that is effective and efficient with clear objectives and linked with functions and mechanisms to coordinate with other regulatory organisations. </w:t>
      </w:r>
    </w:p>
    <w:p w14:paraId="0BB4FE5B" w14:textId="398EA753" w:rsidR="00321D5A" w:rsidRDefault="00321D5A" w:rsidP="0077319E">
      <w:pPr>
        <w:spacing w:line="276" w:lineRule="auto"/>
        <w:rPr>
          <w:rFonts w:asciiTheme="minorHAnsi" w:hAnsiTheme="minorHAnsi" w:cstheme="minorHAnsi"/>
          <w:sz w:val="20"/>
          <w:szCs w:val="22"/>
          <w:lang w:val="en-AU"/>
        </w:rPr>
      </w:pPr>
    </w:p>
    <w:p w14:paraId="6D1F6426" w14:textId="1D401602" w:rsidR="0077319E" w:rsidRPr="00374F04" w:rsidRDefault="004E70FF" w:rsidP="00E01A73">
      <w:pPr>
        <w:pStyle w:val="Heading2"/>
        <w:rPr>
          <w:sz w:val="22"/>
        </w:rPr>
      </w:pPr>
      <w:bookmarkStart w:id="33" w:name="_Toc5254919"/>
      <w:r>
        <w:rPr>
          <w:sz w:val="22"/>
        </w:rPr>
        <w:t>C</w:t>
      </w:r>
      <w:r w:rsidR="00E01A73" w:rsidRPr="00374F04">
        <w:rPr>
          <w:sz w:val="22"/>
        </w:rPr>
        <w:t xml:space="preserve">ooperation amongst </w:t>
      </w:r>
      <w:r>
        <w:rPr>
          <w:sz w:val="22"/>
        </w:rPr>
        <w:t>r</w:t>
      </w:r>
      <w:r w:rsidR="00E01A73" w:rsidRPr="00374F04">
        <w:rPr>
          <w:sz w:val="22"/>
        </w:rPr>
        <w:t>egulators</w:t>
      </w:r>
      <w:bookmarkEnd w:id="33"/>
    </w:p>
    <w:tbl>
      <w:tblPr>
        <w:tblStyle w:val="TableGrid"/>
        <w:tblW w:w="0" w:type="auto"/>
        <w:tblLook w:val="04A0" w:firstRow="1" w:lastRow="0" w:firstColumn="1" w:lastColumn="0" w:noHBand="0" w:noVBand="1"/>
      </w:tblPr>
      <w:tblGrid>
        <w:gridCol w:w="9730"/>
      </w:tblGrid>
      <w:tr w:rsidR="00F82D0C" w:rsidRPr="00374F04" w14:paraId="6806DB15" w14:textId="77777777" w:rsidTr="00C91A6C">
        <w:tc>
          <w:tcPr>
            <w:tcW w:w="9730" w:type="dxa"/>
            <w:shd w:val="clear" w:color="auto" w:fill="E2EAF6"/>
          </w:tcPr>
          <w:p w14:paraId="4C7961F7" w14:textId="2BAD64AC" w:rsidR="00F82D0C" w:rsidRPr="00292976" w:rsidRDefault="004E1B1A" w:rsidP="00292976">
            <w:pPr>
              <w:pStyle w:val="Body"/>
              <w:spacing w:before="120" w:after="120" w:line="240" w:lineRule="auto"/>
              <w:jc w:val="both"/>
              <w:rPr>
                <w:rFonts w:eastAsiaTheme="minorEastAsia" w:cstheme="minorHAnsi"/>
                <w:sz w:val="18"/>
                <w:szCs w:val="22"/>
              </w:rPr>
            </w:pPr>
            <w:r w:rsidRPr="00292976">
              <w:rPr>
                <w:rFonts w:eastAsiaTheme="minorEastAsia" w:cstheme="minorHAnsi"/>
                <w:sz w:val="18"/>
                <w:szCs w:val="22"/>
              </w:rPr>
              <w:t>Ministerial Expectation</w:t>
            </w:r>
            <w:r w:rsidR="00DE3092" w:rsidRPr="00292976">
              <w:rPr>
                <w:rFonts w:eastAsiaTheme="minorEastAsia" w:cstheme="minorHAnsi"/>
                <w:sz w:val="18"/>
                <w:szCs w:val="22"/>
              </w:rPr>
              <w:t>s</w:t>
            </w:r>
          </w:p>
          <w:p w14:paraId="17595351" w14:textId="6FF7076D" w:rsidR="00AA1340" w:rsidRPr="00292976" w:rsidRDefault="0047725E" w:rsidP="00893511">
            <w:pPr>
              <w:pStyle w:val="Body"/>
              <w:numPr>
                <w:ilvl w:val="0"/>
                <w:numId w:val="9"/>
              </w:numPr>
              <w:spacing w:before="120" w:after="120" w:line="240" w:lineRule="auto"/>
              <w:jc w:val="both"/>
              <w:rPr>
                <w:rFonts w:eastAsiaTheme="minorEastAsia" w:cstheme="minorHAnsi"/>
                <w:b w:val="0"/>
                <w:sz w:val="18"/>
                <w:szCs w:val="22"/>
              </w:rPr>
            </w:pPr>
            <w:r w:rsidRPr="00292976">
              <w:rPr>
                <w:rFonts w:eastAsiaTheme="minorEastAsia" w:cstheme="minorHAnsi"/>
                <w:b w:val="0"/>
                <w:sz w:val="18"/>
                <w:szCs w:val="22"/>
              </w:rPr>
              <w:t xml:space="preserve">Plan and conduct at least one emergency simulation exercise each year to test incursion and emergency response plans, processes and </w:t>
            </w:r>
            <w:r w:rsidR="00F1209E" w:rsidRPr="00292976">
              <w:rPr>
                <w:rFonts w:eastAsiaTheme="minorEastAsia" w:cstheme="minorHAnsi"/>
                <w:b w:val="0"/>
                <w:sz w:val="18"/>
                <w:szCs w:val="22"/>
              </w:rPr>
              <w:t>systems.</w:t>
            </w:r>
          </w:p>
          <w:p w14:paraId="41877981" w14:textId="7F7A5C55" w:rsidR="0047725E" w:rsidRPr="00292976" w:rsidRDefault="0047725E" w:rsidP="00893511">
            <w:pPr>
              <w:pStyle w:val="Body"/>
              <w:numPr>
                <w:ilvl w:val="0"/>
                <w:numId w:val="9"/>
              </w:numPr>
              <w:spacing w:before="120" w:after="120" w:line="240" w:lineRule="auto"/>
              <w:jc w:val="both"/>
              <w:rPr>
                <w:rFonts w:eastAsiaTheme="minorEastAsia" w:cstheme="minorHAnsi"/>
                <w:b w:val="0"/>
                <w:sz w:val="18"/>
                <w:szCs w:val="22"/>
              </w:rPr>
            </w:pPr>
            <w:r w:rsidRPr="00292976">
              <w:rPr>
                <w:rFonts w:eastAsiaTheme="minorEastAsia" w:cstheme="minorHAnsi"/>
                <w:b w:val="0"/>
                <w:sz w:val="18"/>
                <w:szCs w:val="22"/>
              </w:rPr>
              <w:t>All exercises should be evaluated and provide responses to any recommendations developed for consideration</w:t>
            </w:r>
            <w:r w:rsidR="00F7070A">
              <w:rPr>
                <w:rFonts w:eastAsiaTheme="minorEastAsia" w:cstheme="minorHAnsi"/>
                <w:b w:val="0"/>
                <w:sz w:val="18"/>
                <w:szCs w:val="22"/>
              </w:rPr>
              <w:t>.</w:t>
            </w:r>
            <w:r w:rsidRPr="00292976">
              <w:rPr>
                <w:rFonts w:eastAsiaTheme="minorEastAsia" w:cstheme="minorHAnsi"/>
                <w:b w:val="0"/>
                <w:sz w:val="18"/>
                <w:szCs w:val="22"/>
              </w:rPr>
              <w:t xml:space="preserve"> </w:t>
            </w:r>
          </w:p>
          <w:p w14:paraId="67B00D9B" w14:textId="0924A799" w:rsidR="00F82D0C" w:rsidRPr="00292976" w:rsidRDefault="0047725E" w:rsidP="00893511">
            <w:pPr>
              <w:pStyle w:val="Body"/>
              <w:numPr>
                <w:ilvl w:val="0"/>
                <w:numId w:val="9"/>
              </w:numPr>
              <w:spacing w:before="120" w:after="120" w:line="240" w:lineRule="auto"/>
              <w:jc w:val="both"/>
              <w:rPr>
                <w:rFonts w:eastAsiaTheme="minorEastAsia" w:cstheme="minorHAnsi"/>
                <w:b w:val="0"/>
                <w:sz w:val="18"/>
                <w:szCs w:val="22"/>
              </w:rPr>
            </w:pPr>
            <w:r w:rsidRPr="00292976">
              <w:rPr>
                <w:rFonts w:eastAsiaTheme="minorEastAsia" w:cstheme="minorHAnsi"/>
                <w:b w:val="0"/>
                <w:sz w:val="18"/>
                <w:szCs w:val="22"/>
              </w:rPr>
              <w:t xml:space="preserve">Agriculture Victoria to work collaboratively with other regulators, establishing clear actions, to manage the risk with the aim of increasing community reporting. </w:t>
            </w:r>
          </w:p>
        </w:tc>
      </w:tr>
      <w:tr w:rsidR="001B4221" w:rsidRPr="00374F04" w14:paraId="47ACCEA9" w14:textId="77777777" w:rsidTr="00C91A6C">
        <w:trPr>
          <w:trHeight w:val="1677"/>
        </w:trPr>
        <w:tc>
          <w:tcPr>
            <w:tcW w:w="9730" w:type="dxa"/>
            <w:shd w:val="clear" w:color="auto" w:fill="auto"/>
          </w:tcPr>
          <w:p w14:paraId="288804DB" w14:textId="77777777" w:rsidR="001B4221" w:rsidRPr="00292976" w:rsidRDefault="001B4221" w:rsidP="00292976">
            <w:pPr>
              <w:pStyle w:val="Body"/>
              <w:spacing w:before="120" w:after="120" w:line="240" w:lineRule="auto"/>
              <w:jc w:val="both"/>
              <w:rPr>
                <w:rFonts w:eastAsiaTheme="minorEastAsia" w:cstheme="minorHAnsi"/>
                <w:sz w:val="18"/>
                <w:szCs w:val="22"/>
              </w:rPr>
            </w:pPr>
            <w:r w:rsidRPr="00292976">
              <w:rPr>
                <w:rFonts w:eastAsiaTheme="minorEastAsia" w:cstheme="minorHAnsi"/>
                <w:sz w:val="18"/>
                <w:szCs w:val="22"/>
              </w:rPr>
              <w:t xml:space="preserve">Agriculture Victoria Improvement Response </w:t>
            </w:r>
          </w:p>
          <w:p w14:paraId="7B47840F" w14:textId="77777777" w:rsidR="001B4221" w:rsidRPr="00292976" w:rsidRDefault="001B4221" w:rsidP="00893511">
            <w:pPr>
              <w:pStyle w:val="Body"/>
              <w:numPr>
                <w:ilvl w:val="0"/>
                <w:numId w:val="25"/>
              </w:numPr>
              <w:spacing w:before="120" w:line="240" w:lineRule="auto"/>
              <w:jc w:val="both"/>
              <w:rPr>
                <w:rFonts w:eastAsiaTheme="minorEastAsia" w:cstheme="minorHAnsi"/>
                <w:b w:val="0"/>
                <w:sz w:val="18"/>
                <w:szCs w:val="22"/>
              </w:rPr>
            </w:pPr>
            <w:r w:rsidRPr="00292976">
              <w:rPr>
                <w:rFonts w:eastAsiaTheme="minorEastAsia" w:cstheme="minorHAnsi"/>
                <w:b w:val="0"/>
                <w:sz w:val="18"/>
                <w:szCs w:val="22"/>
              </w:rPr>
              <w:t>Conduct at least one disease emergency exercise per year in consultation with other state and federal departments as required.</w:t>
            </w:r>
          </w:p>
          <w:p w14:paraId="23106985" w14:textId="01A23D52" w:rsidR="001B4221" w:rsidRPr="00292976" w:rsidRDefault="001B4221" w:rsidP="00893511">
            <w:pPr>
              <w:pStyle w:val="ListParagraph"/>
              <w:numPr>
                <w:ilvl w:val="0"/>
                <w:numId w:val="25"/>
              </w:numPr>
              <w:spacing w:before="120" w:line="240" w:lineRule="auto"/>
              <w:rPr>
                <w:rFonts w:eastAsiaTheme="minorEastAsia" w:cstheme="minorHAnsi"/>
                <w:b/>
                <w:szCs w:val="22"/>
              </w:rPr>
            </w:pPr>
            <w:r w:rsidRPr="00292976">
              <w:rPr>
                <w:rFonts w:asciiTheme="minorHAnsi" w:eastAsiaTheme="minorEastAsia" w:hAnsiTheme="minorHAnsi" w:cstheme="minorHAnsi"/>
                <w:color w:val="auto"/>
                <w:szCs w:val="22"/>
                <w:lang w:val="en-AU"/>
              </w:rPr>
              <w:t>Undertake a monitoring and reporting program in association with at least one other regulator to increase community reporting of high risk invasive animal activity in Victoria.</w:t>
            </w:r>
          </w:p>
        </w:tc>
      </w:tr>
    </w:tbl>
    <w:p w14:paraId="4B7CA206" w14:textId="5F8CD278" w:rsidR="001E0075" w:rsidRPr="0066446A" w:rsidRDefault="00BE3186" w:rsidP="0066446A">
      <w:pPr>
        <w:pStyle w:val="Heading2"/>
        <w:numPr>
          <w:ilvl w:val="0"/>
          <w:numId w:val="0"/>
        </w:numPr>
        <w:ind w:left="360" w:hanging="360"/>
        <w:rPr>
          <w:rFonts w:asciiTheme="minorHAnsi" w:hAnsiTheme="minorHAnsi" w:cstheme="minorHAnsi"/>
          <w:sz w:val="22"/>
        </w:rPr>
      </w:pPr>
      <w:bookmarkStart w:id="34" w:name="_Toc881046"/>
      <w:bookmarkStart w:id="35" w:name="_Toc5254920"/>
      <w:bookmarkStart w:id="36" w:name="_Hlk528751513"/>
      <w:bookmarkEnd w:id="32"/>
      <w:r w:rsidRPr="001E0075">
        <w:rPr>
          <w:rFonts w:asciiTheme="minorHAnsi" w:hAnsiTheme="minorHAnsi" w:cstheme="minorHAnsi"/>
          <w:sz w:val="22"/>
        </w:rPr>
        <w:t>Key Findings</w:t>
      </w:r>
      <w:bookmarkEnd w:id="34"/>
      <w:bookmarkEnd w:id="35"/>
      <w:r w:rsidRPr="001E0075">
        <w:rPr>
          <w:rFonts w:asciiTheme="minorHAnsi" w:hAnsiTheme="minorHAnsi" w:cstheme="minorHAnsi"/>
          <w:sz w:val="22"/>
        </w:rPr>
        <w:t xml:space="preserve"> </w:t>
      </w:r>
    </w:p>
    <w:p w14:paraId="5549ADDA" w14:textId="5D25BA6C" w:rsidR="00B7237F" w:rsidRPr="00374F04" w:rsidRDefault="00B7237F" w:rsidP="00B7237F">
      <w:pPr>
        <w:rPr>
          <w:rFonts w:asciiTheme="minorHAnsi" w:hAnsiTheme="minorHAnsi" w:cstheme="minorHAnsi"/>
          <w:b/>
          <w:sz w:val="20"/>
          <w:szCs w:val="22"/>
          <w:lang w:val="en-AU"/>
        </w:rPr>
      </w:pPr>
      <w:r w:rsidRPr="00374F04">
        <w:rPr>
          <w:rFonts w:asciiTheme="minorHAnsi" w:hAnsiTheme="minorHAnsi" w:cstheme="minorHAnsi"/>
          <w:b/>
          <w:sz w:val="20"/>
          <w:szCs w:val="22"/>
          <w:lang w:val="en-AU"/>
        </w:rPr>
        <w:t xml:space="preserve">Disease Emergency Exercises </w:t>
      </w:r>
    </w:p>
    <w:tbl>
      <w:tblPr>
        <w:tblStyle w:val="TableGrid"/>
        <w:tblpPr w:leftFromText="180" w:rightFromText="180" w:vertAnchor="text" w:horzAnchor="margin" w:tblpXSpec="right" w:tblpY="-68"/>
        <w:tblW w:w="0" w:type="auto"/>
        <w:tblLook w:val="04A0" w:firstRow="1" w:lastRow="0" w:firstColumn="1" w:lastColumn="0" w:noHBand="0" w:noVBand="1"/>
      </w:tblPr>
      <w:tblGrid>
        <w:gridCol w:w="4280"/>
      </w:tblGrid>
      <w:tr w:rsidR="00B552B0" w:rsidRPr="00374F04" w14:paraId="609C73AB" w14:textId="77777777" w:rsidTr="00C84680">
        <w:trPr>
          <w:trHeight w:val="3816"/>
        </w:trPr>
        <w:tc>
          <w:tcPr>
            <w:tcW w:w="4280" w:type="dxa"/>
            <w:shd w:val="clear" w:color="auto" w:fill="EDFEE2"/>
          </w:tcPr>
          <w:p w14:paraId="48DC8AD7" w14:textId="74FBAFD0" w:rsidR="00B552B0" w:rsidRPr="00292976" w:rsidRDefault="00EF2146" w:rsidP="00B552B0">
            <w:pPr>
              <w:spacing w:line="276" w:lineRule="auto"/>
              <w:rPr>
                <w:rFonts w:asciiTheme="minorHAnsi" w:hAnsiTheme="minorHAnsi" w:cstheme="minorHAnsi"/>
                <w:b/>
                <w:szCs w:val="22"/>
                <w:lang w:val="en-AU"/>
              </w:rPr>
            </w:pPr>
            <w:r>
              <w:rPr>
                <w:rFonts w:asciiTheme="minorHAnsi" w:hAnsiTheme="minorHAnsi" w:cstheme="minorHAnsi"/>
                <w:b/>
                <w:szCs w:val="22"/>
                <w:lang w:val="en-AU"/>
              </w:rPr>
              <w:t xml:space="preserve">Exercise </w:t>
            </w:r>
            <w:r w:rsidR="00B552B0" w:rsidRPr="00292976">
              <w:rPr>
                <w:rFonts w:asciiTheme="minorHAnsi" w:hAnsiTheme="minorHAnsi" w:cstheme="minorHAnsi"/>
                <w:b/>
                <w:szCs w:val="22"/>
                <w:lang w:val="en-AU"/>
              </w:rPr>
              <w:t>Bee Prepared</w:t>
            </w:r>
          </w:p>
          <w:p w14:paraId="60F961A2" w14:textId="6A2551BA" w:rsidR="00E86924" w:rsidRDefault="00E86924" w:rsidP="00B552B0">
            <w:pPr>
              <w:spacing w:line="276" w:lineRule="auto"/>
              <w:rPr>
                <w:rFonts w:asciiTheme="minorHAnsi" w:hAnsiTheme="minorHAnsi" w:cstheme="minorHAnsi"/>
                <w:szCs w:val="22"/>
                <w:lang w:val="en-AU"/>
              </w:rPr>
            </w:pPr>
            <w:r>
              <w:rPr>
                <w:rFonts w:asciiTheme="minorHAnsi" w:hAnsiTheme="minorHAnsi" w:cstheme="minorHAnsi"/>
                <w:szCs w:val="22"/>
                <w:lang w:val="en-AU"/>
              </w:rPr>
              <w:t>The national ‘Bee Prepared’</w:t>
            </w:r>
            <w:r w:rsidRPr="00E86924">
              <w:rPr>
                <w:rFonts w:asciiTheme="minorHAnsi" w:hAnsiTheme="minorHAnsi" w:cstheme="minorHAnsi"/>
                <w:szCs w:val="22"/>
                <w:lang w:val="en-AU"/>
              </w:rPr>
              <w:t xml:space="preserve"> apia</w:t>
            </w:r>
            <w:r>
              <w:rPr>
                <w:rFonts w:asciiTheme="minorHAnsi" w:hAnsiTheme="minorHAnsi" w:cstheme="minorHAnsi"/>
                <w:szCs w:val="22"/>
                <w:lang w:val="en-AU"/>
              </w:rPr>
              <w:t xml:space="preserve">ry emergency response exercise was undertaken in March 2018 with </w:t>
            </w:r>
            <w:r w:rsidRPr="00E86924">
              <w:rPr>
                <w:rFonts w:asciiTheme="minorHAnsi" w:hAnsiTheme="minorHAnsi" w:cstheme="minorHAnsi"/>
                <w:szCs w:val="22"/>
                <w:lang w:val="en-AU"/>
              </w:rPr>
              <w:t xml:space="preserve">Plant Health Australia </w:t>
            </w:r>
            <w:r>
              <w:rPr>
                <w:rFonts w:asciiTheme="minorHAnsi" w:hAnsiTheme="minorHAnsi" w:cstheme="minorHAnsi"/>
                <w:szCs w:val="22"/>
                <w:lang w:val="en-AU"/>
              </w:rPr>
              <w:t>and Agriculture Victoria</w:t>
            </w:r>
            <w:r w:rsidR="00003115">
              <w:rPr>
                <w:rFonts w:asciiTheme="minorHAnsi" w:hAnsiTheme="minorHAnsi" w:cstheme="minorHAnsi"/>
                <w:szCs w:val="22"/>
                <w:lang w:val="en-AU"/>
              </w:rPr>
              <w:t xml:space="preserve">, as well as </w:t>
            </w:r>
            <w:r w:rsidR="00EF2146">
              <w:rPr>
                <w:rFonts w:asciiTheme="minorHAnsi" w:hAnsiTheme="minorHAnsi" w:cstheme="minorHAnsi"/>
                <w:szCs w:val="22"/>
                <w:lang w:val="en-AU"/>
              </w:rPr>
              <w:t xml:space="preserve">with </w:t>
            </w:r>
            <w:r>
              <w:rPr>
                <w:rFonts w:asciiTheme="minorHAnsi" w:hAnsiTheme="minorHAnsi" w:cstheme="minorHAnsi"/>
                <w:szCs w:val="22"/>
                <w:lang w:val="en-AU"/>
              </w:rPr>
              <w:t>member</w:t>
            </w:r>
            <w:r w:rsidR="00003115">
              <w:rPr>
                <w:rFonts w:asciiTheme="minorHAnsi" w:hAnsiTheme="minorHAnsi" w:cstheme="minorHAnsi"/>
                <w:szCs w:val="22"/>
                <w:lang w:val="en-AU"/>
              </w:rPr>
              <w:t>s</w:t>
            </w:r>
            <w:r>
              <w:rPr>
                <w:rFonts w:asciiTheme="minorHAnsi" w:hAnsiTheme="minorHAnsi" w:cstheme="minorHAnsi"/>
                <w:szCs w:val="22"/>
                <w:lang w:val="en-AU"/>
              </w:rPr>
              <w:t xml:space="preserve"> of the</w:t>
            </w:r>
            <w:r w:rsidRPr="00E86924">
              <w:rPr>
                <w:rFonts w:asciiTheme="minorHAnsi" w:hAnsiTheme="minorHAnsi" w:cstheme="minorHAnsi"/>
                <w:szCs w:val="22"/>
                <w:lang w:val="en-AU"/>
              </w:rPr>
              <w:t xml:space="preserve"> Australian Honey Bee Industry Council.  The exercise </w:t>
            </w:r>
            <w:r w:rsidR="00F906CB">
              <w:rPr>
                <w:rFonts w:asciiTheme="minorHAnsi" w:hAnsiTheme="minorHAnsi" w:cstheme="minorHAnsi"/>
                <w:szCs w:val="22"/>
                <w:lang w:val="en-AU"/>
              </w:rPr>
              <w:t>tested</w:t>
            </w:r>
            <w:r w:rsidR="00003115">
              <w:rPr>
                <w:rFonts w:asciiTheme="minorHAnsi" w:hAnsiTheme="minorHAnsi" w:cstheme="minorHAnsi"/>
                <w:szCs w:val="22"/>
                <w:lang w:val="en-AU"/>
              </w:rPr>
              <w:t xml:space="preserve"> key processes and response capabilities in relation to a</w:t>
            </w:r>
            <w:r w:rsidR="00F906CB">
              <w:rPr>
                <w:rFonts w:asciiTheme="minorHAnsi" w:hAnsiTheme="minorHAnsi" w:cstheme="minorHAnsi"/>
                <w:szCs w:val="22"/>
                <w:lang w:val="en-AU"/>
              </w:rPr>
              <w:t>n</w:t>
            </w:r>
            <w:r w:rsidR="00003115">
              <w:rPr>
                <w:rFonts w:asciiTheme="minorHAnsi" w:hAnsiTheme="minorHAnsi" w:cstheme="minorHAnsi"/>
                <w:szCs w:val="22"/>
                <w:lang w:val="en-AU"/>
              </w:rPr>
              <w:t xml:space="preserve"> </w:t>
            </w:r>
            <w:r w:rsidR="00F906CB">
              <w:rPr>
                <w:rFonts w:asciiTheme="minorHAnsi" w:hAnsiTheme="minorHAnsi" w:cstheme="minorHAnsi"/>
                <w:szCs w:val="22"/>
                <w:lang w:val="en-AU"/>
              </w:rPr>
              <w:t xml:space="preserve">incursion of the apiary pest </w:t>
            </w:r>
            <w:r w:rsidR="00003115">
              <w:rPr>
                <w:rFonts w:asciiTheme="minorHAnsi" w:hAnsiTheme="minorHAnsi" w:cstheme="minorHAnsi"/>
                <w:szCs w:val="22"/>
                <w:lang w:val="en-AU"/>
              </w:rPr>
              <w:t>V</w:t>
            </w:r>
            <w:r w:rsidRPr="00E86924">
              <w:rPr>
                <w:rFonts w:asciiTheme="minorHAnsi" w:hAnsiTheme="minorHAnsi" w:cstheme="minorHAnsi"/>
                <w:szCs w:val="22"/>
                <w:lang w:val="en-AU"/>
              </w:rPr>
              <w:t xml:space="preserve">arroa mite. </w:t>
            </w:r>
            <w:r w:rsidR="00003115">
              <w:rPr>
                <w:rFonts w:asciiTheme="minorHAnsi" w:hAnsiTheme="minorHAnsi" w:cstheme="minorHAnsi"/>
                <w:szCs w:val="22"/>
                <w:lang w:val="en-AU"/>
              </w:rPr>
              <w:t xml:space="preserve">Key findings from the emergency exercise were evaluated and addressed by </w:t>
            </w:r>
            <w:r w:rsidR="00003115" w:rsidRPr="00E86924">
              <w:rPr>
                <w:rFonts w:asciiTheme="minorHAnsi" w:hAnsiTheme="minorHAnsi" w:cstheme="minorHAnsi"/>
                <w:szCs w:val="22"/>
                <w:lang w:val="en-AU"/>
              </w:rPr>
              <w:t xml:space="preserve">Plant Health Australia </w:t>
            </w:r>
            <w:r w:rsidR="00003115">
              <w:rPr>
                <w:rFonts w:asciiTheme="minorHAnsi" w:hAnsiTheme="minorHAnsi" w:cstheme="minorHAnsi"/>
                <w:szCs w:val="22"/>
                <w:lang w:val="en-AU"/>
              </w:rPr>
              <w:t>and Agriculture Victoria.</w:t>
            </w:r>
          </w:p>
          <w:p w14:paraId="3B5C57AE" w14:textId="34BD2EBB" w:rsidR="00B552B0" w:rsidRPr="00374F04" w:rsidRDefault="00003115" w:rsidP="00B552B0">
            <w:pPr>
              <w:spacing w:line="276" w:lineRule="auto"/>
              <w:rPr>
                <w:rFonts w:asciiTheme="minorHAnsi" w:hAnsiTheme="minorHAnsi" w:cstheme="minorHAnsi"/>
                <w:sz w:val="20"/>
                <w:szCs w:val="22"/>
                <w:lang w:val="en-AU"/>
              </w:rPr>
            </w:pPr>
            <w:r>
              <w:rPr>
                <w:rFonts w:asciiTheme="minorHAnsi" w:hAnsiTheme="minorHAnsi" w:cstheme="minorHAnsi"/>
                <w:szCs w:val="22"/>
                <w:lang w:val="en-AU"/>
              </w:rPr>
              <w:t xml:space="preserve">In June 2018, </w:t>
            </w:r>
            <w:r w:rsidR="00E86924">
              <w:rPr>
                <w:rFonts w:asciiTheme="minorHAnsi" w:hAnsiTheme="minorHAnsi" w:cstheme="minorHAnsi"/>
                <w:szCs w:val="22"/>
                <w:lang w:val="en-AU"/>
              </w:rPr>
              <w:t xml:space="preserve">Agriculture Victoria responded to a positive detection of Varroa mite in cargo at the Port of Melbourne. The </w:t>
            </w:r>
            <w:r>
              <w:rPr>
                <w:rFonts w:asciiTheme="minorHAnsi" w:hAnsiTheme="minorHAnsi" w:cstheme="minorHAnsi"/>
                <w:szCs w:val="22"/>
                <w:lang w:val="en-AU"/>
              </w:rPr>
              <w:t>rapid and effective</w:t>
            </w:r>
            <w:r w:rsidR="00E86924">
              <w:rPr>
                <w:rFonts w:asciiTheme="minorHAnsi" w:hAnsiTheme="minorHAnsi" w:cstheme="minorHAnsi"/>
                <w:szCs w:val="22"/>
                <w:lang w:val="en-AU"/>
              </w:rPr>
              <w:t xml:space="preserve"> response of </w:t>
            </w:r>
            <w:r>
              <w:rPr>
                <w:rFonts w:asciiTheme="minorHAnsi" w:hAnsiTheme="minorHAnsi" w:cstheme="minorHAnsi"/>
                <w:szCs w:val="22"/>
                <w:lang w:val="en-AU"/>
              </w:rPr>
              <w:t>Agriculture</w:t>
            </w:r>
            <w:r w:rsidR="00E86924">
              <w:rPr>
                <w:rFonts w:asciiTheme="minorHAnsi" w:hAnsiTheme="minorHAnsi" w:cstheme="minorHAnsi"/>
                <w:szCs w:val="22"/>
                <w:lang w:val="en-AU"/>
              </w:rPr>
              <w:t xml:space="preserve"> Victoria to the Varroa mite </w:t>
            </w:r>
            <w:r>
              <w:rPr>
                <w:rFonts w:asciiTheme="minorHAnsi" w:hAnsiTheme="minorHAnsi" w:cstheme="minorHAnsi"/>
                <w:szCs w:val="22"/>
                <w:lang w:val="en-AU"/>
              </w:rPr>
              <w:t>detection was bolstered by the capabilities and currency of processes and skills attained from the ‘Bee Prepared’ exercise</w:t>
            </w:r>
            <w:r w:rsidR="00F906CB">
              <w:rPr>
                <w:rFonts w:asciiTheme="minorHAnsi" w:hAnsiTheme="minorHAnsi" w:cstheme="minorHAnsi"/>
                <w:szCs w:val="22"/>
                <w:lang w:val="en-AU"/>
              </w:rPr>
              <w:t xml:space="preserve"> and was widely supported by the apiary industry</w:t>
            </w:r>
            <w:r>
              <w:rPr>
                <w:rFonts w:asciiTheme="minorHAnsi" w:hAnsiTheme="minorHAnsi" w:cstheme="minorHAnsi"/>
                <w:szCs w:val="22"/>
                <w:lang w:val="en-AU"/>
              </w:rPr>
              <w:t>.</w:t>
            </w:r>
          </w:p>
        </w:tc>
      </w:tr>
    </w:tbl>
    <w:p w14:paraId="152A613B" w14:textId="53FE5B6C" w:rsidR="00B7237F" w:rsidRPr="00374F04" w:rsidRDefault="00B7237F" w:rsidP="00D40B63">
      <w:pPr>
        <w:spacing w:before="120" w:line="240" w:lineRule="auto"/>
        <w:rPr>
          <w:rFonts w:asciiTheme="minorHAnsi" w:eastAsiaTheme="minorEastAsia" w:hAnsiTheme="minorHAnsi" w:cstheme="minorBidi"/>
          <w:sz w:val="20"/>
          <w:szCs w:val="22"/>
        </w:rPr>
      </w:pPr>
      <w:r w:rsidRPr="00374F04">
        <w:rPr>
          <w:rFonts w:asciiTheme="minorHAnsi" w:hAnsiTheme="minorHAnsi" w:cstheme="minorHAnsi"/>
          <w:sz w:val="20"/>
          <w:szCs w:val="22"/>
          <w:lang w:val="en-AU"/>
        </w:rPr>
        <w:t>Agriculture Victoria</w:t>
      </w:r>
      <w:r w:rsidR="00D40B63" w:rsidRPr="00374F04">
        <w:rPr>
          <w:rFonts w:asciiTheme="minorHAnsi" w:eastAsiaTheme="minorEastAsia" w:hAnsiTheme="minorHAnsi" w:cstheme="minorBidi"/>
          <w:sz w:val="20"/>
          <w:szCs w:val="22"/>
        </w:rPr>
        <w:t xml:space="preserve"> conducted multiple biosecurity disease emergency response exercises </w:t>
      </w:r>
      <w:r w:rsidR="00EF2146">
        <w:rPr>
          <w:rFonts w:asciiTheme="minorHAnsi" w:eastAsiaTheme="minorEastAsia" w:hAnsiTheme="minorHAnsi" w:cstheme="minorBidi"/>
          <w:sz w:val="20"/>
          <w:szCs w:val="22"/>
        </w:rPr>
        <w:t xml:space="preserve">during 2018 </w:t>
      </w:r>
      <w:r w:rsidR="00D40B63" w:rsidRPr="00374F04">
        <w:rPr>
          <w:rFonts w:asciiTheme="minorHAnsi" w:eastAsiaTheme="minorEastAsia" w:hAnsiTheme="minorHAnsi" w:cstheme="minorBidi"/>
          <w:sz w:val="20"/>
          <w:szCs w:val="22"/>
        </w:rPr>
        <w:t xml:space="preserve">to ensure high-level regulator response capabilities. </w:t>
      </w:r>
      <w:r w:rsidR="00EF2146">
        <w:rPr>
          <w:rFonts w:asciiTheme="minorHAnsi" w:eastAsiaTheme="minorEastAsia" w:hAnsiTheme="minorHAnsi" w:cstheme="minorBidi"/>
          <w:sz w:val="20"/>
          <w:szCs w:val="22"/>
        </w:rPr>
        <w:t>E</w:t>
      </w:r>
      <w:r w:rsidR="00D40B63" w:rsidRPr="00374F04">
        <w:rPr>
          <w:rFonts w:asciiTheme="minorHAnsi" w:eastAsiaTheme="minorEastAsia" w:hAnsiTheme="minorHAnsi" w:cstheme="minorBidi"/>
          <w:sz w:val="20"/>
          <w:szCs w:val="22"/>
        </w:rPr>
        <w:t xml:space="preserve">mergency </w:t>
      </w:r>
      <w:r w:rsidR="00EF2146">
        <w:rPr>
          <w:rFonts w:asciiTheme="minorHAnsi" w:eastAsiaTheme="minorEastAsia" w:hAnsiTheme="minorHAnsi" w:cstheme="minorBidi"/>
          <w:sz w:val="20"/>
          <w:szCs w:val="22"/>
        </w:rPr>
        <w:t xml:space="preserve">response </w:t>
      </w:r>
      <w:r w:rsidR="00D40B63" w:rsidRPr="00374F04">
        <w:rPr>
          <w:rFonts w:asciiTheme="minorHAnsi" w:eastAsiaTheme="minorEastAsia" w:hAnsiTheme="minorHAnsi" w:cstheme="minorBidi"/>
          <w:sz w:val="20"/>
          <w:szCs w:val="22"/>
        </w:rPr>
        <w:t>exercises involved attendance from several key Victorian agencies</w:t>
      </w:r>
      <w:r w:rsidR="002006E7">
        <w:rPr>
          <w:rFonts w:asciiTheme="minorHAnsi" w:eastAsiaTheme="minorEastAsia" w:hAnsiTheme="minorHAnsi" w:cstheme="minorBidi"/>
          <w:sz w:val="20"/>
          <w:szCs w:val="22"/>
        </w:rPr>
        <w:t xml:space="preserve"> and included: </w:t>
      </w:r>
      <w:r w:rsidR="00D40B63" w:rsidRPr="00374F04">
        <w:rPr>
          <w:rFonts w:asciiTheme="minorHAnsi" w:eastAsiaTheme="minorEastAsia" w:hAnsiTheme="minorHAnsi" w:cstheme="minorBidi"/>
          <w:sz w:val="20"/>
          <w:szCs w:val="22"/>
        </w:rPr>
        <w:t xml:space="preserve"> </w:t>
      </w:r>
    </w:p>
    <w:p w14:paraId="0BF414BF" w14:textId="79EDED7B" w:rsidR="00D40B63" w:rsidRPr="00374F04" w:rsidRDefault="00EF2146" w:rsidP="00893511">
      <w:pPr>
        <w:pStyle w:val="ListParagraph"/>
        <w:numPr>
          <w:ilvl w:val="0"/>
          <w:numId w:val="31"/>
        </w:numPr>
        <w:spacing w:before="120" w:line="240" w:lineRule="auto"/>
        <w:rPr>
          <w:rFonts w:asciiTheme="minorHAnsi" w:hAnsiTheme="minorHAnsi" w:cstheme="minorHAnsi"/>
          <w:sz w:val="20"/>
          <w:szCs w:val="22"/>
          <w:lang w:val="en-AU"/>
        </w:rPr>
      </w:pPr>
      <w:r>
        <w:rPr>
          <w:rFonts w:asciiTheme="minorHAnsi" w:hAnsiTheme="minorHAnsi" w:cstheme="minorHAnsi"/>
          <w:sz w:val="20"/>
          <w:szCs w:val="22"/>
          <w:lang w:val="en-AU"/>
        </w:rPr>
        <w:t xml:space="preserve">Exercise </w:t>
      </w:r>
      <w:r w:rsidR="00D40B63" w:rsidRPr="00374F04">
        <w:rPr>
          <w:rFonts w:asciiTheme="minorHAnsi" w:hAnsiTheme="minorHAnsi" w:cstheme="minorHAnsi"/>
          <w:sz w:val="20"/>
          <w:szCs w:val="22"/>
          <w:lang w:val="en-AU"/>
        </w:rPr>
        <w:t xml:space="preserve">Bee Prepared – an emergency exercise relating to </w:t>
      </w:r>
      <w:r w:rsidR="002006E7">
        <w:rPr>
          <w:rFonts w:asciiTheme="minorHAnsi" w:hAnsiTheme="minorHAnsi" w:cstheme="minorHAnsi"/>
          <w:sz w:val="20"/>
          <w:szCs w:val="22"/>
          <w:lang w:val="en-AU"/>
        </w:rPr>
        <w:t>a</w:t>
      </w:r>
      <w:r w:rsidR="00D40B63" w:rsidRPr="00374F04">
        <w:rPr>
          <w:rFonts w:asciiTheme="minorHAnsi" w:hAnsiTheme="minorHAnsi" w:cstheme="minorHAnsi"/>
          <w:sz w:val="20"/>
          <w:szCs w:val="22"/>
          <w:lang w:val="en-AU"/>
        </w:rPr>
        <w:t xml:space="preserve"> </w:t>
      </w:r>
      <w:r w:rsidR="002006E7">
        <w:rPr>
          <w:rFonts w:asciiTheme="minorHAnsi" w:hAnsiTheme="minorHAnsi" w:cstheme="minorHAnsi"/>
          <w:sz w:val="20"/>
          <w:szCs w:val="22"/>
          <w:lang w:val="en-AU"/>
        </w:rPr>
        <w:t>simulated</w:t>
      </w:r>
      <w:r w:rsidR="00D40B63" w:rsidRPr="00374F04">
        <w:rPr>
          <w:rFonts w:asciiTheme="minorHAnsi" w:hAnsiTheme="minorHAnsi" w:cstheme="minorHAnsi"/>
          <w:sz w:val="20"/>
          <w:szCs w:val="22"/>
          <w:lang w:val="en-AU"/>
        </w:rPr>
        <w:t xml:space="preserve"> incursion of </w:t>
      </w:r>
      <w:r>
        <w:rPr>
          <w:rFonts w:asciiTheme="minorHAnsi" w:hAnsiTheme="minorHAnsi" w:cstheme="minorHAnsi"/>
          <w:sz w:val="20"/>
          <w:szCs w:val="22"/>
          <w:lang w:val="en-AU"/>
        </w:rPr>
        <w:t xml:space="preserve">the apiary pest </w:t>
      </w:r>
      <w:r w:rsidR="00D40B63" w:rsidRPr="00374F04">
        <w:rPr>
          <w:rFonts w:asciiTheme="minorHAnsi" w:hAnsiTheme="minorHAnsi" w:cstheme="minorHAnsi"/>
          <w:sz w:val="20"/>
          <w:szCs w:val="22"/>
          <w:lang w:val="en-AU"/>
        </w:rPr>
        <w:t xml:space="preserve">Varroa </w:t>
      </w:r>
      <w:r w:rsidR="002006E7">
        <w:rPr>
          <w:rFonts w:asciiTheme="minorHAnsi" w:hAnsiTheme="minorHAnsi" w:cstheme="minorHAnsi"/>
          <w:sz w:val="20"/>
          <w:szCs w:val="22"/>
          <w:lang w:val="en-AU"/>
        </w:rPr>
        <w:t>m</w:t>
      </w:r>
      <w:r w:rsidR="00D40B63" w:rsidRPr="00374F04">
        <w:rPr>
          <w:rFonts w:asciiTheme="minorHAnsi" w:hAnsiTheme="minorHAnsi" w:cstheme="minorHAnsi"/>
          <w:sz w:val="20"/>
          <w:szCs w:val="22"/>
          <w:lang w:val="en-AU"/>
        </w:rPr>
        <w:t xml:space="preserve">ite </w:t>
      </w:r>
    </w:p>
    <w:p w14:paraId="50F88F0B" w14:textId="1690E17C" w:rsidR="00D40B63" w:rsidRPr="00374F04" w:rsidRDefault="00D40B63" w:rsidP="00893511">
      <w:pPr>
        <w:pStyle w:val="ListParagraph"/>
        <w:numPr>
          <w:ilvl w:val="0"/>
          <w:numId w:val="31"/>
        </w:numPr>
        <w:spacing w:before="120" w:line="240" w:lineRule="auto"/>
        <w:rPr>
          <w:rFonts w:asciiTheme="minorHAnsi" w:eastAsiaTheme="minorEastAsia" w:hAnsiTheme="minorHAnsi" w:cstheme="minorBidi"/>
          <w:color w:val="auto"/>
          <w:sz w:val="20"/>
          <w:szCs w:val="22"/>
        </w:rPr>
      </w:pPr>
      <w:r w:rsidRPr="00374F04">
        <w:rPr>
          <w:rFonts w:asciiTheme="minorHAnsi" w:hAnsiTheme="minorHAnsi" w:cstheme="minorHAnsi"/>
          <w:sz w:val="20"/>
          <w:szCs w:val="22"/>
          <w:lang w:val="en-AU"/>
        </w:rPr>
        <w:t xml:space="preserve">Exercise Coombes – an emergency exercise relating to </w:t>
      </w:r>
      <w:r w:rsidR="00EF2146">
        <w:rPr>
          <w:rFonts w:asciiTheme="minorHAnsi" w:hAnsiTheme="minorHAnsi" w:cstheme="minorHAnsi"/>
          <w:sz w:val="20"/>
          <w:szCs w:val="22"/>
          <w:lang w:val="en-AU"/>
        </w:rPr>
        <w:t>a</w:t>
      </w:r>
      <w:r w:rsidR="002006E7">
        <w:rPr>
          <w:rFonts w:asciiTheme="minorHAnsi" w:hAnsiTheme="minorHAnsi" w:cstheme="minorHAnsi"/>
          <w:sz w:val="20"/>
          <w:szCs w:val="22"/>
          <w:lang w:val="en-AU"/>
        </w:rPr>
        <w:t xml:space="preserve"> simulated</w:t>
      </w:r>
      <w:r w:rsidRPr="00374F04">
        <w:rPr>
          <w:rFonts w:asciiTheme="minorHAnsi" w:hAnsiTheme="minorHAnsi" w:cstheme="minorHAnsi"/>
          <w:sz w:val="20"/>
          <w:szCs w:val="22"/>
          <w:lang w:val="en-AU"/>
        </w:rPr>
        <w:t xml:space="preserve"> incursion of the </w:t>
      </w:r>
      <w:r w:rsidRPr="00374F04">
        <w:rPr>
          <w:rFonts w:asciiTheme="minorHAnsi" w:eastAsiaTheme="minorEastAsia" w:hAnsiTheme="minorHAnsi" w:cstheme="minorBidi"/>
          <w:color w:val="auto"/>
          <w:sz w:val="20"/>
          <w:szCs w:val="22"/>
        </w:rPr>
        <w:t xml:space="preserve">plant bug </w:t>
      </w:r>
      <w:r w:rsidRPr="00374F04">
        <w:rPr>
          <w:rFonts w:asciiTheme="minorHAnsi" w:eastAsiaTheme="minorEastAsia" w:hAnsiTheme="minorHAnsi" w:cstheme="minorBidi"/>
          <w:i/>
          <w:color w:val="auto"/>
          <w:sz w:val="20"/>
          <w:szCs w:val="22"/>
        </w:rPr>
        <w:t>Lygus lineolaris</w:t>
      </w:r>
    </w:p>
    <w:p w14:paraId="2FF94C14" w14:textId="614052D7" w:rsidR="00C05F27" w:rsidRDefault="00C05F27" w:rsidP="00E86924">
      <w:pPr>
        <w:spacing w:before="120" w:line="240" w:lineRule="auto"/>
        <w:rPr>
          <w:rFonts w:asciiTheme="minorHAnsi" w:eastAsiaTheme="minorEastAsia" w:hAnsiTheme="minorHAnsi" w:cstheme="minorBidi"/>
          <w:color w:val="auto"/>
          <w:sz w:val="20"/>
          <w:szCs w:val="22"/>
        </w:rPr>
      </w:pPr>
      <w:r>
        <w:rPr>
          <w:rFonts w:asciiTheme="minorHAnsi" w:eastAsiaTheme="minorEastAsia" w:hAnsiTheme="minorHAnsi" w:cstheme="minorBidi"/>
          <w:color w:val="auto"/>
          <w:sz w:val="20"/>
          <w:szCs w:val="22"/>
        </w:rPr>
        <w:t>A</w:t>
      </w:r>
      <w:r w:rsidR="00B552B0" w:rsidRPr="00374F04">
        <w:rPr>
          <w:rFonts w:asciiTheme="minorHAnsi" w:eastAsiaTheme="minorEastAsia" w:hAnsiTheme="minorHAnsi" w:cstheme="minorBidi"/>
          <w:color w:val="auto"/>
          <w:sz w:val="20"/>
          <w:szCs w:val="22"/>
        </w:rPr>
        <w:t>griculture</w:t>
      </w:r>
      <w:r w:rsidR="00D40B63" w:rsidRPr="00374F04">
        <w:rPr>
          <w:rFonts w:asciiTheme="minorHAnsi" w:eastAsiaTheme="minorEastAsia" w:hAnsiTheme="minorHAnsi" w:cstheme="minorBidi"/>
          <w:color w:val="auto"/>
          <w:sz w:val="20"/>
          <w:szCs w:val="22"/>
        </w:rPr>
        <w:t xml:space="preserve"> Victoria </w:t>
      </w:r>
      <w:r w:rsidR="00B552B0" w:rsidRPr="00374F04">
        <w:rPr>
          <w:rFonts w:asciiTheme="minorHAnsi" w:eastAsiaTheme="minorEastAsia" w:hAnsiTheme="minorHAnsi" w:cstheme="minorBidi"/>
          <w:color w:val="auto"/>
          <w:sz w:val="20"/>
          <w:szCs w:val="22"/>
        </w:rPr>
        <w:t xml:space="preserve">monitors and assesses the performance </w:t>
      </w:r>
      <w:r w:rsidR="002006E7">
        <w:rPr>
          <w:rFonts w:asciiTheme="minorHAnsi" w:eastAsiaTheme="minorEastAsia" w:hAnsiTheme="minorHAnsi" w:cstheme="minorBidi"/>
          <w:color w:val="auto"/>
          <w:sz w:val="20"/>
          <w:szCs w:val="22"/>
        </w:rPr>
        <w:t xml:space="preserve">of </w:t>
      </w:r>
      <w:r w:rsidR="00B552B0" w:rsidRPr="00374F04">
        <w:rPr>
          <w:rFonts w:asciiTheme="minorHAnsi" w:eastAsiaTheme="minorEastAsia" w:hAnsiTheme="minorHAnsi" w:cstheme="minorBidi"/>
          <w:color w:val="auto"/>
          <w:sz w:val="20"/>
          <w:szCs w:val="22"/>
        </w:rPr>
        <w:t xml:space="preserve">all </w:t>
      </w:r>
      <w:r w:rsidR="00EF2146">
        <w:rPr>
          <w:rFonts w:asciiTheme="minorHAnsi" w:eastAsiaTheme="minorEastAsia" w:hAnsiTheme="minorHAnsi" w:cstheme="minorBidi"/>
          <w:color w:val="auto"/>
          <w:sz w:val="20"/>
          <w:szCs w:val="22"/>
        </w:rPr>
        <w:t xml:space="preserve">its </w:t>
      </w:r>
      <w:r w:rsidR="00B552B0" w:rsidRPr="00374F04">
        <w:rPr>
          <w:rFonts w:asciiTheme="minorHAnsi" w:eastAsiaTheme="minorEastAsia" w:hAnsiTheme="minorHAnsi" w:cstheme="minorBidi"/>
          <w:color w:val="auto"/>
          <w:sz w:val="20"/>
          <w:szCs w:val="22"/>
        </w:rPr>
        <w:t>eme</w:t>
      </w:r>
      <w:r w:rsidR="00FE010A" w:rsidRPr="00374F04">
        <w:rPr>
          <w:rFonts w:asciiTheme="minorHAnsi" w:eastAsiaTheme="minorEastAsia" w:hAnsiTheme="minorHAnsi" w:cstheme="minorBidi"/>
          <w:color w:val="auto"/>
          <w:sz w:val="20"/>
          <w:szCs w:val="22"/>
        </w:rPr>
        <w:t>rgency disease exercises. E</w:t>
      </w:r>
      <w:r w:rsidR="00B552B0" w:rsidRPr="00374F04">
        <w:rPr>
          <w:rFonts w:asciiTheme="minorHAnsi" w:eastAsiaTheme="minorEastAsia" w:hAnsiTheme="minorHAnsi" w:cstheme="minorBidi"/>
          <w:color w:val="auto"/>
          <w:sz w:val="20"/>
          <w:szCs w:val="22"/>
        </w:rPr>
        <w:t xml:space="preserve">xercise assessments are reported on, with recommendations to assist in developing and refining the regulator’s </w:t>
      </w:r>
      <w:r w:rsidR="00EF2146">
        <w:rPr>
          <w:rFonts w:asciiTheme="minorHAnsi" w:eastAsiaTheme="minorEastAsia" w:hAnsiTheme="minorHAnsi" w:cstheme="minorBidi"/>
          <w:color w:val="auto"/>
          <w:sz w:val="20"/>
          <w:szCs w:val="22"/>
        </w:rPr>
        <w:t xml:space="preserve">pest and </w:t>
      </w:r>
      <w:r w:rsidR="00B552B0" w:rsidRPr="00374F04">
        <w:rPr>
          <w:rFonts w:asciiTheme="minorHAnsi" w:eastAsiaTheme="minorEastAsia" w:hAnsiTheme="minorHAnsi" w:cstheme="minorBidi"/>
          <w:color w:val="auto"/>
          <w:sz w:val="20"/>
          <w:szCs w:val="22"/>
        </w:rPr>
        <w:t xml:space="preserve">disease </w:t>
      </w:r>
      <w:r w:rsidR="00EF2146">
        <w:rPr>
          <w:rFonts w:asciiTheme="minorHAnsi" w:eastAsiaTheme="minorEastAsia" w:hAnsiTheme="minorHAnsi" w:cstheme="minorBidi"/>
          <w:color w:val="auto"/>
          <w:sz w:val="20"/>
          <w:szCs w:val="22"/>
        </w:rPr>
        <w:t xml:space="preserve">emergency </w:t>
      </w:r>
      <w:r w:rsidR="00B552B0" w:rsidRPr="00374F04">
        <w:rPr>
          <w:rFonts w:asciiTheme="minorHAnsi" w:eastAsiaTheme="minorEastAsia" w:hAnsiTheme="minorHAnsi" w:cstheme="minorBidi"/>
          <w:color w:val="auto"/>
          <w:sz w:val="20"/>
          <w:szCs w:val="22"/>
        </w:rPr>
        <w:t xml:space="preserve">response capabilities. In conducting the Bee Prepared and Coombes exercises, Agriculture Victoria engaged </w:t>
      </w:r>
      <w:r w:rsidR="0021542E">
        <w:rPr>
          <w:rFonts w:asciiTheme="minorHAnsi" w:eastAsiaTheme="minorEastAsia" w:hAnsiTheme="minorHAnsi" w:cstheme="minorBidi"/>
          <w:color w:val="auto"/>
          <w:sz w:val="20"/>
          <w:szCs w:val="22"/>
        </w:rPr>
        <w:t xml:space="preserve">with </w:t>
      </w:r>
      <w:r w:rsidR="00B552B0" w:rsidRPr="00374F04">
        <w:rPr>
          <w:rFonts w:asciiTheme="minorHAnsi" w:eastAsiaTheme="minorEastAsia" w:hAnsiTheme="minorHAnsi" w:cstheme="minorBidi"/>
          <w:color w:val="auto"/>
          <w:sz w:val="20"/>
          <w:szCs w:val="22"/>
        </w:rPr>
        <w:t xml:space="preserve">state and federal agencies to ensure that effective and rapid disease response processes are well established to limit the </w:t>
      </w:r>
      <w:r w:rsidR="00EF2146">
        <w:rPr>
          <w:rFonts w:asciiTheme="minorHAnsi" w:eastAsiaTheme="minorEastAsia" w:hAnsiTheme="minorHAnsi" w:cstheme="minorBidi"/>
          <w:color w:val="auto"/>
          <w:sz w:val="20"/>
          <w:szCs w:val="22"/>
        </w:rPr>
        <w:t xml:space="preserve">potential </w:t>
      </w:r>
      <w:r w:rsidR="00B552B0" w:rsidRPr="00374F04">
        <w:rPr>
          <w:rFonts w:asciiTheme="minorHAnsi" w:eastAsiaTheme="minorEastAsia" w:hAnsiTheme="minorHAnsi" w:cstheme="minorBidi"/>
          <w:color w:val="auto"/>
          <w:sz w:val="20"/>
          <w:szCs w:val="22"/>
        </w:rPr>
        <w:t xml:space="preserve">economic, environmental and social impacts of high-risk </w:t>
      </w:r>
      <w:r w:rsidR="00EF2146">
        <w:rPr>
          <w:rFonts w:asciiTheme="minorHAnsi" w:eastAsiaTheme="minorEastAsia" w:hAnsiTheme="minorHAnsi" w:cstheme="minorBidi"/>
          <w:color w:val="auto"/>
          <w:sz w:val="20"/>
          <w:szCs w:val="22"/>
        </w:rPr>
        <w:t xml:space="preserve">pest and </w:t>
      </w:r>
      <w:r w:rsidR="00B552B0" w:rsidRPr="00374F04">
        <w:rPr>
          <w:rFonts w:asciiTheme="minorHAnsi" w:eastAsiaTheme="minorEastAsia" w:hAnsiTheme="minorHAnsi" w:cstheme="minorBidi"/>
          <w:color w:val="auto"/>
          <w:sz w:val="20"/>
          <w:szCs w:val="22"/>
        </w:rPr>
        <w:t>disease incursions on communities and industries.</w:t>
      </w:r>
    </w:p>
    <w:p w14:paraId="79941F45" w14:textId="5F5DDC0C" w:rsidR="00C91A6C" w:rsidRPr="00374F04" w:rsidRDefault="00B7237F" w:rsidP="00B7237F">
      <w:pPr>
        <w:rPr>
          <w:rFonts w:asciiTheme="minorHAnsi" w:hAnsiTheme="minorHAnsi" w:cstheme="minorHAnsi"/>
          <w:b/>
          <w:sz w:val="20"/>
          <w:szCs w:val="22"/>
          <w:lang w:val="en-AU"/>
        </w:rPr>
      </w:pPr>
      <w:r w:rsidRPr="00374F04">
        <w:rPr>
          <w:rFonts w:asciiTheme="minorHAnsi" w:hAnsiTheme="minorHAnsi" w:cstheme="minorHAnsi"/>
          <w:b/>
          <w:sz w:val="20"/>
          <w:szCs w:val="22"/>
          <w:lang w:val="en-AU"/>
        </w:rPr>
        <w:lastRenderedPageBreak/>
        <w:t>Community Monitoring and Reporting Program – Illegal Wildlife Trafficking</w:t>
      </w:r>
    </w:p>
    <w:tbl>
      <w:tblPr>
        <w:tblStyle w:val="TableGrid"/>
        <w:tblpPr w:leftFromText="180" w:rightFromText="180" w:vertAnchor="text" w:horzAnchor="margin" w:tblpXSpec="right" w:tblpY="156"/>
        <w:tblW w:w="0" w:type="auto"/>
        <w:tblLook w:val="04A0" w:firstRow="1" w:lastRow="0" w:firstColumn="1" w:lastColumn="0" w:noHBand="0" w:noVBand="1"/>
      </w:tblPr>
      <w:tblGrid>
        <w:gridCol w:w="5833"/>
      </w:tblGrid>
      <w:tr w:rsidR="003464EE" w:rsidRPr="00374F04" w14:paraId="4969B91F" w14:textId="77777777" w:rsidTr="002006E7">
        <w:trPr>
          <w:trHeight w:val="5377"/>
        </w:trPr>
        <w:tc>
          <w:tcPr>
            <w:tcW w:w="5833" w:type="dxa"/>
            <w:shd w:val="clear" w:color="auto" w:fill="EDFEE2"/>
          </w:tcPr>
          <w:p w14:paraId="6640EC62" w14:textId="77777777" w:rsidR="003464EE" w:rsidRPr="00292976" w:rsidRDefault="003464EE" w:rsidP="003464EE">
            <w:pPr>
              <w:spacing w:line="276" w:lineRule="auto"/>
              <w:rPr>
                <w:rFonts w:asciiTheme="minorHAnsi" w:hAnsiTheme="minorHAnsi" w:cstheme="minorHAnsi"/>
                <w:b/>
                <w:szCs w:val="22"/>
                <w:lang w:val="en-AU"/>
              </w:rPr>
            </w:pPr>
            <w:r w:rsidRPr="00292976">
              <w:rPr>
                <w:rFonts w:asciiTheme="minorHAnsi" w:hAnsiTheme="minorHAnsi" w:cstheme="minorHAnsi"/>
                <w:b/>
                <w:szCs w:val="22"/>
                <w:lang w:val="en-AU"/>
              </w:rPr>
              <w:t xml:space="preserve">Illegal Wildlife Campaign  </w:t>
            </w:r>
          </w:p>
          <w:p w14:paraId="584D5354" w14:textId="523F934B" w:rsidR="003464EE" w:rsidRPr="00292976" w:rsidRDefault="003464EE" w:rsidP="003464EE">
            <w:pPr>
              <w:spacing w:line="276" w:lineRule="auto"/>
              <w:rPr>
                <w:rFonts w:asciiTheme="minorHAnsi" w:hAnsiTheme="minorHAnsi" w:cstheme="minorHAnsi"/>
                <w:szCs w:val="22"/>
                <w:lang w:val="en-AU"/>
              </w:rPr>
            </w:pPr>
            <w:r w:rsidRPr="00292976">
              <w:rPr>
                <w:rFonts w:asciiTheme="minorHAnsi" w:hAnsiTheme="minorHAnsi" w:cstheme="minorHAnsi"/>
                <w:szCs w:val="22"/>
                <w:lang w:val="en-AU"/>
              </w:rPr>
              <w:t xml:space="preserve">The Illegal Wildlife Campaign was undertaken in partnership </w:t>
            </w:r>
            <w:r w:rsidR="00F906CB">
              <w:rPr>
                <w:rFonts w:asciiTheme="minorHAnsi" w:hAnsiTheme="minorHAnsi" w:cstheme="minorHAnsi"/>
                <w:szCs w:val="22"/>
                <w:lang w:val="en-AU"/>
              </w:rPr>
              <w:t xml:space="preserve">between Agriculture Victoria, </w:t>
            </w:r>
            <w:r w:rsidRPr="00292976">
              <w:rPr>
                <w:rFonts w:asciiTheme="minorHAnsi" w:hAnsiTheme="minorHAnsi" w:cstheme="minorHAnsi"/>
                <w:szCs w:val="22"/>
                <w:lang w:val="en-AU"/>
              </w:rPr>
              <w:t xml:space="preserve">DELWP and </w:t>
            </w:r>
            <w:r>
              <w:rPr>
                <w:rFonts w:asciiTheme="minorHAnsi" w:hAnsiTheme="minorHAnsi" w:cstheme="minorHAnsi"/>
                <w:szCs w:val="22"/>
                <w:lang w:val="en-AU"/>
              </w:rPr>
              <w:t>CSV</w:t>
            </w:r>
            <w:r w:rsidRPr="00292976">
              <w:rPr>
                <w:rFonts w:asciiTheme="minorHAnsi" w:hAnsiTheme="minorHAnsi" w:cstheme="minorHAnsi"/>
                <w:szCs w:val="22"/>
                <w:lang w:val="en-AU"/>
              </w:rPr>
              <w:t xml:space="preserve"> to raise awareness regarding illegal animal trade. With increase</w:t>
            </w:r>
            <w:r>
              <w:rPr>
                <w:rFonts w:asciiTheme="minorHAnsi" w:hAnsiTheme="minorHAnsi" w:cstheme="minorHAnsi"/>
                <w:szCs w:val="22"/>
                <w:lang w:val="en-AU"/>
              </w:rPr>
              <w:t>d</w:t>
            </w:r>
            <w:r w:rsidRPr="00292976">
              <w:rPr>
                <w:rFonts w:asciiTheme="minorHAnsi" w:hAnsiTheme="minorHAnsi" w:cstheme="minorHAnsi"/>
                <w:szCs w:val="22"/>
                <w:lang w:val="en-AU"/>
              </w:rPr>
              <w:t xml:space="preserve"> accessibility to international networks</w:t>
            </w:r>
            <w:r w:rsidR="00F906CB">
              <w:rPr>
                <w:rFonts w:asciiTheme="minorHAnsi" w:hAnsiTheme="minorHAnsi" w:cstheme="minorHAnsi"/>
                <w:szCs w:val="22"/>
                <w:lang w:val="en-AU"/>
              </w:rPr>
              <w:t xml:space="preserve"> via the internet</w:t>
            </w:r>
            <w:r w:rsidRPr="00292976">
              <w:rPr>
                <w:rFonts w:asciiTheme="minorHAnsi" w:hAnsiTheme="minorHAnsi" w:cstheme="minorHAnsi"/>
                <w:szCs w:val="22"/>
                <w:lang w:val="en-AU"/>
              </w:rPr>
              <w:t>, Victoria</w:t>
            </w:r>
            <w:r w:rsidR="00F906CB">
              <w:rPr>
                <w:rFonts w:asciiTheme="minorHAnsi" w:hAnsiTheme="minorHAnsi" w:cstheme="minorHAnsi"/>
                <w:szCs w:val="22"/>
                <w:lang w:val="en-AU"/>
              </w:rPr>
              <w:t xml:space="preserve"> </w:t>
            </w:r>
            <w:r w:rsidRPr="00292976">
              <w:rPr>
                <w:rFonts w:asciiTheme="minorHAnsi" w:hAnsiTheme="minorHAnsi" w:cstheme="minorHAnsi"/>
                <w:szCs w:val="22"/>
                <w:lang w:val="en-AU"/>
              </w:rPr>
              <w:t xml:space="preserve">is increasingly being exposed to this illegal market. The campaign </w:t>
            </w:r>
            <w:r w:rsidR="00427147">
              <w:rPr>
                <w:rFonts w:asciiTheme="minorHAnsi" w:hAnsiTheme="minorHAnsi" w:cstheme="minorHAnsi"/>
                <w:szCs w:val="22"/>
                <w:lang w:val="en-AU"/>
              </w:rPr>
              <w:t>has been</w:t>
            </w:r>
            <w:r w:rsidR="00427147" w:rsidRPr="00292976">
              <w:rPr>
                <w:rFonts w:asciiTheme="minorHAnsi" w:hAnsiTheme="minorHAnsi" w:cstheme="minorHAnsi"/>
                <w:szCs w:val="22"/>
                <w:lang w:val="en-AU"/>
              </w:rPr>
              <w:t xml:space="preserve"> </w:t>
            </w:r>
            <w:r w:rsidRPr="00292976">
              <w:rPr>
                <w:rFonts w:asciiTheme="minorHAnsi" w:hAnsiTheme="minorHAnsi" w:cstheme="minorHAnsi"/>
                <w:szCs w:val="22"/>
                <w:lang w:val="en-AU"/>
              </w:rPr>
              <w:t>successful in generating public interest using a variety of mediums including:</w:t>
            </w:r>
          </w:p>
          <w:p w14:paraId="2982B3E7" w14:textId="1449760D" w:rsidR="003464EE" w:rsidRPr="00292976" w:rsidRDefault="003464EE" w:rsidP="003464EE">
            <w:pPr>
              <w:pStyle w:val="NoSpacing"/>
              <w:rPr>
                <w:rFonts w:asciiTheme="minorHAnsi" w:hAnsiTheme="minorHAnsi" w:cstheme="minorHAnsi"/>
                <w:szCs w:val="22"/>
                <w:lang w:val="en-AU"/>
              </w:rPr>
            </w:pPr>
            <w:r w:rsidRPr="00292976">
              <w:rPr>
                <w:rFonts w:asciiTheme="minorHAnsi" w:hAnsiTheme="minorHAnsi" w:cstheme="minorHAnsi"/>
                <w:szCs w:val="22"/>
                <w:lang w:val="en-AU"/>
              </w:rPr>
              <w:t>•  Facebook videos and posts</w:t>
            </w:r>
          </w:p>
          <w:p w14:paraId="163C7E76" w14:textId="61429E0C" w:rsidR="003464EE" w:rsidRPr="00292976" w:rsidRDefault="003464EE" w:rsidP="003464EE">
            <w:pPr>
              <w:pStyle w:val="NoSpacing"/>
              <w:rPr>
                <w:rFonts w:asciiTheme="minorHAnsi" w:hAnsiTheme="minorHAnsi" w:cstheme="minorHAnsi"/>
                <w:szCs w:val="22"/>
                <w:lang w:val="en-AU"/>
              </w:rPr>
            </w:pPr>
            <w:r w:rsidRPr="00292976">
              <w:rPr>
                <w:rFonts w:asciiTheme="minorHAnsi" w:hAnsiTheme="minorHAnsi" w:cstheme="minorHAnsi"/>
                <w:szCs w:val="22"/>
                <w:lang w:val="en-AU"/>
              </w:rPr>
              <w:t>•  Twitter via the provider Tribe</w:t>
            </w:r>
          </w:p>
          <w:p w14:paraId="29CC2AAB" w14:textId="77777777" w:rsidR="003464EE" w:rsidRPr="00292976" w:rsidRDefault="003464EE" w:rsidP="003464EE">
            <w:pPr>
              <w:pStyle w:val="NoSpacing"/>
              <w:rPr>
                <w:rFonts w:asciiTheme="minorHAnsi" w:hAnsiTheme="minorHAnsi" w:cstheme="minorHAnsi"/>
                <w:szCs w:val="22"/>
                <w:lang w:val="en-AU"/>
              </w:rPr>
            </w:pPr>
            <w:r w:rsidRPr="00292976">
              <w:rPr>
                <w:rFonts w:asciiTheme="minorHAnsi" w:hAnsiTheme="minorHAnsi" w:cstheme="minorHAnsi"/>
                <w:szCs w:val="22"/>
                <w:lang w:val="en-AU"/>
              </w:rPr>
              <w:t>•  A hard launch at the Melbourne Zoo</w:t>
            </w:r>
          </w:p>
          <w:p w14:paraId="188DA5A2" w14:textId="77777777" w:rsidR="003464EE" w:rsidRPr="00292976" w:rsidRDefault="003464EE" w:rsidP="003464EE">
            <w:pPr>
              <w:pStyle w:val="NoSpacing"/>
              <w:rPr>
                <w:rFonts w:asciiTheme="minorHAnsi" w:hAnsiTheme="minorHAnsi" w:cstheme="minorHAnsi"/>
                <w:szCs w:val="22"/>
                <w:lang w:val="en-AU"/>
              </w:rPr>
            </w:pPr>
            <w:r w:rsidRPr="00292976">
              <w:rPr>
                <w:rFonts w:asciiTheme="minorHAnsi" w:hAnsiTheme="minorHAnsi" w:cstheme="minorHAnsi"/>
                <w:szCs w:val="22"/>
                <w:lang w:val="en-AU"/>
              </w:rPr>
              <w:t>•  Regional media event</w:t>
            </w:r>
          </w:p>
          <w:p w14:paraId="0D180495" w14:textId="77777777" w:rsidR="003464EE" w:rsidRPr="00292976" w:rsidRDefault="003464EE" w:rsidP="003464EE">
            <w:pPr>
              <w:pStyle w:val="NoSpacing"/>
              <w:rPr>
                <w:rFonts w:asciiTheme="minorHAnsi" w:hAnsiTheme="minorHAnsi" w:cstheme="minorHAnsi"/>
                <w:szCs w:val="22"/>
                <w:lang w:val="en-AU"/>
              </w:rPr>
            </w:pPr>
            <w:r w:rsidRPr="00292976">
              <w:rPr>
                <w:rFonts w:asciiTheme="minorHAnsi" w:hAnsiTheme="minorHAnsi" w:cstheme="minorHAnsi"/>
                <w:szCs w:val="22"/>
                <w:lang w:val="en-AU"/>
              </w:rPr>
              <w:t xml:space="preserve">•  Traditional TV and print </w:t>
            </w:r>
          </w:p>
          <w:p w14:paraId="6D747B9A" w14:textId="77777777" w:rsidR="003464EE" w:rsidRPr="00292976" w:rsidRDefault="003464EE" w:rsidP="003464EE">
            <w:pPr>
              <w:pStyle w:val="NoSpacing"/>
              <w:rPr>
                <w:rFonts w:asciiTheme="minorHAnsi" w:hAnsiTheme="minorHAnsi" w:cstheme="minorHAnsi"/>
                <w:szCs w:val="22"/>
                <w:lang w:val="en-AU"/>
              </w:rPr>
            </w:pPr>
            <w:r w:rsidRPr="00292976">
              <w:rPr>
                <w:rFonts w:asciiTheme="minorHAnsi" w:hAnsiTheme="minorHAnsi" w:cstheme="minorHAnsi"/>
                <w:szCs w:val="22"/>
                <w:lang w:val="en-AU"/>
              </w:rPr>
              <w:t>•  Targeted Gumtree advertising</w:t>
            </w:r>
          </w:p>
          <w:p w14:paraId="28B6BAFB" w14:textId="77777777" w:rsidR="003464EE" w:rsidRPr="00292976" w:rsidRDefault="003464EE" w:rsidP="003464EE">
            <w:pPr>
              <w:pStyle w:val="NoSpacing"/>
              <w:rPr>
                <w:rFonts w:asciiTheme="minorHAnsi" w:hAnsiTheme="minorHAnsi" w:cstheme="minorHAnsi"/>
                <w:szCs w:val="22"/>
                <w:lang w:val="en-AU"/>
              </w:rPr>
            </w:pPr>
            <w:r w:rsidRPr="00292976">
              <w:rPr>
                <w:rFonts w:asciiTheme="minorHAnsi" w:hAnsiTheme="minorHAnsi" w:cstheme="minorHAnsi"/>
                <w:szCs w:val="22"/>
                <w:lang w:val="en-AU"/>
              </w:rPr>
              <w:t>•  Establishment of reporting pages on the CSV website</w:t>
            </w:r>
          </w:p>
          <w:p w14:paraId="053008BA" w14:textId="77777777" w:rsidR="003464EE" w:rsidRPr="00292976" w:rsidRDefault="003464EE" w:rsidP="003464EE">
            <w:pPr>
              <w:pStyle w:val="NoSpacing"/>
              <w:rPr>
                <w:rFonts w:asciiTheme="minorHAnsi" w:hAnsiTheme="minorHAnsi" w:cstheme="minorHAnsi"/>
                <w:szCs w:val="22"/>
                <w:lang w:val="en-AU"/>
              </w:rPr>
            </w:pPr>
          </w:p>
          <w:p w14:paraId="21EAD7E9" w14:textId="0543E8F5" w:rsidR="003464EE" w:rsidRPr="00374F04" w:rsidRDefault="003464EE" w:rsidP="002006E7">
            <w:pPr>
              <w:spacing w:line="276" w:lineRule="auto"/>
              <w:rPr>
                <w:rFonts w:asciiTheme="minorHAnsi" w:hAnsiTheme="minorHAnsi" w:cstheme="minorHAnsi"/>
                <w:sz w:val="20"/>
                <w:szCs w:val="22"/>
                <w:lang w:val="en-AU"/>
              </w:rPr>
            </w:pPr>
            <w:r w:rsidRPr="00292976">
              <w:rPr>
                <w:rFonts w:asciiTheme="minorHAnsi" w:hAnsiTheme="minorHAnsi" w:cstheme="minorHAnsi"/>
                <w:szCs w:val="22"/>
                <w:lang w:val="en-AU"/>
              </w:rPr>
              <w:t xml:space="preserve">CSV </w:t>
            </w:r>
            <w:r w:rsidR="00427147">
              <w:rPr>
                <w:rFonts w:asciiTheme="minorHAnsi" w:hAnsiTheme="minorHAnsi" w:cstheme="minorHAnsi"/>
                <w:szCs w:val="22"/>
                <w:lang w:val="en-AU"/>
              </w:rPr>
              <w:t xml:space="preserve">has </w:t>
            </w:r>
            <w:r w:rsidRPr="00292976">
              <w:rPr>
                <w:rFonts w:asciiTheme="minorHAnsi" w:hAnsiTheme="minorHAnsi" w:cstheme="minorHAnsi"/>
                <w:szCs w:val="22"/>
                <w:lang w:val="en-AU"/>
              </w:rPr>
              <w:t xml:space="preserve">estimated </w:t>
            </w:r>
            <w:r w:rsidR="00427147">
              <w:rPr>
                <w:rFonts w:asciiTheme="minorHAnsi" w:hAnsiTheme="minorHAnsi" w:cstheme="minorHAnsi"/>
                <w:szCs w:val="22"/>
                <w:lang w:val="en-AU"/>
              </w:rPr>
              <w:t xml:space="preserve">that </w:t>
            </w:r>
            <w:r w:rsidRPr="00292976">
              <w:rPr>
                <w:rFonts w:asciiTheme="minorHAnsi" w:hAnsiTheme="minorHAnsi" w:cstheme="minorHAnsi"/>
                <w:szCs w:val="22"/>
                <w:lang w:val="en-AU"/>
              </w:rPr>
              <w:t>the campaign generated $1.3 million worth of advertising value and 13 Intelligence Report</w:t>
            </w:r>
            <w:r w:rsidR="002006E7">
              <w:rPr>
                <w:rFonts w:asciiTheme="minorHAnsi" w:hAnsiTheme="minorHAnsi" w:cstheme="minorHAnsi"/>
                <w:szCs w:val="22"/>
                <w:lang w:val="en-AU"/>
              </w:rPr>
              <w:t>s</w:t>
            </w:r>
            <w:r w:rsidRPr="00292976">
              <w:rPr>
                <w:rFonts w:asciiTheme="minorHAnsi" w:hAnsiTheme="minorHAnsi" w:cstheme="minorHAnsi"/>
                <w:szCs w:val="22"/>
                <w:lang w:val="en-AU"/>
              </w:rPr>
              <w:t xml:space="preserve"> </w:t>
            </w:r>
            <w:r w:rsidR="00427147">
              <w:rPr>
                <w:rFonts w:asciiTheme="minorHAnsi" w:hAnsiTheme="minorHAnsi" w:cstheme="minorHAnsi"/>
                <w:szCs w:val="22"/>
                <w:lang w:val="en-AU"/>
              </w:rPr>
              <w:t xml:space="preserve">during the campaign and </w:t>
            </w:r>
            <w:r w:rsidRPr="00292976">
              <w:rPr>
                <w:rFonts w:asciiTheme="minorHAnsi" w:hAnsiTheme="minorHAnsi" w:cstheme="minorHAnsi"/>
                <w:szCs w:val="22"/>
                <w:lang w:val="en-AU"/>
              </w:rPr>
              <w:t xml:space="preserve">a further 11 </w:t>
            </w:r>
            <w:r w:rsidR="00427147">
              <w:rPr>
                <w:rFonts w:asciiTheme="minorHAnsi" w:hAnsiTheme="minorHAnsi" w:cstheme="minorHAnsi"/>
                <w:szCs w:val="22"/>
                <w:lang w:val="en-AU"/>
              </w:rPr>
              <w:t xml:space="preserve">reports </w:t>
            </w:r>
            <w:r w:rsidRPr="00292976">
              <w:rPr>
                <w:rFonts w:asciiTheme="minorHAnsi" w:hAnsiTheme="minorHAnsi" w:cstheme="minorHAnsi"/>
                <w:szCs w:val="22"/>
                <w:lang w:val="en-AU"/>
              </w:rPr>
              <w:t>received since the campaign finished</w:t>
            </w:r>
            <w:r w:rsidR="002006E7">
              <w:rPr>
                <w:rFonts w:asciiTheme="minorHAnsi" w:hAnsiTheme="minorHAnsi" w:cstheme="minorHAnsi"/>
                <w:szCs w:val="22"/>
                <w:lang w:val="en-AU"/>
              </w:rPr>
              <w:t xml:space="preserve">. </w:t>
            </w:r>
            <w:r w:rsidR="00427147">
              <w:rPr>
                <w:rFonts w:asciiTheme="minorHAnsi" w:hAnsiTheme="minorHAnsi" w:cstheme="minorHAnsi"/>
                <w:szCs w:val="22"/>
                <w:lang w:val="en-AU"/>
              </w:rPr>
              <w:t>I</w:t>
            </w:r>
            <w:r w:rsidRPr="00292976">
              <w:rPr>
                <w:rFonts w:asciiTheme="minorHAnsi" w:hAnsiTheme="minorHAnsi" w:cstheme="minorHAnsi"/>
                <w:szCs w:val="22"/>
                <w:lang w:val="en-AU"/>
              </w:rPr>
              <w:t xml:space="preserve">ntelligence reports received have led to the seizure of exotic animals </w:t>
            </w:r>
            <w:r w:rsidR="00427147">
              <w:rPr>
                <w:rFonts w:asciiTheme="minorHAnsi" w:hAnsiTheme="minorHAnsi" w:cstheme="minorHAnsi"/>
                <w:szCs w:val="22"/>
                <w:lang w:val="en-AU"/>
              </w:rPr>
              <w:t xml:space="preserve">that were </w:t>
            </w:r>
            <w:r w:rsidRPr="00292976">
              <w:rPr>
                <w:rFonts w:asciiTheme="minorHAnsi" w:hAnsiTheme="minorHAnsi" w:cstheme="minorHAnsi"/>
                <w:szCs w:val="22"/>
                <w:lang w:val="en-AU"/>
              </w:rPr>
              <w:t xml:space="preserve">being </w:t>
            </w:r>
            <w:r w:rsidR="00427147">
              <w:rPr>
                <w:rFonts w:asciiTheme="minorHAnsi" w:hAnsiTheme="minorHAnsi" w:cstheme="minorHAnsi"/>
                <w:szCs w:val="22"/>
                <w:lang w:val="en-AU"/>
              </w:rPr>
              <w:t xml:space="preserve">illegally kept </w:t>
            </w:r>
            <w:r w:rsidRPr="00292976">
              <w:rPr>
                <w:rFonts w:asciiTheme="minorHAnsi" w:hAnsiTheme="minorHAnsi" w:cstheme="minorHAnsi"/>
                <w:szCs w:val="22"/>
                <w:lang w:val="en-AU"/>
              </w:rPr>
              <w:t>and traded in Victoria.</w:t>
            </w:r>
            <w:r w:rsidR="00427147">
              <w:rPr>
                <w:rFonts w:asciiTheme="minorHAnsi" w:hAnsiTheme="minorHAnsi" w:cstheme="minorHAnsi"/>
                <w:szCs w:val="22"/>
                <w:lang w:val="en-AU"/>
              </w:rPr>
              <w:t xml:space="preserve"> A v</w:t>
            </w:r>
            <w:r w:rsidRPr="00292976">
              <w:rPr>
                <w:rFonts w:asciiTheme="minorHAnsi" w:hAnsiTheme="minorHAnsi" w:cstheme="minorHAnsi"/>
                <w:szCs w:val="22"/>
                <w:lang w:val="en-AU"/>
              </w:rPr>
              <w:t>ideo produced for the campaign</w:t>
            </w:r>
            <w:r w:rsidR="00427147">
              <w:rPr>
                <w:rFonts w:asciiTheme="minorHAnsi" w:hAnsiTheme="minorHAnsi" w:cstheme="minorHAnsi"/>
                <w:szCs w:val="22"/>
                <w:lang w:val="en-AU"/>
              </w:rPr>
              <w:t xml:space="preserve"> can be viewed at</w:t>
            </w:r>
            <w:r w:rsidRPr="00292976">
              <w:rPr>
                <w:rFonts w:asciiTheme="minorHAnsi" w:hAnsiTheme="minorHAnsi" w:cstheme="minorHAnsi"/>
                <w:szCs w:val="22"/>
                <w:lang w:val="en-AU"/>
              </w:rPr>
              <w:t xml:space="preserve">: </w:t>
            </w:r>
            <w:hyperlink r:id="rId21" w:history="1">
              <w:r w:rsidRPr="00292976">
                <w:rPr>
                  <w:rStyle w:val="Hyperlink"/>
                  <w:rFonts w:asciiTheme="minorHAnsi" w:hAnsiTheme="minorHAnsi" w:cstheme="minorHAnsi"/>
                  <w:szCs w:val="22"/>
                  <w:lang w:val="en-AU"/>
                </w:rPr>
                <w:t>https://www.youtube.com/watch?v=CPMtDVrmWSI</w:t>
              </w:r>
            </w:hyperlink>
          </w:p>
        </w:tc>
      </w:tr>
    </w:tbl>
    <w:p w14:paraId="7DC23D8D" w14:textId="3130E154" w:rsidR="0077319E" w:rsidRPr="00374F04" w:rsidRDefault="0077319E" w:rsidP="00D702FF">
      <w:pPr>
        <w:spacing w:line="276" w:lineRule="auto"/>
        <w:rPr>
          <w:rFonts w:asciiTheme="minorHAnsi" w:hAnsiTheme="minorHAnsi" w:cstheme="minorHAnsi"/>
          <w:sz w:val="20"/>
          <w:szCs w:val="22"/>
          <w:lang w:val="en-AU"/>
        </w:rPr>
      </w:pPr>
      <w:r w:rsidRPr="00374F04">
        <w:rPr>
          <w:rFonts w:asciiTheme="minorHAnsi" w:hAnsiTheme="minorHAnsi" w:cstheme="minorHAnsi"/>
          <w:sz w:val="20"/>
          <w:szCs w:val="22"/>
          <w:lang w:val="en-AU"/>
        </w:rPr>
        <w:t xml:space="preserve">To maximise the quality of its regulatory regime, Agriculture Victoria is enhancing its cooperation with other regulators, such as the </w:t>
      </w:r>
      <w:r w:rsidR="00942203" w:rsidRPr="00374F04">
        <w:rPr>
          <w:rFonts w:asciiTheme="minorHAnsi" w:hAnsiTheme="minorHAnsi" w:cstheme="minorHAnsi"/>
          <w:sz w:val="20"/>
          <w:szCs w:val="22"/>
          <w:lang w:val="en-AU"/>
        </w:rPr>
        <w:t>DELWP</w:t>
      </w:r>
      <w:r w:rsidRPr="00374F04">
        <w:rPr>
          <w:rFonts w:asciiTheme="minorHAnsi" w:hAnsiTheme="minorHAnsi" w:cstheme="minorHAnsi"/>
          <w:sz w:val="20"/>
          <w:szCs w:val="22"/>
          <w:lang w:val="en-AU"/>
        </w:rPr>
        <w:t xml:space="preserve"> and Crime Stoppers Victoria (CSV) in </w:t>
      </w:r>
      <w:r w:rsidR="00F906CB">
        <w:rPr>
          <w:rFonts w:asciiTheme="minorHAnsi" w:hAnsiTheme="minorHAnsi" w:cstheme="minorHAnsi"/>
          <w:sz w:val="20"/>
          <w:szCs w:val="22"/>
          <w:lang w:val="en-AU"/>
        </w:rPr>
        <w:t xml:space="preserve">the </w:t>
      </w:r>
      <w:r w:rsidRPr="00374F04">
        <w:rPr>
          <w:rFonts w:asciiTheme="minorHAnsi" w:hAnsiTheme="minorHAnsi" w:cstheme="minorHAnsi"/>
          <w:sz w:val="20"/>
          <w:szCs w:val="22"/>
          <w:lang w:val="en-AU"/>
        </w:rPr>
        <w:t xml:space="preserve">pursuit of its regulatory objectives. </w:t>
      </w:r>
    </w:p>
    <w:p w14:paraId="27647922" w14:textId="31D1A408" w:rsidR="002C1315" w:rsidRDefault="0077319E" w:rsidP="00D702FF">
      <w:pPr>
        <w:spacing w:line="276" w:lineRule="auto"/>
        <w:rPr>
          <w:rFonts w:asciiTheme="minorHAnsi" w:hAnsiTheme="minorHAnsi" w:cstheme="minorHAnsi"/>
          <w:sz w:val="20"/>
          <w:szCs w:val="22"/>
          <w:lang w:val="en-AU"/>
        </w:rPr>
      </w:pPr>
      <w:r w:rsidRPr="00374F04">
        <w:rPr>
          <w:rFonts w:asciiTheme="minorHAnsi" w:hAnsiTheme="minorHAnsi" w:cstheme="minorHAnsi"/>
          <w:sz w:val="20"/>
          <w:szCs w:val="22"/>
          <w:lang w:val="en-AU"/>
        </w:rPr>
        <w:t xml:space="preserve">Agriculture Victoria </w:t>
      </w:r>
      <w:r w:rsidR="00427147">
        <w:rPr>
          <w:rFonts w:asciiTheme="minorHAnsi" w:hAnsiTheme="minorHAnsi" w:cstheme="minorHAnsi"/>
          <w:sz w:val="20"/>
          <w:szCs w:val="22"/>
          <w:lang w:val="en-AU"/>
        </w:rPr>
        <w:t>has been</w:t>
      </w:r>
      <w:r w:rsidR="00F906CB">
        <w:rPr>
          <w:rFonts w:asciiTheme="minorHAnsi" w:hAnsiTheme="minorHAnsi" w:cstheme="minorHAnsi"/>
          <w:sz w:val="20"/>
          <w:szCs w:val="22"/>
          <w:lang w:val="en-AU"/>
        </w:rPr>
        <w:t xml:space="preserve"> working collaboratively with </w:t>
      </w:r>
      <w:r w:rsidRPr="00374F04">
        <w:rPr>
          <w:rFonts w:asciiTheme="minorHAnsi" w:hAnsiTheme="minorHAnsi" w:cstheme="minorHAnsi"/>
          <w:sz w:val="20"/>
          <w:szCs w:val="22"/>
          <w:lang w:val="en-AU"/>
        </w:rPr>
        <w:t>DELWP and CSV to conduct a public awareness campaign about the effects of illegal wildlife trafficking in Victoria. The campaign encourage</w:t>
      </w:r>
      <w:r w:rsidR="00F906CB">
        <w:rPr>
          <w:rFonts w:asciiTheme="minorHAnsi" w:hAnsiTheme="minorHAnsi" w:cstheme="minorHAnsi"/>
          <w:sz w:val="20"/>
          <w:szCs w:val="22"/>
          <w:lang w:val="en-AU"/>
        </w:rPr>
        <w:t>s</w:t>
      </w:r>
      <w:r w:rsidRPr="00374F04">
        <w:rPr>
          <w:rFonts w:asciiTheme="minorHAnsi" w:hAnsiTheme="minorHAnsi" w:cstheme="minorHAnsi"/>
          <w:sz w:val="20"/>
          <w:szCs w:val="22"/>
          <w:lang w:val="en-AU"/>
        </w:rPr>
        <w:t xml:space="preserve"> the public to report any information that may assist investigators in restricting illegal trade in exotic pest animals in Victoria to </w:t>
      </w:r>
      <w:r w:rsidR="00F906CB">
        <w:rPr>
          <w:rFonts w:asciiTheme="minorHAnsi" w:hAnsiTheme="minorHAnsi" w:cstheme="minorHAnsi"/>
          <w:sz w:val="20"/>
          <w:szCs w:val="22"/>
          <w:lang w:val="en-AU"/>
        </w:rPr>
        <w:t>CSV</w:t>
      </w:r>
      <w:r w:rsidRPr="00374F04">
        <w:rPr>
          <w:rFonts w:asciiTheme="minorHAnsi" w:hAnsiTheme="minorHAnsi" w:cstheme="minorHAnsi"/>
          <w:sz w:val="20"/>
          <w:szCs w:val="22"/>
          <w:lang w:val="en-AU"/>
        </w:rPr>
        <w:t xml:space="preserve">. </w:t>
      </w:r>
      <w:r w:rsidR="00F906CB">
        <w:rPr>
          <w:rFonts w:asciiTheme="minorHAnsi" w:hAnsiTheme="minorHAnsi" w:cstheme="minorHAnsi"/>
          <w:sz w:val="20"/>
          <w:szCs w:val="22"/>
          <w:lang w:val="en-AU"/>
        </w:rPr>
        <w:t>T</w:t>
      </w:r>
      <w:r w:rsidRPr="00374F04">
        <w:rPr>
          <w:rFonts w:asciiTheme="minorHAnsi" w:hAnsiTheme="minorHAnsi" w:cstheme="minorHAnsi"/>
          <w:sz w:val="20"/>
          <w:szCs w:val="22"/>
          <w:lang w:val="en-AU"/>
        </w:rPr>
        <w:t xml:space="preserve">his has led to improved coordination such as an agreement where CSV will take reports of wildlife crime on behalf of </w:t>
      </w:r>
      <w:r w:rsidR="00F906CB">
        <w:rPr>
          <w:rFonts w:asciiTheme="minorHAnsi" w:hAnsiTheme="minorHAnsi" w:cstheme="minorHAnsi"/>
          <w:sz w:val="20"/>
          <w:szCs w:val="22"/>
          <w:lang w:val="en-AU"/>
        </w:rPr>
        <w:t xml:space="preserve">DELWP and </w:t>
      </w:r>
      <w:r w:rsidRPr="00374F04">
        <w:rPr>
          <w:rFonts w:asciiTheme="minorHAnsi" w:hAnsiTheme="minorHAnsi" w:cstheme="minorHAnsi"/>
          <w:sz w:val="20"/>
          <w:szCs w:val="22"/>
          <w:lang w:val="en-AU"/>
        </w:rPr>
        <w:t>Agriculture Victoria</w:t>
      </w:r>
      <w:r w:rsidR="00F906CB">
        <w:rPr>
          <w:rFonts w:asciiTheme="minorHAnsi" w:hAnsiTheme="minorHAnsi" w:cstheme="minorHAnsi"/>
          <w:sz w:val="20"/>
          <w:szCs w:val="22"/>
          <w:lang w:val="en-AU"/>
        </w:rPr>
        <w:t>.</w:t>
      </w:r>
    </w:p>
    <w:p w14:paraId="71FEBCBB" w14:textId="71920ACE" w:rsidR="00FE010A" w:rsidRPr="00374F04" w:rsidRDefault="00C05F27" w:rsidP="0077319E">
      <w:pPr>
        <w:spacing w:line="276" w:lineRule="auto"/>
        <w:rPr>
          <w:rFonts w:asciiTheme="minorHAnsi" w:hAnsiTheme="minorHAnsi" w:cstheme="minorHAnsi"/>
          <w:sz w:val="20"/>
          <w:szCs w:val="22"/>
          <w:lang w:val="en-AU"/>
        </w:rPr>
      </w:pPr>
      <w:r>
        <w:rPr>
          <w:rFonts w:asciiTheme="minorHAnsi" w:hAnsiTheme="minorHAnsi" w:cstheme="minorHAnsi"/>
          <w:sz w:val="20"/>
          <w:szCs w:val="22"/>
          <w:lang w:val="en-AU"/>
        </w:rPr>
        <w:t>Agriculture Victoria</w:t>
      </w:r>
      <w:r w:rsidR="0077319E" w:rsidRPr="00374F04">
        <w:rPr>
          <w:rFonts w:asciiTheme="minorHAnsi" w:hAnsiTheme="minorHAnsi" w:cstheme="minorHAnsi"/>
          <w:sz w:val="20"/>
          <w:szCs w:val="22"/>
          <w:lang w:val="en-AU"/>
        </w:rPr>
        <w:t xml:space="preserve"> </w:t>
      </w:r>
      <w:r w:rsidR="002006E7">
        <w:rPr>
          <w:rFonts w:asciiTheme="minorHAnsi" w:hAnsiTheme="minorHAnsi" w:cstheme="minorHAnsi"/>
          <w:sz w:val="20"/>
          <w:szCs w:val="22"/>
          <w:lang w:val="en-AU"/>
        </w:rPr>
        <w:t>c</w:t>
      </w:r>
      <w:r w:rsidR="0077319E" w:rsidRPr="00374F04">
        <w:rPr>
          <w:rFonts w:asciiTheme="minorHAnsi" w:hAnsiTheme="minorHAnsi" w:cstheme="minorHAnsi"/>
          <w:sz w:val="20"/>
          <w:szCs w:val="22"/>
          <w:lang w:val="en-AU"/>
        </w:rPr>
        <w:t xml:space="preserve">ould </w:t>
      </w:r>
      <w:r w:rsidR="002006E7">
        <w:rPr>
          <w:rFonts w:asciiTheme="minorHAnsi" w:hAnsiTheme="minorHAnsi" w:cstheme="minorHAnsi"/>
          <w:sz w:val="20"/>
          <w:szCs w:val="22"/>
          <w:lang w:val="en-AU"/>
        </w:rPr>
        <w:t xml:space="preserve">explore </w:t>
      </w:r>
      <w:r w:rsidR="004E70FF">
        <w:rPr>
          <w:rFonts w:asciiTheme="minorHAnsi" w:hAnsiTheme="minorHAnsi" w:cstheme="minorHAnsi"/>
          <w:sz w:val="20"/>
          <w:szCs w:val="22"/>
          <w:lang w:val="en-AU"/>
        </w:rPr>
        <w:t xml:space="preserve">further </w:t>
      </w:r>
      <w:r w:rsidR="002006E7">
        <w:rPr>
          <w:rFonts w:asciiTheme="minorHAnsi" w:hAnsiTheme="minorHAnsi" w:cstheme="minorHAnsi"/>
          <w:sz w:val="20"/>
          <w:szCs w:val="22"/>
          <w:lang w:val="en-AU"/>
        </w:rPr>
        <w:t xml:space="preserve">opportunities to </w:t>
      </w:r>
      <w:r w:rsidR="009A4DE5">
        <w:rPr>
          <w:rFonts w:asciiTheme="minorHAnsi" w:hAnsiTheme="minorHAnsi" w:cstheme="minorHAnsi"/>
          <w:sz w:val="20"/>
          <w:szCs w:val="22"/>
          <w:lang w:val="en-AU"/>
        </w:rPr>
        <w:t>expand its partner</w:t>
      </w:r>
      <w:r w:rsidR="004E70FF">
        <w:rPr>
          <w:rFonts w:asciiTheme="minorHAnsi" w:hAnsiTheme="minorHAnsi" w:cstheme="minorHAnsi"/>
          <w:sz w:val="20"/>
          <w:szCs w:val="22"/>
          <w:lang w:val="en-AU"/>
        </w:rPr>
        <w:t>ship</w:t>
      </w:r>
      <w:r w:rsidR="009A4DE5">
        <w:rPr>
          <w:rFonts w:asciiTheme="minorHAnsi" w:hAnsiTheme="minorHAnsi" w:cstheme="minorHAnsi"/>
          <w:sz w:val="20"/>
          <w:szCs w:val="22"/>
          <w:lang w:val="en-AU"/>
        </w:rPr>
        <w:t xml:space="preserve"> approach with DELWP and CSV to other </w:t>
      </w:r>
      <w:r w:rsidR="00427147">
        <w:rPr>
          <w:rFonts w:asciiTheme="minorHAnsi" w:hAnsiTheme="minorHAnsi" w:cstheme="minorHAnsi"/>
          <w:sz w:val="20"/>
          <w:szCs w:val="22"/>
          <w:lang w:val="en-AU"/>
        </w:rPr>
        <w:t>areas</w:t>
      </w:r>
      <w:r w:rsidR="009A4DE5">
        <w:rPr>
          <w:rFonts w:asciiTheme="minorHAnsi" w:hAnsiTheme="minorHAnsi" w:cstheme="minorHAnsi"/>
          <w:sz w:val="20"/>
          <w:szCs w:val="22"/>
          <w:lang w:val="en-AU"/>
        </w:rPr>
        <w:t xml:space="preserve">. </w:t>
      </w:r>
    </w:p>
    <w:p w14:paraId="2AE99E74" w14:textId="338659E8" w:rsidR="00E01A73" w:rsidRPr="00374F04" w:rsidRDefault="00320857" w:rsidP="00E01A73">
      <w:pPr>
        <w:pStyle w:val="Heading2"/>
        <w:rPr>
          <w:sz w:val="22"/>
        </w:rPr>
      </w:pPr>
      <w:bookmarkStart w:id="37" w:name="_Toc5254921"/>
      <w:r>
        <w:rPr>
          <w:sz w:val="22"/>
        </w:rPr>
        <w:t>S</w:t>
      </w:r>
      <w:r w:rsidR="00E01A73" w:rsidRPr="00374F04">
        <w:rPr>
          <w:sz w:val="22"/>
        </w:rPr>
        <w:t xml:space="preserve">takeholder </w:t>
      </w:r>
      <w:r w:rsidR="004E70FF">
        <w:rPr>
          <w:sz w:val="22"/>
        </w:rPr>
        <w:t>c</w:t>
      </w:r>
      <w:r w:rsidR="00E01A73" w:rsidRPr="00374F04">
        <w:rPr>
          <w:sz w:val="22"/>
        </w:rPr>
        <w:t xml:space="preserve">onsultation and </w:t>
      </w:r>
      <w:r w:rsidR="004E70FF">
        <w:rPr>
          <w:sz w:val="22"/>
        </w:rPr>
        <w:t>e</w:t>
      </w:r>
      <w:r w:rsidR="00E01A73" w:rsidRPr="00374F04">
        <w:rPr>
          <w:sz w:val="22"/>
        </w:rPr>
        <w:t>ngagement</w:t>
      </w:r>
      <w:bookmarkEnd w:id="37"/>
    </w:p>
    <w:tbl>
      <w:tblPr>
        <w:tblStyle w:val="TableGrid"/>
        <w:tblW w:w="0" w:type="auto"/>
        <w:tblLook w:val="04A0" w:firstRow="1" w:lastRow="0" w:firstColumn="1" w:lastColumn="0" w:noHBand="0" w:noVBand="1"/>
      </w:tblPr>
      <w:tblGrid>
        <w:gridCol w:w="9730"/>
      </w:tblGrid>
      <w:tr w:rsidR="00A464C9" w:rsidRPr="00374F04" w14:paraId="528DB492" w14:textId="77777777" w:rsidTr="00C91A6C">
        <w:trPr>
          <w:trHeight w:val="1913"/>
        </w:trPr>
        <w:tc>
          <w:tcPr>
            <w:tcW w:w="9730" w:type="dxa"/>
            <w:shd w:val="clear" w:color="auto" w:fill="E2EAF6"/>
          </w:tcPr>
          <w:p w14:paraId="1A203A98" w14:textId="1E2F21F2" w:rsidR="00F82D0C" w:rsidRPr="00292976" w:rsidRDefault="004E1B1A" w:rsidP="00292976">
            <w:pPr>
              <w:pStyle w:val="Body"/>
              <w:spacing w:before="120" w:after="0" w:line="240" w:lineRule="auto"/>
              <w:jc w:val="both"/>
              <w:rPr>
                <w:rFonts w:eastAsiaTheme="minorEastAsia" w:cstheme="minorHAnsi"/>
                <w:sz w:val="18"/>
                <w:szCs w:val="22"/>
              </w:rPr>
            </w:pPr>
            <w:r w:rsidRPr="00292976">
              <w:rPr>
                <w:rFonts w:eastAsiaTheme="minorEastAsia" w:cstheme="minorHAnsi"/>
                <w:sz w:val="18"/>
                <w:szCs w:val="22"/>
              </w:rPr>
              <w:t>Ministerial Expectation</w:t>
            </w:r>
            <w:r w:rsidR="00DE3092" w:rsidRPr="00292976">
              <w:rPr>
                <w:rFonts w:eastAsiaTheme="minorEastAsia" w:cstheme="minorHAnsi"/>
                <w:sz w:val="18"/>
                <w:szCs w:val="22"/>
              </w:rPr>
              <w:t>s</w:t>
            </w:r>
          </w:p>
          <w:p w14:paraId="690D5C43" w14:textId="60448BAB" w:rsidR="0047725E" w:rsidRPr="00292976" w:rsidRDefault="0047725E" w:rsidP="00893511">
            <w:pPr>
              <w:pStyle w:val="Body"/>
              <w:numPr>
                <w:ilvl w:val="0"/>
                <w:numId w:val="10"/>
              </w:numPr>
              <w:spacing w:before="120" w:after="0" w:line="240" w:lineRule="auto"/>
              <w:jc w:val="both"/>
              <w:rPr>
                <w:rFonts w:eastAsiaTheme="minorEastAsia" w:cstheme="minorHAnsi"/>
                <w:b w:val="0"/>
                <w:sz w:val="18"/>
                <w:szCs w:val="22"/>
              </w:rPr>
            </w:pPr>
            <w:r w:rsidRPr="00292976">
              <w:rPr>
                <w:rFonts w:eastAsiaTheme="minorEastAsia" w:cstheme="minorHAnsi"/>
                <w:b w:val="0"/>
                <w:sz w:val="18"/>
                <w:szCs w:val="22"/>
              </w:rPr>
              <w:t>Consult and engage stakeholders in a coordinated, effective, and clear manner</w:t>
            </w:r>
            <w:r w:rsidR="00F7070A">
              <w:rPr>
                <w:rFonts w:eastAsiaTheme="minorEastAsia" w:cstheme="minorHAnsi"/>
                <w:b w:val="0"/>
                <w:sz w:val="18"/>
                <w:szCs w:val="22"/>
              </w:rPr>
              <w:t>.</w:t>
            </w:r>
          </w:p>
          <w:p w14:paraId="7613A681" w14:textId="72E4CDEA" w:rsidR="0047725E" w:rsidRPr="00292976" w:rsidRDefault="0047725E" w:rsidP="00893511">
            <w:pPr>
              <w:pStyle w:val="Body"/>
              <w:numPr>
                <w:ilvl w:val="0"/>
                <w:numId w:val="10"/>
              </w:numPr>
              <w:spacing w:before="120" w:after="0" w:line="240" w:lineRule="auto"/>
              <w:jc w:val="both"/>
              <w:rPr>
                <w:rFonts w:eastAsiaTheme="minorEastAsia" w:cstheme="minorHAnsi"/>
                <w:b w:val="0"/>
                <w:sz w:val="18"/>
                <w:szCs w:val="22"/>
              </w:rPr>
            </w:pPr>
            <w:r w:rsidRPr="00292976">
              <w:rPr>
                <w:rFonts w:eastAsiaTheme="minorEastAsia" w:cstheme="minorHAnsi"/>
                <w:b w:val="0"/>
                <w:sz w:val="18"/>
                <w:szCs w:val="22"/>
              </w:rPr>
              <w:t>Expect stakeholder feedback on all regulatory reviews</w:t>
            </w:r>
            <w:r w:rsidR="00F7070A">
              <w:rPr>
                <w:rFonts w:eastAsiaTheme="minorEastAsia" w:cstheme="minorHAnsi"/>
                <w:b w:val="0"/>
                <w:sz w:val="18"/>
                <w:szCs w:val="22"/>
              </w:rPr>
              <w:t>.</w:t>
            </w:r>
          </w:p>
          <w:p w14:paraId="7184DEBF" w14:textId="16ED4060" w:rsidR="0047725E" w:rsidRPr="00292976" w:rsidRDefault="0047725E" w:rsidP="00893511">
            <w:pPr>
              <w:pStyle w:val="Body"/>
              <w:numPr>
                <w:ilvl w:val="0"/>
                <w:numId w:val="10"/>
              </w:numPr>
              <w:spacing w:before="120" w:after="0" w:line="240" w:lineRule="auto"/>
              <w:jc w:val="both"/>
              <w:rPr>
                <w:rFonts w:eastAsiaTheme="minorEastAsia" w:cstheme="minorHAnsi"/>
                <w:b w:val="0"/>
                <w:sz w:val="18"/>
                <w:szCs w:val="22"/>
              </w:rPr>
            </w:pPr>
            <w:r w:rsidRPr="00292976">
              <w:rPr>
                <w:rFonts w:eastAsiaTheme="minorEastAsia" w:cstheme="minorHAnsi"/>
                <w:b w:val="0"/>
                <w:sz w:val="18"/>
                <w:szCs w:val="22"/>
              </w:rPr>
              <w:t>Identify areas to strengthen current approaches to stakeholder engagement to assist in future consultation programs</w:t>
            </w:r>
            <w:r w:rsidR="00F7070A">
              <w:rPr>
                <w:rFonts w:eastAsiaTheme="minorEastAsia" w:cstheme="minorHAnsi"/>
                <w:b w:val="0"/>
                <w:sz w:val="18"/>
                <w:szCs w:val="22"/>
              </w:rPr>
              <w:t>.</w:t>
            </w:r>
            <w:r w:rsidRPr="00292976">
              <w:rPr>
                <w:rFonts w:eastAsiaTheme="minorEastAsia" w:cstheme="minorHAnsi"/>
                <w:b w:val="0"/>
                <w:sz w:val="18"/>
                <w:szCs w:val="22"/>
              </w:rPr>
              <w:t xml:space="preserve"> </w:t>
            </w:r>
          </w:p>
          <w:p w14:paraId="6174A292" w14:textId="26CB5155" w:rsidR="00F82D0C" w:rsidRPr="00292976" w:rsidRDefault="0047725E" w:rsidP="00893511">
            <w:pPr>
              <w:pStyle w:val="Body"/>
              <w:numPr>
                <w:ilvl w:val="0"/>
                <w:numId w:val="10"/>
              </w:numPr>
              <w:spacing w:before="120" w:after="0" w:line="240" w:lineRule="auto"/>
              <w:jc w:val="both"/>
              <w:rPr>
                <w:rFonts w:eastAsiaTheme="minorEastAsia" w:cstheme="minorHAnsi"/>
                <w:b w:val="0"/>
                <w:sz w:val="18"/>
                <w:szCs w:val="22"/>
              </w:rPr>
            </w:pPr>
            <w:r w:rsidRPr="00292976">
              <w:rPr>
                <w:rFonts w:eastAsiaTheme="minorEastAsia" w:cstheme="minorHAnsi"/>
                <w:b w:val="0"/>
                <w:sz w:val="18"/>
                <w:szCs w:val="22"/>
              </w:rPr>
              <w:t>Engage stakeholders about reforms on Animal Welfare</w:t>
            </w:r>
            <w:r w:rsidR="00F7070A">
              <w:rPr>
                <w:rFonts w:eastAsiaTheme="minorEastAsia" w:cstheme="minorHAnsi"/>
                <w:b w:val="0"/>
                <w:sz w:val="18"/>
                <w:szCs w:val="22"/>
              </w:rPr>
              <w:t>.</w:t>
            </w:r>
          </w:p>
        </w:tc>
      </w:tr>
      <w:tr w:rsidR="001B4221" w:rsidRPr="00374F04" w14:paraId="116BF26A" w14:textId="77777777" w:rsidTr="00C91A6C">
        <w:trPr>
          <w:trHeight w:val="2683"/>
        </w:trPr>
        <w:tc>
          <w:tcPr>
            <w:tcW w:w="9730" w:type="dxa"/>
            <w:shd w:val="clear" w:color="auto" w:fill="auto"/>
          </w:tcPr>
          <w:p w14:paraId="6EBFBFC6" w14:textId="77777777" w:rsidR="001B4221" w:rsidRPr="00292976" w:rsidRDefault="001B4221" w:rsidP="00292976">
            <w:pPr>
              <w:pStyle w:val="Body"/>
              <w:spacing w:before="120" w:after="0" w:line="240" w:lineRule="auto"/>
              <w:jc w:val="both"/>
              <w:rPr>
                <w:rFonts w:eastAsiaTheme="minorEastAsia" w:cstheme="minorHAnsi"/>
                <w:sz w:val="18"/>
                <w:szCs w:val="22"/>
              </w:rPr>
            </w:pPr>
            <w:r w:rsidRPr="00292976">
              <w:rPr>
                <w:rFonts w:eastAsiaTheme="minorEastAsia" w:cstheme="minorHAnsi"/>
                <w:sz w:val="18"/>
                <w:szCs w:val="22"/>
              </w:rPr>
              <w:t xml:space="preserve">Agriculture Victoria Improvement Response  </w:t>
            </w:r>
          </w:p>
          <w:p w14:paraId="4D2CFC66" w14:textId="77777777" w:rsidR="001B4221" w:rsidRPr="00292976" w:rsidRDefault="001B4221" w:rsidP="00893511">
            <w:pPr>
              <w:pStyle w:val="Body"/>
              <w:numPr>
                <w:ilvl w:val="0"/>
                <w:numId w:val="26"/>
              </w:numPr>
              <w:spacing w:before="120" w:after="0" w:line="240" w:lineRule="auto"/>
              <w:jc w:val="both"/>
              <w:rPr>
                <w:rFonts w:eastAsiaTheme="minorEastAsia" w:cstheme="minorHAnsi"/>
                <w:b w:val="0"/>
                <w:sz w:val="18"/>
                <w:szCs w:val="22"/>
              </w:rPr>
            </w:pPr>
            <w:r w:rsidRPr="00292976">
              <w:rPr>
                <w:rFonts w:eastAsiaTheme="minorEastAsia" w:cstheme="minorHAnsi"/>
                <w:b w:val="0"/>
                <w:sz w:val="18"/>
                <w:szCs w:val="22"/>
              </w:rPr>
              <w:t>Identify and plan opportunities to increase consultation and engagement with key stakeholders (including but not limited to consultative committees, representative bodies, product manufacturers, producers, and exporters) regarding new regulatory reforms.</w:t>
            </w:r>
          </w:p>
          <w:p w14:paraId="51DBBD6E" w14:textId="77777777" w:rsidR="001B4221" w:rsidRPr="00292976" w:rsidRDefault="001B4221" w:rsidP="00893511">
            <w:pPr>
              <w:pStyle w:val="Body"/>
              <w:numPr>
                <w:ilvl w:val="0"/>
                <w:numId w:val="26"/>
              </w:numPr>
              <w:spacing w:before="120" w:after="0" w:line="240" w:lineRule="auto"/>
              <w:jc w:val="both"/>
              <w:rPr>
                <w:rFonts w:eastAsiaTheme="minorEastAsia" w:cstheme="minorHAnsi"/>
                <w:sz w:val="18"/>
                <w:szCs w:val="22"/>
              </w:rPr>
            </w:pPr>
            <w:r w:rsidRPr="00292976">
              <w:rPr>
                <w:rFonts w:eastAsiaTheme="minorEastAsia" w:cstheme="minorHAnsi"/>
                <w:b w:val="0"/>
                <w:sz w:val="18"/>
                <w:szCs w:val="22"/>
              </w:rPr>
              <w:t>Undertake stakeholder consultation on 100% of regulatory reviews.</w:t>
            </w:r>
          </w:p>
          <w:p w14:paraId="75FEFFC5" w14:textId="77777777" w:rsidR="001B4221" w:rsidRPr="00292976" w:rsidRDefault="001B4221" w:rsidP="00893511">
            <w:pPr>
              <w:pStyle w:val="Body"/>
              <w:numPr>
                <w:ilvl w:val="0"/>
                <w:numId w:val="26"/>
              </w:numPr>
              <w:spacing w:before="120" w:after="0" w:line="240" w:lineRule="auto"/>
              <w:jc w:val="both"/>
              <w:rPr>
                <w:rFonts w:eastAsiaTheme="minorEastAsia" w:cstheme="minorHAnsi"/>
                <w:b w:val="0"/>
                <w:sz w:val="18"/>
                <w:szCs w:val="22"/>
              </w:rPr>
            </w:pPr>
            <w:r w:rsidRPr="00292976">
              <w:rPr>
                <w:rFonts w:eastAsiaTheme="minorEastAsia" w:cstheme="minorHAnsi"/>
                <w:b w:val="0"/>
                <w:sz w:val="18"/>
                <w:szCs w:val="22"/>
              </w:rPr>
              <w:t xml:space="preserve">Provide feedback to all parties making submissions on proposed regulatory reviews within two months of the comment period closing. </w:t>
            </w:r>
          </w:p>
          <w:p w14:paraId="50E58D56" w14:textId="52A72E76" w:rsidR="001B4221" w:rsidRPr="00292976" w:rsidRDefault="001B4221" w:rsidP="00893511">
            <w:pPr>
              <w:pStyle w:val="ListParagraph"/>
              <w:numPr>
                <w:ilvl w:val="0"/>
                <w:numId w:val="26"/>
              </w:numPr>
              <w:spacing w:before="120" w:after="0" w:line="240" w:lineRule="auto"/>
              <w:rPr>
                <w:rFonts w:asciiTheme="minorHAnsi" w:eastAsiaTheme="minorEastAsia" w:hAnsiTheme="minorHAnsi" w:cstheme="minorBidi"/>
                <w:i/>
                <w:szCs w:val="22"/>
              </w:rPr>
            </w:pPr>
            <w:r w:rsidRPr="00292976">
              <w:rPr>
                <w:rFonts w:asciiTheme="minorHAnsi" w:eastAsiaTheme="minorEastAsia" w:hAnsiTheme="minorHAnsi" w:cstheme="minorHAnsi"/>
                <w:color w:val="auto"/>
                <w:szCs w:val="22"/>
                <w:lang w:val="en-AU"/>
              </w:rPr>
              <w:t>Engage with stakeholders about reform of Victoria’s animal welfare legislation through written documents and face-to-face consultation.</w:t>
            </w:r>
          </w:p>
        </w:tc>
      </w:tr>
    </w:tbl>
    <w:p w14:paraId="7C9D75E4" w14:textId="551F4021" w:rsidR="002C1315" w:rsidRPr="0066446A" w:rsidRDefault="001E0075" w:rsidP="0066446A">
      <w:pPr>
        <w:pStyle w:val="Heading2"/>
        <w:numPr>
          <w:ilvl w:val="0"/>
          <w:numId w:val="0"/>
        </w:numPr>
        <w:ind w:left="360" w:hanging="360"/>
        <w:rPr>
          <w:rFonts w:asciiTheme="minorHAnsi" w:hAnsiTheme="minorHAnsi" w:cstheme="minorHAnsi"/>
          <w:sz w:val="22"/>
        </w:rPr>
      </w:pPr>
      <w:bookmarkStart w:id="38" w:name="_Toc881049"/>
      <w:bookmarkStart w:id="39" w:name="_Toc5254922"/>
      <w:bookmarkStart w:id="40" w:name="_Hlk528751564"/>
      <w:bookmarkEnd w:id="36"/>
      <w:r w:rsidRPr="001E0075">
        <w:rPr>
          <w:rFonts w:asciiTheme="minorHAnsi" w:hAnsiTheme="minorHAnsi" w:cstheme="minorHAnsi"/>
          <w:sz w:val="22"/>
        </w:rPr>
        <w:t>Key Findings</w:t>
      </w:r>
      <w:bookmarkEnd w:id="38"/>
      <w:bookmarkEnd w:id="39"/>
      <w:r w:rsidRPr="001E0075">
        <w:rPr>
          <w:rFonts w:asciiTheme="minorHAnsi" w:hAnsiTheme="minorHAnsi" w:cstheme="minorHAnsi"/>
          <w:sz w:val="22"/>
        </w:rPr>
        <w:t xml:space="preserve"> </w:t>
      </w:r>
    </w:p>
    <w:p w14:paraId="7A1214B4" w14:textId="0A1640D0" w:rsidR="0077319E" w:rsidRPr="00374F04" w:rsidRDefault="0077319E" w:rsidP="00D702FF">
      <w:pPr>
        <w:spacing w:line="276" w:lineRule="auto"/>
        <w:rPr>
          <w:rFonts w:asciiTheme="minorHAnsi" w:hAnsiTheme="minorHAnsi" w:cstheme="minorHAnsi"/>
          <w:sz w:val="20"/>
          <w:szCs w:val="22"/>
          <w:lang w:val="en-AU"/>
        </w:rPr>
      </w:pPr>
      <w:r w:rsidRPr="00374F04">
        <w:rPr>
          <w:rFonts w:asciiTheme="minorHAnsi" w:hAnsiTheme="minorHAnsi" w:cstheme="minorHAnsi"/>
          <w:iCs/>
          <w:sz w:val="20"/>
          <w:szCs w:val="22"/>
          <w:lang w:val="en-GB"/>
        </w:rPr>
        <w:t xml:space="preserve">Agriculture Victoria has overseen several high-level consultations relating to significant regulatory reform initiatives. Of </w:t>
      </w:r>
      <w:r w:rsidR="009B378D">
        <w:rPr>
          <w:rFonts w:asciiTheme="minorHAnsi" w:hAnsiTheme="minorHAnsi" w:cstheme="minorHAnsi"/>
          <w:iCs/>
          <w:sz w:val="20"/>
          <w:szCs w:val="22"/>
          <w:lang w:val="en-GB"/>
        </w:rPr>
        <w:t>note</w:t>
      </w:r>
      <w:r w:rsidR="009B378D" w:rsidRPr="00374F04">
        <w:rPr>
          <w:rFonts w:asciiTheme="minorHAnsi" w:hAnsiTheme="minorHAnsi" w:cstheme="minorHAnsi"/>
          <w:iCs/>
          <w:sz w:val="20"/>
          <w:szCs w:val="22"/>
          <w:lang w:val="en-GB"/>
        </w:rPr>
        <w:t xml:space="preserve"> </w:t>
      </w:r>
      <w:r w:rsidRPr="00374F04">
        <w:rPr>
          <w:rFonts w:asciiTheme="minorHAnsi" w:hAnsiTheme="minorHAnsi" w:cstheme="minorHAnsi"/>
          <w:iCs/>
          <w:sz w:val="20"/>
          <w:szCs w:val="22"/>
          <w:lang w:val="en-GB"/>
        </w:rPr>
        <w:t xml:space="preserve">is the consultation </w:t>
      </w:r>
      <w:r w:rsidR="009B378D">
        <w:rPr>
          <w:rFonts w:asciiTheme="minorHAnsi" w:hAnsiTheme="minorHAnsi" w:cstheme="minorHAnsi"/>
          <w:iCs/>
          <w:sz w:val="20"/>
          <w:szCs w:val="22"/>
          <w:lang w:val="en-GB"/>
        </w:rPr>
        <w:t xml:space="preserve">that was </w:t>
      </w:r>
      <w:r w:rsidRPr="00374F04">
        <w:rPr>
          <w:rFonts w:asciiTheme="minorHAnsi" w:hAnsiTheme="minorHAnsi" w:cstheme="minorHAnsi"/>
          <w:iCs/>
          <w:sz w:val="20"/>
          <w:szCs w:val="22"/>
          <w:lang w:val="en-GB"/>
        </w:rPr>
        <w:t xml:space="preserve">undertaken with over 200 representatives from diverse </w:t>
      </w:r>
      <w:r w:rsidR="00F2695F">
        <w:rPr>
          <w:rFonts w:asciiTheme="minorHAnsi" w:hAnsiTheme="minorHAnsi" w:cstheme="minorHAnsi"/>
          <w:iCs/>
          <w:sz w:val="20"/>
          <w:szCs w:val="22"/>
          <w:lang w:val="en-GB"/>
        </w:rPr>
        <w:t>groups to develop Victoria’s first Animal Welfare Action Plan</w:t>
      </w:r>
      <w:r w:rsidR="002C1315">
        <w:rPr>
          <w:rFonts w:asciiTheme="minorHAnsi" w:hAnsiTheme="minorHAnsi" w:cstheme="minorHAnsi"/>
          <w:iCs/>
          <w:sz w:val="20"/>
          <w:szCs w:val="22"/>
          <w:lang w:val="en-GB"/>
        </w:rPr>
        <w:t>. Th</w:t>
      </w:r>
      <w:r w:rsidR="009B378D">
        <w:rPr>
          <w:rFonts w:asciiTheme="minorHAnsi" w:hAnsiTheme="minorHAnsi" w:cstheme="minorHAnsi"/>
          <w:iCs/>
          <w:sz w:val="20"/>
          <w:szCs w:val="22"/>
          <w:lang w:val="en-GB"/>
        </w:rPr>
        <w:t>is</w:t>
      </w:r>
      <w:r w:rsidR="002C1315">
        <w:rPr>
          <w:rFonts w:asciiTheme="minorHAnsi" w:hAnsiTheme="minorHAnsi" w:cstheme="minorHAnsi"/>
          <w:iCs/>
          <w:sz w:val="20"/>
          <w:szCs w:val="22"/>
          <w:lang w:val="en-GB"/>
        </w:rPr>
        <w:t xml:space="preserve"> consultation</w:t>
      </w:r>
      <w:r w:rsidRPr="00374F04">
        <w:rPr>
          <w:rFonts w:asciiTheme="minorHAnsi" w:hAnsiTheme="minorHAnsi" w:cstheme="minorHAnsi"/>
          <w:iCs/>
          <w:sz w:val="20"/>
          <w:szCs w:val="22"/>
          <w:lang w:val="en-GB"/>
        </w:rPr>
        <w:t xml:space="preserve"> included representatives from agriculture groups, veterinary and professional associations, recreation and sports groups, local governments, enforcement agencies, animal welfare </w:t>
      </w:r>
      <w:r w:rsidRPr="00374F04">
        <w:rPr>
          <w:rFonts w:asciiTheme="minorHAnsi" w:hAnsiTheme="minorHAnsi" w:cstheme="minorHAnsi"/>
          <w:iCs/>
          <w:sz w:val="20"/>
          <w:szCs w:val="22"/>
          <w:lang w:val="en-GB"/>
        </w:rPr>
        <w:lastRenderedPageBreak/>
        <w:t xml:space="preserve">organisations </w:t>
      </w:r>
      <w:r w:rsidR="009A4DE5">
        <w:rPr>
          <w:rFonts w:asciiTheme="minorHAnsi" w:hAnsiTheme="minorHAnsi" w:cstheme="minorHAnsi"/>
          <w:iCs/>
          <w:sz w:val="20"/>
          <w:szCs w:val="22"/>
          <w:lang w:val="en-GB"/>
        </w:rPr>
        <w:t>covering</w:t>
      </w:r>
      <w:r w:rsidR="009A4DE5" w:rsidRPr="00374F04">
        <w:rPr>
          <w:rFonts w:asciiTheme="minorHAnsi" w:hAnsiTheme="minorHAnsi" w:cstheme="minorHAnsi"/>
          <w:iCs/>
          <w:sz w:val="20"/>
          <w:szCs w:val="22"/>
          <w:lang w:val="en-GB"/>
        </w:rPr>
        <w:t xml:space="preserve"> </w:t>
      </w:r>
      <w:r w:rsidR="009A4DE5">
        <w:rPr>
          <w:rFonts w:asciiTheme="minorHAnsi" w:hAnsiTheme="minorHAnsi" w:cstheme="minorHAnsi"/>
          <w:iCs/>
          <w:sz w:val="20"/>
          <w:szCs w:val="22"/>
          <w:lang w:val="en-GB"/>
        </w:rPr>
        <w:t xml:space="preserve">domestic </w:t>
      </w:r>
      <w:r w:rsidRPr="00374F04">
        <w:rPr>
          <w:rFonts w:asciiTheme="minorHAnsi" w:hAnsiTheme="minorHAnsi" w:cstheme="minorHAnsi"/>
          <w:iCs/>
          <w:sz w:val="20"/>
          <w:szCs w:val="22"/>
          <w:lang w:val="en-GB"/>
        </w:rPr>
        <w:t>pets</w:t>
      </w:r>
      <w:r w:rsidR="009A4DE5">
        <w:rPr>
          <w:rFonts w:asciiTheme="minorHAnsi" w:hAnsiTheme="minorHAnsi" w:cstheme="minorHAnsi"/>
          <w:iCs/>
          <w:sz w:val="20"/>
          <w:szCs w:val="22"/>
          <w:lang w:val="en-GB"/>
        </w:rPr>
        <w:t>,</w:t>
      </w:r>
      <w:r w:rsidRPr="00374F04">
        <w:rPr>
          <w:rFonts w:asciiTheme="minorHAnsi" w:hAnsiTheme="minorHAnsi" w:cstheme="minorHAnsi"/>
          <w:iCs/>
          <w:sz w:val="20"/>
          <w:szCs w:val="22"/>
          <w:lang w:val="en-GB"/>
        </w:rPr>
        <w:t xml:space="preserve"> </w:t>
      </w:r>
      <w:r w:rsidR="006E15BB">
        <w:rPr>
          <w:rFonts w:asciiTheme="minorHAnsi" w:hAnsiTheme="minorHAnsi" w:cstheme="minorHAnsi"/>
          <w:iCs/>
          <w:sz w:val="20"/>
          <w:szCs w:val="22"/>
          <w:lang w:val="en-GB"/>
        </w:rPr>
        <w:t xml:space="preserve">horses and wildlife. </w:t>
      </w:r>
      <w:r w:rsidR="009B378D">
        <w:rPr>
          <w:rFonts w:asciiTheme="minorHAnsi" w:hAnsiTheme="minorHAnsi" w:cstheme="minorHAnsi"/>
          <w:iCs/>
          <w:sz w:val="20"/>
          <w:szCs w:val="22"/>
          <w:lang w:val="en-GB"/>
        </w:rPr>
        <w:t>The information gathered</w:t>
      </w:r>
      <w:r w:rsidRPr="00374F04">
        <w:rPr>
          <w:rFonts w:asciiTheme="minorHAnsi" w:hAnsiTheme="minorHAnsi" w:cstheme="minorHAnsi"/>
          <w:sz w:val="20"/>
          <w:szCs w:val="22"/>
          <w:lang w:val="en-GB"/>
        </w:rPr>
        <w:t xml:space="preserve"> from this consultation </w:t>
      </w:r>
      <w:r w:rsidR="006E15BB">
        <w:rPr>
          <w:rFonts w:asciiTheme="minorHAnsi" w:hAnsiTheme="minorHAnsi" w:cstheme="minorHAnsi"/>
          <w:sz w:val="20"/>
          <w:szCs w:val="22"/>
          <w:lang w:val="en-GB"/>
        </w:rPr>
        <w:t xml:space="preserve">process </w:t>
      </w:r>
      <w:r w:rsidRPr="00374F04">
        <w:rPr>
          <w:rFonts w:asciiTheme="minorHAnsi" w:hAnsiTheme="minorHAnsi" w:cstheme="minorHAnsi"/>
          <w:sz w:val="20"/>
          <w:szCs w:val="22"/>
          <w:lang w:val="en-GB"/>
        </w:rPr>
        <w:t xml:space="preserve">will help inform the reform and modernisation of Victoria’s animal welfare legislation. </w:t>
      </w:r>
    </w:p>
    <w:p w14:paraId="22B14430" w14:textId="1965ADAB" w:rsidR="0077319E" w:rsidRPr="00374F04" w:rsidRDefault="0077319E" w:rsidP="00D702FF">
      <w:pPr>
        <w:spacing w:line="276" w:lineRule="auto"/>
        <w:rPr>
          <w:rFonts w:asciiTheme="minorHAnsi" w:hAnsiTheme="minorHAnsi" w:cstheme="minorHAnsi"/>
          <w:sz w:val="20"/>
          <w:szCs w:val="22"/>
          <w:lang w:val="en-AU"/>
        </w:rPr>
      </w:pPr>
      <w:r w:rsidRPr="00374F04">
        <w:rPr>
          <w:rFonts w:asciiTheme="minorHAnsi" w:hAnsiTheme="minorHAnsi" w:cstheme="minorHAnsi"/>
          <w:sz w:val="20"/>
          <w:szCs w:val="22"/>
          <w:lang w:val="en-AU"/>
        </w:rPr>
        <w:t xml:space="preserve">Animal Welfare Victoria </w:t>
      </w:r>
      <w:r w:rsidR="006E15BB">
        <w:rPr>
          <w:rFonts w:asciiTheme="minorHAnsi" w:hAnsiTheme="minorHAnsi" w:cstheme="minorHAnsi"/>
          <w:sz w:val="20"/>
          <w:szCs w:val="22"/>
          <w:lang w:val="en-AU"/>
        </w:rPr>
        <w:t xml:space="preserve">also </w:t>
      </w:r>
      <w:r w:rsidRPr="00374F04">
        <w:rPr>
          <w:rFonts w:asciiTheme="minorHAnsi" w:hAnsiTheme="minorHAnsi" w:cstheme="minorHAnsi"/>
          <w:sz w:val="20"/>
          <w:szCs w:val="22"/>
          <w:lang w:val="en-AU"/>
        </w:rPr>
        <w:t xml:space="preserve">undertook targeted stakeholder </w:t>
      </w:r>
      <w:r w:rsidR="009B378D">
        <w:rPr>
          <w:rFonts w:asciiTheme="minorHAnsi" w:hAnsiTheme="minorHAnsi" w:cstheme="minorHAnsi"/>
          <w:sz w:val="20"/>
          <w:szCs w:val="22"/>
          <w:lang w:val="en-AU"/>
        </w:rPr>
        <w:t>consultation</w:t>
      </w:r>
      <w:r w:rsidR="009B378D" w:rsidRPr="00374F04">
        <w:rPr>
          <w:rFonts w:asciiTheme="minorHAnsi" w:hAnsiTheme="minorHAnsi" w:cstheme="minorHAnsi"/>
          <w:sz w:val="20"/>
          <w:szCs w:val="22"/>
          <w:lang w:val="en-AU"/>
        </w:rPr>
        <w:t xml:space="preserve"> </w:t>
      </w:r>
      <w:r w:rsidRPr="00374F04">
        <w:rPr>
          <w:rFonts w:asciiTheme="minorHAnsi" w:hAnsiTheme="minorHAnsi" w:cstheme="minorHAnsi"/>
          <w:sz w:val="20"/>
          <w:szCs w:val="22"/>
          <w:lang w:val="en-AU"/>
        </w:rPr>
        <w:t xml:space="preserve">to gather information to assist in reviewing the </w:t>
      </w:r>
      <w:r w:rsidR="006E15BB" w:rsidRPr="006E15BB">
        <w:rPr>
          <w:rFonts w:asciiTheme="minorHAnsi" w:hAnsiTheme="minorHAnsi" w:cstheme="minorHAnsi"/>
          <w:i/>
          <w:iCs/>
          <w:sz w:val="20"/>
          <w:szCs w:val="22"/>
        </w:rPr>
        <w:t xml:space="preserve">Prevention of Cruelty to Animals </w:t>
      </w:r>
      <w:r w:rsidR="00F2695F">
        <w:rPr>
          <w:rFonts w:asciiTheme="minorHAnsi" w:hAnsiTheme="minorHAnsi" w:cstheme="minorHAnsi"/>
          <w:i/>
          <w:iCs/>
          <w:sz w:val="20"/>
          <w:szCs w:val="22"/>
        </w:rPr>
        <w:t>Act 1986</w:t>
      </w:r>
      <w:r w:rsidRPr="00374F04">
        <w:rPr>
          <w:rFonts w:asciiTheme="minorHAnsi" w:hAnsiTheme="minorHAnsi" w:cstheme="minorHAnsi"/>
          <w:sz w:val="20"/>
          <w:szCs w:val="22"/>
          <w:lang w:val="en-AU"/>
        </w:rPr>
        <w:t>. Consultations took place over four weeks and information from stakeholders was received via fourteen face-to-face meetings, twelve teleconferences, three paper surveys, three e-mail</w:t>
      </w:r>
      <w:r w:rsidR="009A4DE5">
        <w:rPr>
          <w:rFonts w:asciiTheme="minorHAnsi" w:hAnsiTheme="minorHAnsi" w:cstheme="minorHAnsi"/>
          <w:sz w:val="20"/>
          <w:szCs w:val="22"/>
          <w:lang w:val="en-AU"/>
        </w:rPr>
        <w:t xml:space="preserve"> campaign</w:t>
      </w:r>
      <w:r w:rsidRPr="00374F04">
        <w:rPr>
          <w:rFonts w:asciiTheme="minorHAnsi" w:hAnsiTheme="minorHAnsi" w:cstheme="minorHAnsi"/>
          <w:sz w:val="20"/>
          <w:szCs w:val="22"/>
          <w:lang w:val="en-AU"/>
        </w:rPr>
        <w:t>s</w:t>
      </w:r>
      <w:r w:rsidR="009B378D">
        <w:rPr>
          <w:rFonts w:asciiTheme="minorHAnsi" w:hAnsiTheme="minorHAnsi" w:cstheme="minorHAnsi"/>
          <w:sz w:val="20"/>
          <w:szCs w:val="22"/>
          <w:lang w:val="en-AU"/>
        </w:rPr>
        <w:t xml:space="preserve"> and the</w:t>
      </w:r>
      <w:r w:rsidR="002006E7">
        <w:rPr>
          <w:rFonts w:asciiTheme="minorHAnsi" w:hAnsiTheme="minorHAnsi" w:cstheme="minorHAnsi"/>
          <w:sz w:val="20"/>
          <w:szCs w:val="22"/>
          <w:lang w:val="en-AU"/>
        </w:rPr>
        <w:t xml:space="preserve"> </w:t>
      </w:r>
      <w:r w:rsidR="009A4DE5">
        <w:rPr>
          <w:rFonts w:asciiTheme="minorHAnsi" w:hAnsiTheme="minorHAnsi" w:cstheme="minorHAnsi"/>
          <w:sz w:val="20"/>
          <w:szCs w:val="22"/>
          <w:lang w:val="en-AU"/>
        </w:rPr>
        <w:t>use of</w:t>
      </w:r>
      <w:r w:rsidRPr="00374F04">
        <w:rPr>
          <w:rFonts w:asciiTheme="minorHAnsi" w:hAnsiTheme="minorHAnsi" w:cstheme="minorHAnsi"/>
          <w:sz w:val="20"/>
          <w:szCs w:val="22"/>
          <w:lang w:val="en-AU"/>
        </w:rPr>
        <w:t xml:space="preserve"> online questionnaires</w:t>
      </w:r>
      <w:r w:rsidR="009B378D">
        <w:rPr>
          <w:rFonts w:asciiTheme="minorHAnsi" w:hAnsiTheme="minorHAnsi" w:cstheme="minorHAnsi"/>
          <w:sz w:val="20"/>
          <w:szCs w:val="22"/>
          <w:lang w:val="en-AU"/>
        </w:rPr>
        <w:t xml:space="preserve">.  Feedback was received from 62 organisations or individuals. </w:t>
      </w:r>
    </w:p>
    <w:p w14:paraId="3E93FE69" w14:textId="37DAC7BC" w:rsidR="0066446A" w:rsidRPr="00374F04" w:rsidRDefault="0077319E" w:rsidP="00D702FF">
      <w:pPr>
        <w:spacing w:line="276" w:lineRule="auto"/>
        <w:rPr>
          <w:rFonts w:asciiTheme="minorHAnsi" w:hAnsiTheme="minorHAnsi" w:cstheme="minorHAnsi"/>
          <w:sz w:val="20"/>
          <w:szCs w:val="22"/>
          <w:lang w:val="en-AU"/>
        </w:rPr>
      </w:pPr>
      <w:r w:rsidRPr="00374F04">
        <w:rPr>
          <w:rFonts w:asciiTheme="minorHAnsi" w:hAnsiTheme="minorHAnsi" w:cstheme="minorHAnsi"/>
          <w:sz w:val="20"/>
          <w:szCs w:val="22"/>
          <w:lang w:val="en-AU"/>
        </w:rPr>
        <w:t xml:space="preserve">Agriculture Victoria </w:t>
      </w:r>
      <w:r w:rsidR="009B378D">
        <w:rPr>
          <w:rFonts w:asciiTheme="minorHAnsi" w:hAnsiTheme="minorHAnsi" w:cstheme="minorHAnsi"/>
          <w:sz w:val="20"/>
          <w:szCs w:val="22"/>
          <w:lang w:val="en-AU"/>
        </w:rPr>
        <w:t xml:space="preserve">also </w:t>
      </w:r>
      <w:r w:rsidRPr="00374F04">
        <w:rPr>
          <w:rFonts w:asciiTheme="minorHAnsi" w:hAnsiTheme="minorHAnsi" w:cstheme="minorHAnsi"/>
          <w:sz w:val="20"/>
          <w:szCs w:val="22"/>
          <w:lang w:val="en-AU"/>
        </w:rPr>
        <w:t>consult</w:t>
      </w:r>
      <w:r w:rsidR="002006E7">
        <w:rPr>
          <w:rFonts w:asciiTheme="minorHAnsi" w:hAnsiTheme="minorHAnsi" w:cstheme="minorHAnsi"/>
          <w:sz w:val="20"/>
          <w:szCs w:val="22"/>
          <w:lang w:val="en-AU"/>
        </w:rPr>
        <w:t>ed</w:t>
      </w:r>
      <w:r w:rsidRPr="00374F04">
        <w:rPr>
          <w:rFonts w:asciiTheme="minorHAnsi" w:hAnsiTheme="minorHAnsi" w:cstheme="minorHAnsi"/>
          <w:sz w:val="20"/>
          <w:szCs w:val="22"/>
          <w:lang w:val="en-AU"/>
        </w:rPr>
        <w:t xml:space="preserve"> with the following stakeholder groups on regulatory reform initiatives: </w:t>
      </w:r>
    </w:p>
    <w:p w14:paraId="708C2B4D" w14:textId="77777777" w:rsidR="0077319E" w:rsidRPr="006E15BB" w:rsidRDefault="0077319E" w:rsidP="00893511">
      <w:pPr>
        <w:pStyle w:val="ListParagraph"/>
        <w:numPr>
          <w:ilvl w:val="0"/>
          <w:numId w:val="36"/>
        </w:numPr>
        <w:spacing w:line="276" w:lineRule="auto"/>
        <w:rPr>
          <w:rFonts w:asciiTheme="minorHAnsi" w:hAnsiTheme="minorHAnsi" w:cstheme="minorHAnsi"/>
          <w:i/>
          <w:sz w:val="20"/>
          <w:szCs w:val="22"/>
          <w:lang w:val="en-AU"/>
        </w:rPr>
      </w:pPr>
      <w:r w:rsidRPr="006E15BB">
        <w:rPr>
          <w:rFonts w:asciiTheme="minorHAnsi" w:hAnsiTheme="minorHAnsi" w:cstheme="minorHAnsi"/>
          <w:i/>
          <w:sz w:val="20"/>
          <w:szCs w:val="22"/>
          <w:lang w:val="en-AU"/>
        </w:rPr>
        <w:t>Domestic Animals Amendment (Puppy Farms and Pet Shops) Bill 2016</w:t>
      </w:r>
    </w:p>
    <w:p w14:paraId="03C571DD" w14:textId="116999D4" w:rsidR="0077319E" w:rsidRPr="009B378D" w:rsidRDefault="0077319E" w:rsidP="009B378D">
      <w:pPr>
        <w:numPr>
          <w:ilvl w:val="0"/>
          <w:numId w:val="21"/>
        </w:numPr>
        <w:spacing w:line="240" w:lineRule="auto"/>
        <w:rPr>
          <w:rFonts w:asciiTheme="minorHAnsi" w:hAnsiTheme="minorHAnsi" w:cstheme="minorHAnsi"/>
          <w:sz w:val="20"/>
          <w:szCs w:val="22"/>
          <w:lang w:val="en-AU"/>
        </w:rPr>
      </w:pPr>
      <w:r w:rsidRPr="009B378D">
        <w:rPr>
          <w:rFonts w:asciiTheme="minorHAnsi" w:hAnsiTheme="minorHAnsi" w:cstheme="minorHAnsi"/>
          <w:sz w:val="20"/>
          <w:szCs w:val="22"/>
          <w:lang w:val="en-AU"/>
        </w:rPr>
        <w:t>42 stakeholder meetings held by the Department/Minister for Agriculture between</w:t>
      </w:r>
      <w:r w:rsidR="009B378D" w:rsidRPr="009B378D">
        <w:rPr>
          <w:rFonts w:asciiTheme="minorHAnsi" w:hAnsiTheme="minorHAnsi" w:cstheme="minorHAnsi"/>
          <w:sz w:val="20"/>
          <w:szCs w:val="22"/>
          <w:lang w:val="en-AU"/>
        </w:rPr>
        <w:t xml:space="preserve"> the</w:t>
      </w:r>
      <w:r w:rsidRPr="009B378D">
        <w:rPr>
          <w:rFonts w:asciiTheme="minorHAnsi" w:hAnsiTheme="minorHAnsi" w:cstheme="minorHAnsi"/>
          <w:sz w:val="20"/>
          <w:szCs w:val="22"/>
          <w:lang w:val="en-AU"/>
        </w:rPr>
        <w:t xml:space="preserve"> introduction of the legislation and </w:t>
      </w:r>
      <w:r w:rsidR="009B378D" w:rsidRPr="00705A16">
        <w:rPr>
          <w:rFonts w:asciiTheme="minorHAnsi" w:hAnsiTheme="minorHAnsi" w:cstheme="minorHAnsi"/>
          <w:sz w:val="20"/>
          <w:szCs w:val="22"/>
          <w:lang w:val="en-AU"/>
        </w:rPr>
        <w:t xml:space="preserve">when the </w:t>
      </w:r>
      <w:r w:rsidRPr="00705A16">
        <w:rPr>
          <w:rFonts w:asciiTheme="minorHAnsi" w:hAnsiTheme="minorHAnsi" w:cstheme="minorHAnsi"/>
          <w:sz w:val="20"/>
          <w:szCs w:val="22"/>
          <w:lang w:val="en-AU"/>
        </w:rPr>
        <w:t xml:space="preserve">house amendment </w:t>
      </w:r>
      <w:r w:rsidR="009B378D" w:rsidRPr="00705A16">
        <w:rPr>
          <w:rFonts w:asciiTheme="minorHAnsi" w:hAnsiTheme="minorHAnsi" w:cstheme="minorHAnsi"/>
          <w:sz w:val="20"/>
          <w:szCs w:val="22"/>
          <w:lang w:val="en-AU"/>
        </w:rPr>
        <w:t xml:space="preserve">was </w:t>
      </w:r>
      <w:r w:rsidRPr="00705A16">
        <w:rPr>
          <w:rFonts w:asciiTheme="minorHAnsi" w:hAnsiTheme="minorHAnsi" w:cstheme="minorHAnsi"/>
          <w:sz w:val="20"/>
          <w:szCs w:val="22"/>
          <w:lang w:val="en-AU"/>
        </w:rPr>
        <w:t>introduced.</w:t>
      </w:r>
      <w:r w:rsidR="009B378D" w:rsidRPr="00705A16">
        <w:rPr>
          <w:rFonts w:asciiTheme="minorHAnsi" w:hAnsiTheme="minorHAnsi" w:cstheme="minorHAnsi"/>
          <w:sz w:val="20"/>
          <w:szCs w:val="22"/>
          <w:lang w:val="en-AU"/>
        </w:rPr>
        <w:t xml:space="preserve"> </w:t>
      </w:r>
      <w:r w:rsidRPr="009B378D">
        <w:rPr>
          <w:rFonts w:asciiTheme="minorHAnsi" w:hAnsiTheme="minorHAnsi" w:cstheme="minorHAnsi"/>
          <w:sz w:val="20"/>
          <w:szCs w:val="22"/>
          <w:lang w:val="en-AU"/>
        </w:rPr>
        <w:t xml:space="preserve">Over 25 stakeholders </w:t>
      </w:r>
      <w:r w:rsidR="009B378D">
        <w:rPr>
          <w:rFonts w:asciiTheme="minorHAnsi" w:hAnsiTheme="minorHAnsi" w:cstheme="minorHAnsi"/>
          <w:sz w:val="20"/>
          <w:szCs w:val="22"/>
          <w:lang w:val="en-AU"/>
        </w:rPr>
        <w:t xml:space="preserve">were </w:t>
      </w:r>
      <w:r w:rsidRPr="009B378D">
        <w:rPr>
          <w:rFonts w:asciiTheme="minorHAnsi" w:hAnsiTheme="minorHAnsi" w:cstheme="minorHAnsi"/>
          <w:sz w:val="20"/>
          <w:szCs w:val="22"/>
          <w:lang w:val="en-AU"/>
        </w:rPr>
        <w:t xml:space="preserve">consulted. </w:t>
      </w:r>
    </w:p>
    <w:p w14:paraId="48516C26" w14:textId="7CBF9240" w:rsidR="0077319E" w:rsidRDefault="0077319E" w:rsidP="00893511">
      <w:pPr>
        <w:numPr>
          <w:ilvl w:val="0"/>
          <w:numId w:val="21"/>
        </w:numPr>
        <w:spacing w:line="240" w:lineRule="auto"/>
        <w:rPr>
          <w:rFonts w:asciiTheme="minorHAnsi" w:hAnsiTheme="minorHAnsi" w:cstheme="minorHAnsi"/>
          <w:sz w:val="20"/>
          <w:szCs w:val="22"/>
          <w:lang w:val="en-AU"/>
        </w:rPr>
      </w:pPr>
      <w:r w:rsidRPr="00374F04">
        <w:rPr>
          <w:rFonts w:asciiTheme="minorHAnsi" w:hAnsiTheme="minorHAnsi" w:cstheme="minorHAnsi"/>
          <w:sz w:val="20"/>
          <w:szCs w:val="22"/>
          <w:lang w:val="en-AU"/>
        </w:rPr>
        <w:t>Following introduction and passing of legislation, consultation feedback was emailed to consultation participants and every council officer (</w:t>
      </w:r>
      <w:r w:rsidR="009B378D">
        <w:rPr>
          <w:rFonts w:asciiTheme="minorHAnsi" w:hAnsiTheme="minorHAnsi" w:cstheme="minorHAnsi"/>
          <w:sz w:val="20"/>
          <w:szCs w:val="22"/>
          <w:lang w:val="en-AU"/>
        </w:rPr>
        <w:t>approximately</w:t>
      </w:r>
      <w:r w:rsidR="009B378D" w:rsidRPr="00374F04">
        <w:rPr>
          <w:rFonts w:asciiTheme="minorHAnsi" w:hAnsiTheme="minorHAnsi" w:cstheme="minorHAnsi"/>
          <w:sz w:val="20"/>
          <w:szCs w:val="22"/>
          <w:lang w:val="en-AU"/>
        </w:rPr>
        <w:t xml:space="preserve"> </w:t>
      </w:r>
      <w:r w:rsidRPr="00374F04">
        <w:rPr>
          <w:rFonts w:asciiTheme="minorHAnsi" w:hAnsiTheme="minorHAnsi" w:cstheme="minorHAnsi"/>
          <w:sz w:val="20"/>
          <w:szCs w:val="22"/>
          <w:lang w:val="en-AU"/>
        </w:rPr>
        <w:t>400) and every known C</w:t>
      </w:r>
      <w:r w:rsidR="009B378D">
        <w:rPr>
          <w:rFonts w:asciiTheme="minorHAnsi" w:hAnsiTheme="minorHAnsi" w:cstheme="minorHAnsi"/>
          <w:sz w:val="20"/>
          <w:szCs w:val="22"/>
          <w:lang w:val="en-AU"/>
        </w:rPr>
        <w:t xml:space="preserve">ommunity </w:t>
      </w:r>
      <w:r w:rsidRPr="00374F04">
        <w:rPr>
          <w:rFonts w:asciiTheme="minorHAnsi" w:hAnsiTheme="minorHAnsi" w:cstheme="minorHAnsi"/>
          <w:sz w:val="20"/>
          <w:szCs w:val="22"/>
          <w:lang w:val="en-AU"/>
        </w:rPr>
        <w:t>F</w:t>
      </w:r>
      <w:r w:rsidR="009B378D">
        <w:rPr>
          <w:rFonts w:asciiTheme="minorHAnsi" w:hAnsiTheme="minorHAnsi" w:cstheme="minorHAnsi"/>
          <w:sz w:val="20"/>
          <w:szCs w:val="22"/>
          <w:lang w:val="en-AU"/>
        </w:rPr>
        <w:t xml:space="preserve">oster </w:t>
      </w:r>
      <w:r w:rsidRPr="00374F04">
        <w:rPr>
          <w:rFonts w:asciiTheme="minorHAnsi" w:hAnsiTheme="minorHAnsi" w:cstheme="minorHAnsi"/>
          <w:sz w:val="20"/>
          <w:szCs w:val="22"/>
          <w:lang w:val="en-AU"/>
        </w:rPr>
        <w:t>C</w:t>
      </w:r>
      <w:r w:rsidR="009B378D">
        <w:rPr>
          <w:rFonts w:asciiTheme="minorHAnsi" w:hAnsiTheme="minorHAnsi" w:cstheme="minorHAnsi"/>
          <w:sz w:val="20"/>
          <w:szCs w:val="22"/>
          <w:lang w:val="en-AU"/>
        </w:rPr>
        <w:t xml:space="preserve">are </w:t>
      </w:r>
      <w:r w:rsidRPr="00374F04">
        <w:rPr>
          <w:rFonts w:asciiTheme="minorHAnsi" w:hAnsiTheme="minorHAnsi" w:cstheme="minorHAnsi"/>
          <w:sz w:val="20"/>
          <w:szCs w:val="22"/>
          <w:lang w:val="en-AU"/>
        </w:rPr>
        <w:t>N</w:t>
      </w:r>
      <w:r w:rsidR="009B378D">
        <w:rPr>
          <w:rFonts w:asciiTheme="minorHAnsi" w:hAnsiTheme="minorHAnsi" w:cstheme="minorHAnsi"/>
          <w:sz w:val="20"/>
          <w:szCs w:val="22"/>
          <w:lang w:val="en-AU"/>
        </w:rPr>
        <w:t>etwork participant</w:t>
      </w:r>
      <w:r w:rsidRPr="00374F04">
        <w:rPr>
          <w:rFonts w:asciiTheme="minorHAnsi" w:hAnsiTheme="minorHAnsi" w:cstheme="minorHAnsi"/>
          <w:sz w:val="20"/>
          <w:szCs w:val="22"/>
          <w:lang w:val="en-AU"/>
        </w:rPr>
        <w:t xml:space="preserve"> (</w:t>
      </w:r>
      <w:r w:rsidR="009B378D" w:rsidRPr="00374F04">
        <w:rPr>
          <w:rFonts w:asciiTheme="minorHAnsi" w:hAnsiTheme="minorHAnsi" w:cstheme="minorHAnsi"/>
          <w:sz w:val="20"/>
          <w:szCs w:val="22"/>
          <w:lang w:val="en-AU"/>
        </w:rPr>
        <w:t>a</w:t>
      </w:r>
      <w:r w:rsidR="009B378D">
        <w:rPr>
          <w:rFonts w:asciiTheme="minorHAnsi" w:hAnsiTheme="minorHAnsi" w:cstheme="minorHAnsi"/>
          <w:sz w:val="20"/>
          <w:szCs w:val="22"/>
          <w:lang w:val="en-AU"/>
        </w:rPr>
        <w:t xml:space="preserve">pproximately </w:t>
      </w:r>
      <w:r w:rsidRPr="00374F04">
        <w:rPr>
          <w:rFonts w:asciiTheme="minorHAnsi" w:hAnsiTheme="minorHAnsi" w:cstheme="minorHAnsi"/>
          <w:sz w:val="20"/>
          <w:szCs w:val="22"/>
          <w:lang w:val="en-AU"/>
        </w:rPr>
        <w:t>200).</w:t>
      </w:r>
    </w:p>
    <w:p w14:paraId="76AED787" w14:textId="77777777" w:rsidR="0077319E" w:rsidRPr="006E15BB" w:rsidRDefault="0077319E" w:rsidP="00893511">
      <w:pPr>
        <w:pStyle w:val="ListParagraph"/>
        <w:numPr>
          <w:ilvl w:val="0"/>
          <w:numId w:val="36"/>
        </w:numPr>
        <w:spacing w:line="276" w:lineRule="auto"/>
        <w:rPr>
          <w:rFonts w:asciiTheme="minorHAnsi" w:hAnsiTheme="minorHAnsi" w:cstheme="minorHAnsi"/>
          <w:i/>
          <w:sz w:val="20"/>
          <w:szCs w:val="22"/>
          <w:lang w:val="en-AU"/>
        </w:rPr>
      </w:pPr>
      <w:r w:rsidRPr="006E15BB">
        <w:rPr>
          <w:rFonts w:asciiTheme="minorHAnsi" w:hAnsiTheme="minorHAnsi" w:cstheme="minorHAnsi"/>
          <w:i/>
          <w:sz w:val="20"/>
          <w:szCs w:val="22"/>
          <w:lang w:val="en-AU"/>
        </w:rPr>
        <w:t>Domestic Animals Amendment (Puppy Farms and Pet Shops) Regulations 2018</w:t>
      </w:r>
    </w:p>
    <w:p w14:paraId="2C8F3B33" w14:textId="309BE3B3" w:rsidR="0077319E" w:rsidRPr="00374F04" w:rsidRDefault="0077319E" w:rsidP="00893511">
      <w:pPr>
        <w:numPr>
          <w:ilvl w:val="0"/>
          <w:numId w:val="21"/>
        </w:numPr>
        <w:spacing w:line="240" w:lineRule="auto"/>
        <w:rPr>
          <w:rFonts w:asciiTheme="minorHAnsi" w:hAnsiTheme="minorHAnsi" w:cstheme="minorHAnsi"/>
          <w:sz w:val="20"/>
          <w:szCs w:val="22"/>
          <w:lang w:val="en-AU"/>
        </w:rPr>
      </w:pPr>
      <w:r w:rsidRPr="00374F04">
        <w:rPr>
          <w:rFonts w:asciiTheme="minorHAnsi" w:hAnsiTheme="minorHAnsi" w:cstheme="minorHAnsi"/>
          <w:sz w:val="20"/>
          <w:szCs w:val="22"/>
          <w:lang w:val="en-AU"/>
        </w:rPr>
        <w:t>Direct consultation undertaken with affected stakeholders</w:t>
      </w:r>
      <w:r w:rsidR="009B378D">
        <w:rPr>
          <w:rFonts w:asciiTheme="minorHAnsi" w:hAnsiTheme="minorHAnsi" w:cstheme="minorHAnsi"/>
          <w:sz w:val="20"/>
          <w:szCs w:val="22"/>
          <w:lang w:val="en-AU"/>
        </w:rPr>
        <w:t>, with feedback requested on a draft policy from a wide range of stakeholders including the RSPCA (Victoria) and all 79 Local Government Authorities.</w:t>
      </w:r>
    </w:p>
    <w:p w14:paraId="7F2A3273" w14:textId="77777777" w:rsidR="0077319E" w:rsidRPr="006E15BB" w:rsidRDefault="0077319E" w:rsidP="00893511">
      <w:pPr>
        <w:pStyle w:val="ListParagraph"/>
        <w:numPr>
          <w:ilvl w:val="0"/>
          <w:numId w:val="36"/>
        </w:numPr>
        <w:spacing w:line="276" w:lineRule="auto"/>
        <w:rPr>
          <w:rFonts w:asciiTheme="minorHAnsi" w:hAnsiTheme="minorHAnsi" w:cstheme="minorHAnsi"/>
          <w:i/>
          <w:sz w:val="20"/>
          <w:szCs w:val="22"/>
          <w:lang w:val="en-AU"/>
        </w:rPr>
      </w:pPr>
      <w:r w:rsidRPr="006E15BB">
        <w:rPr>
          <w:rFonts w:asciiTheme="minorHAnsi" w:hAnsiTheme="minorHAnsi" w:cstheme="minorHAnsi"/>
          <w:i/>
          <w:sz w:val="20"/>
          <w:szCs w:val="22"/>
          <w:lang w:val="en-AU"/>
        </w:rPr>
        <w:t>Draft Code of Practice for the keeping of Racing Greyhounds</w:t>
      </w:r>
    </w:p>
    <w:p w14:paraId="10DE58CC" w14:textId="71A60A49" w:rsidR="0077319E" w:rsidRPr="00374F04" w:rsidRDefault="00BC3A03" w:rsidP="00893511">
      <w:pPr>
        <w:numPr>
          <w:ilvl w:val="0"/>
          <w:numId w:val="22"/>
        </w:numPr>
        <w:spacing w:line="240" w:lineRule="auto"/>
        <w:rPr>
          <w:rFonts w:asciiTheme="minorHAnsi" w:hAnsiTheme="minorHAnsi" w:cstheme="minorHAnsi"/>
          <w:sz w:val="20"/>
          <w:szCs w:val="22"/>
          <w:lang w:val="en-AU"/>
        </w:rPr>
      </w:pPr>
      <w:r>
        <w:rPr>
          <w:rFonts w:asciiTheme="minorHAnsi" w:hAnsiTheme="minorHAnsi" w:cstheme="minorHAnsi"/>
          <w:sz w:val="20"/>
          <w:szCs w:val="22"/>
          <w:lang w:val="en-AU"/>
        </w:rPr>
        <w:t xml:space="preserve">A </w:t>
      </w:r>
      <w:r w:rsidR="0077319E" w:rsidRPr="00374F04">
        <w:rPr>
          <w:rFonts w:asciiTheme="minorHAnsi" w:hAnsiTheme="minorHAnsi" w:cstheme="minorHAnsi"/>
          <w:sz w:val="20"/>
          <w:szCs w:val="22"/>
          <w:lang w:val="en-AU"/>
        </w:rPr>
        <w:t>Draft Code and R</w:t>
      </w:r>
      <w:r>
        <w:rPr>
          <w:rFonts w:asciiTheme="minorHAnsi" w:hAnsiTheme="minorHAnsi" w:cstheme="minorHAnsi"/>
          <w:sz w:val="20"/>
          <w:szCs w:val="22"/>
          <w:lang w:val="en-AU"/>
        </w:rPr>
        <w:t xml:space="preserve">egulatory </w:t>
      </w:r>
      <w:r w:rsidR="0077319E" w:rsidRPr="00374F04">
        <w:rPr>
          <w:rFonts w:asciiTheme="minorHAnsi" w:hAnsiTheme="minorHAnsi" w:cstheme="minorHAnsi"/>
          <w:sz w:val="20"/>
          <w:szCs w:val="22"/>
          <w:lang w:val="en-AU"/>
        </w:rPr>
        <w:t>I</w:t>
      </w:r>
      <w:r>
        <w:rPr>
          <w:rFonts w:asciiTheme="minorHAnsi" w:hAnsiTheme="minorHAnsi" w:cstheme="minorHAnsi"/>
          <w:sz w:val="20"/>
          <w:szCs w:val="22"/>
          <w:lang w:val="en-AU"/>
        </w:rPr>
        <w:t xml:space="preserve">mpact </w:t>
      </w:r>
      <w:r w:rsidR="0077319E" w:rsidRPr="00374F04">
        <w:rPr>
          <w:rFonts w:asciiTheme="minorHAnsi" w:hAnsiTheme="minorHAnsi" w:cstheme="minorHAnsi"/>
          <w:sz w:val="20"/>
          <w:szCs w:val="22"/>
          <w:lang w:val="en-AU"/>
        </w:rPr>
        <w:t>S</w:t>
      </w:r>
      <w:r>
        <w:rPr>
          <w:rFonts w:asciiTheme="minorHAnsi" w:hAnsiTheme="minorHAnsi" w:cstheme="minorHAnsi"/>
          <w:sz w:val="20"/>
          <w:szCs w:val="22"/>
          <w:lang w:val="en-AU"/>
        </w:rPr>
        <w:t>tatement</w:t>
      </w:r>
      <w:r w:rsidR="0077319E" w:rsidRPr="00374F04">
        <w:rPr>
          <w:rFonts w:asciiTheme="minorHAnsi" w:hAnsiTheme="minorHAnsi" w:cstheme="minorHAnsi"/>
          <w:sz w:val="20"/>
          <w:szCs w:val="22"/>
          <w:lang w:val="en-AU"/>
        </w:rPr>
        <w:t xml:space="preserve"> were made available on </w:t>
      </w:r>
      <w:r>
        <w:rPr>
          <w:rFonts w:asciiTheme="minorHAnsi" w:hAnsiTheme="minorHAnsi" w:cstheme="minorHAnsi"/>
          <w:sz w:val="20"/>
          <w:szCs w:val="22"/>
          <w:lang w:val="en-AU"/>
        </w:rPr>
        <w:t xml:space="preserve">the </w:t>
      </w:r>
      <w:r w:rsidR="0077319E" w:rsidRPr="00374F04">
        <w:rPr>
          <w:rFonts w:asciiTheme="minorHAnsi" w:hAnsiTheme="minorHAnsi" w:cstheme="minorHAnsi"/>
          <w:sz w:val="20"/>
          <w:szCs w:val="22"/>
          <w:lang w:val="en-AU"/>
        </w:rPr>
        <w:t>Agriculture Victoria Website for consultation on 14 June 2017. Over 1300 submissions were received electronically by 14 August 2017. Each submitting</w:t>
      </w:r>
      <w:r w:rsidR="004C3FD9">
        <w:rPr>
          <w:rFonts w:asciiTheme="minorHAnsi" w:hAnsiTheme="minorHAnsi" w:cstheme="minorHAnsi"/>
          <w:sz w:val="20"/>
          <w:szCs w:val="22"/>
          <w:lang w:val="en-AU"/>
        </w:rPr>
        <w:t xml:space="preserve"> person received an individual </w:t>
      </w:r>
      <w:r w:rsidR="00696867">
        <w:rPr>
          <w:rFonts w:asciiTheme="minorHAnsi" w:hAnsiTheme="minorHAnsi" w:cstheme="minorHAnsi"/>
          <w:sz w:val="20"/>
          <w:szCs w:val="22"/>
          <w:lang w:val="en-AU"/>
        </w:rPr>
        <w:t>response l</w:t>
      </w:r>
      <w:r w:rsidR="00696867" w:rsidRPr="00374F04">
        <w:rPr>
          <w:rFonts w:asciiTheme="minorHAnsi" w:hAnsiTheme="minorHAnsi" w:cstheme="minorHAnsi"/>
          <w:sz w:val="20"/>
          <w:szCs w:val="22"/>
          <w:lang w:val="en-AU"/>
        </w:rPr>
        <w:t>etter</w:t>
      </w:r>
      <w:r w:rsidR="00696867">
        <w:rPr>
          <w:rFonts w:asciiTheme="minorHAnsi" w:hAnsiTheme="minorHAnsi" w:cstheme="minorHAnsi"/>
          <w:sz w:val="20"/>
          <w:szCs w:val="22"/>
          <w:lang w:val="en-AU"/>
        </w:rPr>
        <w:t xml:space="preserve"> with an attached statement of reasons for the Code of Practice for the Keeping of Racing </w:t>
      </w:r>
      <w:r w:rsidR="00CA7A6F">
        <w:rPr>
          <w:rFonts w:asciiTheme="minorHAnsi" w:hAnsiTheme="minorHAnsi" w:cstheme="minorHAnsi"/>
          <w:sz w:val="20"/>
          <w:szCs w:val="22"/>
          <w:lang w:val="en-AU"/>
        </w:rPr>
        <w:t>Greyhounds.</w:t>
      </w:r>
      <w:r w:rsidR="0077319E" w:rsidRPr="00374F04">
        <w:rPr>
          <w:rFonts w:asciiTheme="minorHAnsi" w:hAnsiTheme="minorHAnsi" w:cstheme="minorHAnsi"/>
          <w:sz w:val="20"/>
          <w:szCs w:val="22"/>
          <w:lang w:val="en-AU"/>
        </w:rPr>
        <w:t xml:space="preserve"> </w:t>
      </w:r>
      <w:r w:rsidR="007041EA">
        <w:rPr>
          <w:rFonts w:asciiTheme="minorHAnsi" w:hAnsiTheme="minorHAnsi" w:cstheme="minorHAnsi"/>
          <w:sz w:val="20"/>
          <w:szCs w:val="22"/>
          <w:lang w:val="en-AU"/>
        </w:rPr>
        <w:t xml:space="preserve"> </w:t>
      </w:r>
    </w:p>
    <w:p w14:paraId="3D0136B1" w14:textId="2612B7CE" w:rsidR="0077319E" w:rsidRPr="00374F04" w:rsidRDefault="0077319E" w:rsidP="00893511">
      <w:pPr>
        <w:numPr>
          <w:ilvl w:val="0"/>
          <w:numId w:val="22"/>
        </w:numPr>
        <w:spacing w:line="240" w:lineRule="auto"/>
        <w:rPr>
          <w:rFonts w:asciiTheme="minorHAnsi" w:hAnsiTheme="minorHAnsi" w:cstheme="minorHAnsi"/>
          <w:sz w:val="20"/>
          <w:szCs w:val="22"/>
          <w:lang w:val="en-AU"/>
        </w:rPr>
      </w:pPr>
      <w:r w:rsidRPr="00374F04">
        <w:rPr>
          <w:rFonts w:asciiTheme="minorHAnsi" w:hAnsiTheme="minorHAnsi" w:cstheme="minorHAnsi"/>
          <w:sz w:val="20"/>
          <w:szCs w:val="22"/>
          <w:lang w:val="en-AU"/>
        </w:rPr>
        <w:t xml:space="preserve">Three roundtables and one teleconference with industry and animal welfare experts were </w:t>
      </w:r>
      <w:r w:rsidR="00BC3A03">
        <w:rPr>
          <w:rFonts w:asciiTheme="minorHAnsi" w:hAnsiTheme="minorHAnsi" w:cstheme="minorHAnsi"/>
          <w:sz w:val="20"/>
          <w:szCs w:val="22"/>
          <w:lang w:val="en-AU"/>
        </w:rPr>
        <w:t xml:space="preserve">subsequently </w:t>
      </w:r>
      <w:r w:rsidRPr="00374F04">
        <w:rPr>
          <w:rFonts w:asciiTheme="minorHAnsi" w:hAnsiTheme="minorHAnsi" w:cstheme="minorHAnsi"/>
          <w:sz w:val="20"/>
          <w:szCs w:val="22"/>
          <w:lang w:val="en-AU"/>
        </w:rPr>
        <w:t>held in October and December 2017.</w:t>
      </w:r>
    </w:p>
    <w:p w14:paraId="1A85CCF4" w14:textId="276FFE40" w:rsidR="0077319E" w:rsidRDefault="0077319E" w:rsidP="00D702FF">
      <w:pPr>
        <w:spacing w:line="276" w:lineRule="auto"/>
        <w:rPr>
          <w:rFonts w:asciiTheme="minorHAnsi" w:hAnsiTheme="minorHAnsi" w:cstheme="minorHAnsi"/>
          <w:sz w:val="20"/>
          <w:szCs w:val="22"/>
          <w:lang w:val="en-AU"/>
        </w:rPr>
      </w:pPr>
      <w:r w:rsidRPr="00374F04">
        <w:rPr>
          <w:rFonts w:asciiTheme="minorHAnsi" w:hAnsiTheme="minorHAnsi" w:cstheme="minorHAnsi"/>
          <w:sz w:val="20"/>
          <w:szCs w:val="22"/>
          <w:lang w:val="en-AU"/>
        </w:rPr>
        <w:t>These examples demonstrate that Agriculture Victoria understands the operational importance and public interest value of seeking the different perspectives</w:t>
      </w:r>
      <w:r w:rsidR="006E15BB">
        <w:rPr>
          <w:rFonts w:asciiTheme="minorHAnsi" w:hAnsiTheme="minorHAnsi" w:cstheme="minorHAnsi"/>
          <w:sz w:val="20"/>
          <w:szCs w:val="22"/>
          <w:lang w:val="en-AU"/>
        </w:rPr>
        <w:t xml:space="preserve"> of</w:t>
      </w:r>
      <w:r w:rsidRPr="00374F04">
        <w:rPr>
          <w:rFonts w:asciiTheme="minorHAnsi" w:hAnsiTheme="minorHAnsi" w:cstheme="minorHAnsi"/>
          <w:sz w:val="20"/>
          <w:szCs w:val="22"/>
          <w:lang w:val="en-AU"/>
        </w:rPr>
        <w:t xml:space="preserve"> its stakeholders. </w:t>
      </w:r>
    </w:p>
    <w:p w14:paraId="6FF521B8" w14:textId="2B91E8F9" w:rsidR="004E70FF" w:rsidRPr="00374F04" w:rsidRDefault="002E3701" w:rsidP="004E70FF">
      <w:pPr>
        <w:pStyle w:val="Heading2"/>
        <w:rPr>
          <w:sz w:val="22"/>
        </w:rPr>
      </w:pPr>
      <w:r>
        <w:rPr>
          <w:sz w:val="22"/>
        </w:rPr>
        <w:br w:type="page"/>
      </w:r>
      <w:bookmarkStart w:id="41" w:name="_Toc5254923"/>
      <w:r w:rsidR="004E70FF">
        <w:rPr>
          <w:sz w:val="22"/>
        </w:rPr>
        <w:lastRenderedPageBreak/>
        <w:t>Clear and consistent regulatory activities</w:t>
      </w:r>
      <w:bookmarkEnd w:id="41"/>
    </w:p>
    <w:tbl>
      <w:tblPr>
        <w:tblStyle w:val="TableGrid"/>
        <w:tblW w:w="0" w:type="auto"/>
        <w:tblLook w:val="04A0" w:firstRow="1" w:lastRow="0" w:firstColumn="1" w:lastColumn="0" w:noHBand="0" w:noVBand="1"/>
      </w:tblPr>
      <w:tblGrid>
        <w:gridCol w:w="9730"/>
      </w:tblGrid>
      <w:tr w:rsidR="00A464C9" w:rsidRPr="00374F04" w14:paraId="1A98025F" w14:textId="77777777" w:rsidTr="00C91A6C">
        <w:tc>
          <w:tcPr>
            <w:tcW w:w="9730" w:type="dxa"/>
            <w:shd w:val="clear" w:color="auto" w:fill="E2EAF6"/>
          </w:tcPr>
          <w:p w14:paraId="0E6F5473" w14:textId="62543F4D" w:rsidR="00F82D0C" w:rsidRPr="00292976" w:rsidRDefault="004E1B1A" w:rsidP="00292976">
            <w:pPr>
              <w:pStyle w:val="Body"/>
              <w:spacing w:before="120" w:after="120" w:line="240" w:lineRule="auto"/>
              <w:jc w:val="both"/>
              <w:rPr>
                <w:rFonts w:eastAsiaTheme="minorEastAsia" w:cstheme="minorHAnsi"/>
                <w:sz w:val="18"/>
                <w:szCs w:val="22"/>
              </w:rPr>
            </w:pPr>
            <w:r w:rsidRPr="00292976">
              <w:rPr>
                <w:rFonts w:eastAsiaTheme="minorEastAsia" w:cstheme="minorHAnsi"/>
                <w:sz w:val="18"/>
                <w:szCs w:val="22"/>
              </w:rPr>
              <w:t>Ministerial Expectation</w:t>
            </w:r>
            <w:r w:rsidR="00DE3092" w:rsidRPr="00292976">
              <w:rPr>
                <w:rFonts w:eastAsiaTheme="minorEastAsia" w:cstheme="minorHAnsi"/>
                <w:sz w:val="18"/>
                <w:szCs w:val="22"/>
              </w:rPr>
              <w:t>s</w:t>
            </w:r>
          </w:p>
          <w:p w14:paraId="65A9E882" w14:textId="299198CB" w:rsidR="0047725E" w:rsidRPr="00292976" w:rsidRDefault="0047725E" w:rsidP="00893511">
            <w:pPr>
              <w:pStyle w:val="Body"/>
              <w:numPr>
                <w:ilvl w:val="0"/>
                <w:numId w:val="28"/>
              </w:numPr>
              <w:spacing w:before="120" w:after="120" w:line="240" w:lineRule="auto"/>
              <w:jc w:val="both"/>
              <w:rPr>
                <w:rFonts w:eastAsiaTheme="minorEastAsia" w:cstheme="minorHAnsi"/>
                <w:b w:val="0"/>
                <w:sz w:val="18"/>
                <w:szCs w:val="22"/>
              </w:rPr>
            </w:pPr>
            <w:r w:rsidRPr="00292976">
              <w:rPr>
                <w:rFonts w:eastAsiaTheme="minorEastAsia" w:cstheme="minorHAnsi"/>
                <w:b w:val="0"/>
                <w:sz w:val="18"/>
                <w:szCs w:val="22"/>
              </w:rPr>
              <w:t xml:space="preserve">Agriculture Victoria interacts with the public and regulated parties in a consistent way, being: </w:t>
            </w:r>
          </w:p>
          <w:p w14:paraId="519F7B56" w14:textId="11920A3D" w:rsidR="0047725E" w:rsidRPr="00292976" w:rsidRDefault="00292976" w:rsidP="00C1114D">
            <w:pPr>
              <w:pStyle w:val="NoSpacing"/>
              <w:numPr>
                <w:ilvl w:val="1"/>
                <w:numId w:val="28"/>
              </w:numPr>
              <w:rPr>
                <w:rFonts w:asciiTheme="minorHAnsi" w:eastAsiaTheme="minorEastAsia" w:hAnsiTheme="minorHAnsi" w:cstheme="minorHAnsi"/>
                <w:color w:val="auto"/>
                <w:szCs w:val="22"/>
                <w:lang w:val="en-AU"/>
              </w:rPr>
            </w:pPr>
            <w:r w:rsidRPr="00292976">
              <w:rPr>
                <w:rFonts w:asciiTheme="minorHAnsi" w:eastAsiaTheme="minorEastAsia" w:hAnsiTheme="minorHAnsi" w:cstheme="minorHAnsi"/>
                <w:color w:val="auto"/>
                <w:szCs w:val="22"/>
                <w:lang w:val="en-AU"/>
              </w:rPr>
              <w:t>Helpful</w:t>
            </w:r>
          </w:p>
          <w:p w14:paraId="1F28A53E" w14:textId="225B77B0" w:rsidR="0047725E" w:rsidRPr="00292976" w:rsidRDefault="0047725E" w:rsidP="00C1114D">
            <w:pPr>
              <w:pStyle w:val="NoSpacing"/>
              <w:numPr>
                <w:ilvl w:val="1"/>
                <w:numId w:val="28"/>
              </w:numPr>
              <w:rPr>
                <w:rFonts w:asciiTheme="minorHAnsi" w:eastAsiaTheme="minorEastAsia" w:hAnsiTheme="minorHAnsi" w:cstheme="minorHAnsi"/>
                <w:color w:val="auto"/>
                <w:szCs w:val="22"/>
                <w:lang w:val="en-AU"/>
              </w:rPr>
            </w:pPr>
            <w:r w:rsidRPr="00292976">
              <w:rPr>
                <w:rFonts w:asciiTheme="minorHAnsi" w:eastAsiaTheme="minorEastAsia" w:hAnsiTheme="minorHAnsi" w:cstheme="minorHAnsi"/>
                <w:color w:val="auto"/>
                <w:szCs w:val="22"/>
                <w:lang w:val="en-AU"/>
              </w:rPr>
              <w:t>Respectful</w:t>
            </w:r>
          </w:p>
          <w:p w14:paraId="2DEDBDD9" w14:textId="305968F8" w:rsidR="0047725E" w:rsidRPr="00292976" w:rsidRDefault="0047725E" w:rsidP="00C1114D">
            <w:pPr>
              <w:pStyle w:val="NoSpacing"/>
              <w:numPr>
                <w:ilvl w:val="1"/>
                <w:numId w:val="28"/>
              </w:numPr>
              <w:rPr>
                <w:rFonts w:asciiTheme="minorHAnsi" w:eastAsiaTheme="minorEastAsia" w:hAnsiTheme="minorHAnsi" w:cstheme="minorHAnsi"/>
                <w:color w:val="auto"/>
                <w:szCs w:val="22"/>
                <w:lang w:val="en-AU"/>
              </w:rPr>
            </w:pPr>
            <w:r w:rsidRPr="00292976">
              <w:rPr>
                <w:rFonts w:asciiTheme="minorHAnsi" w:eastAsiaTheme="minorEastAsia" w:hAnsiTheme="minorHAnsi" w:cstheme="minorHAnsi"/>
                <w:color w:val="auto"/>
                <w:szCs w:val="22"/>
                <w:lang w:val="en-AU"/>
              </w:rPr>
              <w:t>Impartial</w:t>
            </w:r>
          </w:p>
          <w:p w14:paraId="4C306409" w14:textId="7D3E0150" w:rsidR="0047725E" w:rsidRPr="00292976" w:rsidRDefault="0047725E" w:rsidP="00C1114D">
            <w:pPr>
              <w:pStyle w:val="NoSpacing"/>
              <w:numPr>
                <w:ilvl w:val="1"/>
                <w:numId w:val="28"/>
              </w:numPr>
              <w:rPr>
                <w:rFonts w:asciiTheme="minorHAnsi" w:eastAsiaTheme="minorEastAsia" w:hAnsiTheme="minorHAnsi" w:cstheme="minorHAnsi"/>
                <w:color w:val="auto"/>
                <w:szCs w:val="22"/>
                <w:lang w:val="en-AU"/>
              </w:rPr>
            </w:pPr>
            <w:r w:rsidRPr="00292976">
              <w:rPr>
                <w:rFonts w:asciiTheme="minorHAnsi" w:eastAsiaTheme="minorEastAsia" w:hAnsiTheme="minorHAnsi" w:cstheme="minorHAnsi"/>
                <w:color w:val="auto"/>
                <w:szCs w:val="22"/>
                <w:lang w:val="en-AU"/>
              </w:rPr>
              <w:t>Proportionate</w:t>
            </w:r>
          </w:p>
          <w:p w14:paraId="0DC2102F" w14:textId="65302A1B" w:rsidR="0047725E" w:rsidRPr="00292976" w:rsidRDefault="00292976" w:rsidP="00C1114D">
            <w:pPr>
              <w:pStyle w:val="NoSpacing"/>
              <w:numPr>
                <w:ilvl w:val="1"/>
                <w:numId w:val="28"/>
              </w:numPr>
              <w:rPr>
                <w:rFonts w:asciiTheme="minorHAnsi" w:eastAsiaTheme="minorEastAsia" w:hAnsiTheme="minorHAnsi" w:cstheme="minorHAnsi"/>
                <w:color w:val="auto"/>
                <w:szCs w:val="22"/>
                <w:lang w:val="en-AU"/>
              </w:rPr>
            </w:pPr>
            <w:r w:rsidRPr="00292976">
              <w:rPr>
                <w:rFonts w:asciiTheme="minorHAnsi" w:eastAsiaTheme="minorEastAsia" w:hAnsiTheme="minorHAnsi" w:cstheme="minorHAnsi"/>
                <w:color w:val="auto"/>
                <w:szCs w:val="22"/>
                <w:lang w:val="en-AU"/>
              </w:rPr>
              <w:t>Predictable</w:t>
            </w:r>
            <w:r w:rsidR="0047725E" w:rsidRPr="00292976">
              <w:rPr>
                <w:rFonts w:asciiTheme="minorHAnsi" w:eastAsiaTheme="minorEastAsia" w:hAnsiTheme="minorHAnsi" w:cstheme="minorHAnsi"/>
                <w:color w:val="auto"/>
                <w:szCs w:val="22"/>
                <w:lang w:val="en-AU"/>
              </w:rPr>
              <w:t xml:space="preserve"> </w:t>
            </w:r>
          </w:p>
          <w:p w14:paraId="290FE460" w14:textId="6C765CB8" w:rsidR="0047725E" w:rsidRPr="00292976" w:rsidRDefault="00292976" w:rsidP="00C1114D">
            <w:pPr>
              <w:pStyle w:val="NoSpacing"/>
              <w:numPr>
                <w:ilvl w:val="1"/>
                <w:numId w:val="28"/>
              </w:numPr>
              <w:rPr>
                <w:rFonts w:asciiTheme="minorHAnsi" w:eastAsiaTheme="minorEastAsia" w:hAnsiTheme="minorHAnsi" w:cstheme="minorHAnsi"/>
                <w:color w:val="auto"/>
                <w:szCs w:val="22"/>
                <w:lang w:val="en-AU"/>
              </w:rPr>
            </w:pPr>
            <w:r w:rsidRPr="00292976">
              <w:rPr>
                <w:rFonts w:asciiTheme="minorHAnsi" w:eastAsiaTheme="minorEastAsia" w:hAnsiTheme="minorHAnsi" w:cstheme="minorHAnsi"/>
                <w:color w:val="auto"/>
                <w:szCs w:val="22"/>
                <w:lang w:val="en-AU"/>
              </w:rPr>
              <w:t>Transparent</w:t>
            </w:r>
          </w:p>
          <w:p w14:paraId="56B4C61B" w14:textId="54A36868" w:rsidR="008272FE" w:rsidRPr="00292976" w:rsidRDefault="008272FE" w:rsidP="00893511">
            <w:pPr>
              <w:pStyle w:val="Body"/>
              <w:numPr>
                <w:ilvl w:val="0"/>
                <w:numId w:val="11"/>
              </w:numPr>
              <w:spacing w:before="120" w:after="120" w:line="240" w:lineRule="auto"/>
              <w:jc w:val="both"/>
              <w:rPr>
                <w:rFonts w:eastAsiaTheme="minorEastAsia" w:cstheme="minorHAnsi"/>
                <w:b w:val="0"/>
                <w:sz w:val="18"/>
                <w:szCs w:val="22"/>
              </w:rPr>
            </w:pPr>
            <w:r w:rsidRPr="00292976">
              <w:rPr>
                <w:rFonts w:eastAsiaTheme="minorEastAsia" w:cstheme="minorHAnsi"/>
                <w:b w:val="0"/>
                <w:sz w:val="18"/>
                <w:szCs w:val="22"/>
              </w:rPr>
              <w:t>Identify options for a new case management system for Animal Health and Welfare to centralise compliance systems, processes, and data management</w:t>
            </w:r>
            <w:r w:rsidR="00310888">
              <w:rPr>
                <w:rFonts w:eastAsiaTheme="minorEastAsia" w:cstheme="minorHAnsi"/>
                <w:b w:val="0"/>
                <w:sz w:val="18"/>
                <w:szCs w:val="22"/>
              </w:rPr>
              <w:t>.</w:t>
            </w:r>
            <w:r w:rsidRPr="00292976">
              <w:rPr>
                <w:rFonts w:eastAsiaTheme="minorEastAsia" w:cstheme="minorHAnsi"/>
                <w:b w:val="0"/>
                <w:sz w:val="18"/>
                <w:szCs w:val="22"/>
              </w:rPr>
              <w:t xml:space="preserve"> </w:t>
            </w:r>
          </w:p>
          <w:p w14:paraId="5E49FE10" w14:textId="1BE93A18" w:rsidR="008272FE" w:rsidRPr="00292976" w:rsidRDefault="008272FE" w:rsidP="00893511">
            <w:pPr>
              <w:pStyle w:val="Body"/>
              <w:numPr>
                <w:ilvl w:val="0"/>
                <w:numId w:val="11"/>
              </w:numPr>
              <w:spacing w:before="120" w:after="120" w:line="240" w:lineRule="auto"/>
              <w:jc w:val="both"/>
              <w:rPr>
                <w:rFonts w:eastAsiaTheme="minorEastAsia" w:cstheme="minorHAnsi"/>
                <w:b w:val="0"/>
                <w:sz w:val="18"/>
                <w:szCs w:val="22"/>
              </w:rPr>
            </w:pPr>
            <w:r w:rsidRPr="00292976">
              <w:rPr>
                <w:rFonts w:eastAsiaTheme="minorEastAsia" w:cstheme="minorHAnsi"/>
                <w:b w:val="0"/>
                <w:sz w:val="18"/>
                <w:szCs w:val="22"/>
              </w:rPr>
              <w:t>Be responsive to lessons learned through emergency responses and exercises, by implementing changes to improve the effectiveness of future responses</w:t>
            </w:r>
            <w:r w:rsidR="00310888">
              <w:rPr>
                <w:rFonts w:eastAsiaTheme="minorEastAsia" w:cstheme="minorHAnsi"/>
                <w:b w:val="0"/>
                <w:sz w:val="18"/>
                <w:szCs w:val="22"/>
              </w:rPr>
              <w:t>.</w:t>
            </w:r>
          </w:p>
          <w:p w14:paraId="60077ECA" w14:textId="709EB924" w:rsidR="008272FE" w:rsidRPr="00292976" w:rsidRDefault="00F043C4" w:rsidP="00893511">
            <w:pPr>
              <w:pStyle w:val="Body"/>
              <w:numPr>
                <w:ilvl w:val="0"/>
                <w:numId w:val="11"/>
              </w:numPr>
              <w:spacing w:before="120" w:after="120" w:line="240" w:lineRule="auto"/>
              <w:jc w:val="both"/>
              <w:rPr>
                <w:rFonts w:eastAsiaTheme="minorEastAsia" w:cstheme="minorHAnsi"/>
                <w:b w:val="0"/>
                <w:sz w:val="18"/>
                <w:szCs w:val="22"/>
              </w:rPr>
            </w:pPr>
            <w:r w:rsidRPr="00292976">
              <w:rPr>
                <w:rFonts w:eastAsiaTheme="minorEastAsia" w:cstheme="minorHAnsi"/>
                <w:b w:val="0"/>
                <w:sz w:val="18"/>
                <w:szCs w:val="22"/>
              </w:rPr>
              <w:t xml:space="preserve">Agriculture Victoria is expected to consult with the Red Tape Commissioner, business and the broader community, as appropriate. </w:t>
            </w:r>
          </w:p>
        </w:tc>
      </w:tr>
      <w:tr w:rsidR="001B4221" w:rsidRPr="00374F04" w14:paraId="6DF434A0" w14:textId="77777777" w:rsidTr="00C91A6C">
        <w:trPr>
          <w:trHeight w:val="1538"/>
        </w:trPr>
        <w:tc>
          <w:tcPr>
            <w:tcW w:w="9730" w:type="dxa"/>
            <w:shd w:val="clear" w:color="auto" w:fill="auto"/>
          </w:tcPr>
          <w:p w14:paraId="1E291D35" w14:textId="77777777" w:rsidR="001B4221" w:rsidRPr="00292976" w:rsidRDefault="001B4221" w:rsidP="00292976">
            <w:pPr>
              <w:pStyle w:val="Body"/>
              <w:spacing w:before="120" w:after="120" w:line="240" w:lineRule="auto"/>
              <w:jc w:val="both"/>
              <w:rPr>
                <w:rFonts w:eastAsiaTheme="minorEastAsia" w:cstheme="minorHAnsi"/>
                <w:sz w:val="18"/>
                <w:szCs w:val="22"/>
              </w:rPr>
            </w:pPr>
            <w:r w:rsidRPr="00292976">
              <w:rPr>
                <w:rFonts w:eastAsiaTheme="minorEastAsia" w:cstheme="minorHAnsi"/>
                <w:sz w:val="18"/>
                <w:szCs w:val="22"/>
              </w:rPr>
              <w:t xml:space="preserve">Agriculture Victoria Improvement Response  </w:t>
            </w:r>
          </w:p>
          <w:p w14:paraId="30F5AAF9" w14:textId="77777777" w:rsidR="001B4221" w:rsidRPr="00292976" w:rsidRDefault="001B4221" w:rsidP="00893511">
            <w:pPr>
              <w:pStyle w:val="Body"/>
              <w:numPr>
                <w:ilvl w:val="0"/>
                <w:numId w:val="27"/>
              </w:numPr>
              <w:spacing w:before="120" w:line="240" w:lineRule="auto"/>
              <w:jc w:val="both"/>
              <w:rPr>
                <w:rFonts w:eastAsiaTheme="minorEastAsia" w:cstheme="minorHAnsi"/>
                <w:b w:val="0"/>
                <w:sz w:val="18"/>
                <w:szCs w:val="22"/>
              </w:rPr>
            </w:pPr>
            <w:r w:rsidRPr="00292976">
              <w:rPr>
                <w:rFonts w:eastAsiaTheme="minorEastAsia" w:cstheme="minorHAnsi"/>
                <w:b w:val="0"/>
                <w:sz w:val="18"/>
                <w:szCs w:val="22"/>
              </w:rPr>
              <w:t>Identify options for a new case management system for animal health and welfare to centralise compliance systems, processes, and data management.</w:t>
            </w:r>
          </w:p>
          <w:p w14:paraId="3474552B" w14:textId="5BACE1E1" w:rsidR="001B4221" w:rsidRPr="00292976" w:rsidRDefault="001B4221" w:rsidP="00893511">
            <w:pPr>
              <w:pStyle w:val="ListParagraph"/>
              <w:numPr>
                <w:ilvl w:val="0"/>
                <w:numId w:val="27"/>
              </w:numPr>
              <w:spacing w:before="120" w:line="240" w:lineRule="auto"/>
              <w:rPr>
                <w:rFonts w:asciiTheme="minorHAnsi" w:eastAsiaTheme="minorEastAsia" w:hAnsiTheme="minorHAnsi" w:cstheme="minorBidi"/>
                <w:szCs w:val="22"/>
              </w:rPr>
            </w:pPr>
            <w:r w:rsidRPr="00292976">
              <w:rPr>
                <w:rFonts w:asciiTheme="minorHAnsi" w:eastAsiaTheme="minorEastAsia" w:hAnsiTheme="minorHAnsi" w:cstheme="minorHAnsi"/>
                <w:color w:val="auto"/>
                <w:szCs w:val="22"/>
                <w:lang w:val="en-AU"/>
              </w:rPr>
              <w:t>Monitor the implementation of changes that have been made in response to evaluation of emergency responses and or exercises.</w:t>
            </w:r>
          </w:p>
        </w:tc>
      </w:tr>
    </w:tbl>
    <w:p w14:paraId="07FA4600" w14:textId="3089151D" w:rsidR="00F82D0C" w:rsidRDefault="00F82D0C" w:rsidP="00F87510">
      <w:pPr>
        <w:spacing w:line="276" w:lineRule="auto"/>
        <w:jc w:val="both"/>
        <w:rPr>
          <w:rFonts w:asciiTheme="minorHAnsi" w:hAnsiTheme="minorHAnsi" w:cstheme="minorHAnsi"/>
          <w:b/>
          <w:sz w:val="20"/>
          <w:szCs w:val="22"/>
        </w:rPr>
      </w:pPr>
    </w:p>
    <w:p w14:paraId="1E449102" w14:textId="5BF927F4" w:rsidR="00B54F13" w:rsidRPr="0066446A" w:rsidRDefault="001E0075" w:rsidP="0066446A">
      <w:pPr>
        <w:pStyle w:val="Heading2"/>
        <w:numPr>
          <w:ilvl w:val="0"/>
          <w:numId w:val="0"/>
        </w:numPr>
        <w:ind w:left="360" w:hanging="360"/>
        <w:rPr>
          <w:rFonts w:asciiTheme="minorHAnsi" w:hAnsiTheme="minorHAnsi" w:cstheme="minorHAnsi"/>
          <w:sz w:val="22"/>
        </w:rPr>
      </w:pPr>
      <w:bookmarkStart w:id="42" w:name="_Toc881052"/>
      <w:bookmarkStart w:id="43" w:name="_Toc5254924"/>
      <w:r w:rsidRPr="001E0075">
        <w:rPr>
          <w:rFonts w:asciiTheme="minorHAnsi" w:hAnsiTheme="minorHAnsi" w:cstheme="minorHAnsi"/>
          <w:sz w:val="22"/>
        </w:rPr>
        <w:t>Key Findings</w:t>
      </w:r>
      <w:bookmarkEnd w:id="42"/>
      <w:bookmarkEnd w:id="43"/>
      <w:r w:rsidRPr="001E0075">
        <w:rPr>
          <w:rFonts w:asciiTheme="minorHAnsi" w:hAnsiTheme="minorHAnsi" w:cstheme="minorHAnsi"/>
          <w:sz w:val="22"/>
        </w:rPr>
        <w:t xml:space="preserve"> </w:t>
      </w:r>
    </w:p>
    <w:p w14:paraId="58C8B934" w14:textId="1836A15B" w:rsidR="00B54F13" w:rsidRPr="006308F2" w:rsidRDefault="006308F2" w:rsidP="00B54F13">
      <w:pPr>
        <w:rPr>
          <w:rFonts w:asciiTheme="minorHAnsi" w:hAnsiTheme="minorHAnsi" w:cstheme="minorHAnsi"/>
          <w:b/>
          <w:sz w:val="20"/>
          <w:szCs w:val="20"/>
        </w:rPr>
      </w:pPr>
      <w:r>
        <w:rPr>
          <w:rFonts w:asciiTheme="minorHAnsi" w:hAnsiTheme="minorHAnsi" w:cstheme="minorHAnsi"/>
          <w:b/>
          <w:sz w:val="20"/>
          <w:szCs w:val="20"/>
        </w:rPr>
        <w:t>Animal Welfare Case Management System</w:t>
      </w:r>
    </w:p>
    <w:p w14:paraId="22BED01C" w14:textId="6AD9D4DC" w:rsidR="00360160" w:rsidRPr="00374F04" w:rsidRDefault="00360160" w:rsidP="00360160">
      <w:pPr>
        <w:spacing w:line="276" w:lineRule="auto"/>
        <w:rPr>
          <w:rFonts w:asciiTheme="minorHAnsi" w:hAnsiTheme="minorHAnsi" w:cstheme="minorHAnsi"/>
          <w:sz w:val="20"/>
          <w:szCs w:val="22"/>
          <w:lang w:val="en-AU"/>
        </w:rPr>
      </w:pPr>
      <w:r w:rsidRPr="00374F04">
        <w:rPr>
          <w:rFonts w:asciiTheme="minorHAnsi" w:hAnsiTheme="minorHAnsi" w:cstheme="minorHAnsi"/>
          <w:sz w:val="20"/>
          <w:szCs w:val="22"/>
          <w:lang w:val="en-AU"/>
        </w:rPr>
        <w:t xml:space="preserve">Agriculture Victoria is implementing a new central compliance case management system for Animal Health and Welfare (AHW) to achieve the improvements and targets it set out in the </w:t>
      </w:r>
      <w:r w:rsidR="00E104E6" w:rsidRPr="00374F04">
        <w:rPr>
          <w:rFonts w:asciiTheme="minorHAnsi" w:hAnsiTheme="minorHAnsi" w:cstheme="minorHAnsi"/>
          <w:sz w:val="20"/>
          <w:szCs w:val="22"/>
          <w:lang w:val="en-AU"/>
        </w:rPr>
        <w:t>SOE</w:t>
      </w:r>
      <w:r w:rsidRPr="00374F04">
        <w:rPr>
          <w:rFonts w:asciiTheme="minorHAnsi" w:hAnsiTheme="minorHAnsi" w:cstheme="minorHAnsi"/>
          <w:sz w:val="20"/>
          <w:szCs w:val="22"/>
          <w:lang w:val="en-AU"/>
        </w:rPr>
        <w:t xml:space="preserve">. This new case management system enhances data collection and tracking of inspections and investigations. </w:t>
      </w:r>
    </w:p>
    <w:p w14:paraId="0D4292F3" w14:textId="4F0DE893" w:rsidR="00360160" w:rsidRPr="00374F04" w:rsidRDefault="00BC3A03" w:rsidP="00360160">
      <w:pPr>
        <w:spacing w:line="276" w:lineRule="auto"/>
        <w:rPr>
          <w:rFonts w:asciiTheme="minorHAnsi" w:hAnsiTheme="minorHAnsi" w:cstheme="minorHAnsi"/>
          <w:sz w:val="20"/>
          <w:szCs w:val="22"/>
          <w:lang w:val="en-AU"/>
        </w:rPr>
      </w:pPr>
      <w:r>
        <w:rPr>
          <w:rFonts w:asciiTheme="minorHAnsi" w:hAnsiTheme="minorHAnsi" w:cstheme="minorHAnsi"/>
          <w:sz w:val="20"/>
          <w:szCs w:val="22"/>
          <w:lang w:val="en-AU"/>
        </w:rPr>
        <w:t>C</w:t>
      </w:r>
      <w:r w:rsidR="00360160" w:rsidRPr="00374F04">
        <w:rPr>
          <w:rFonts w:asciiTheme="minorHAnsi" w:hAnsiTheme="minorHAnsi" w:cstheme="minorHAnsi"/>
          <w:sz w:val="20"/>
          <w:szCs w:val="22"/>
          <w:lang w:val="en-AU"/>
        </w:rPr>
        <w:t xml:space="preserve">ompliance activities and outcomes </w:t>
      </w:r>
      <w:r>
        <w:rPr>
          <w:rFonts w:asciiTheme="minorHAnsi" w:hAnsiTheme="minorHAnsi" w:cstheme="minorHAnsi"/>
          <w:sz w:val="20"/>
          <w:szCs w:val="22"/>
          <w:lang w:val="en-AU"/>
        </w:rPr>
        <w:t xml:space="preserve">have previously been </w:t>
      </w:r>
      <w:r w:rsidR="00360160" w:rsidRPr="00374F04">
        <w:rPr>
          <w:rFonts w:asciiTheme="minorHAnsi" w:hAnsiTheme="minorHAnsi" w:cstheme="minorHAnsi"/>
          <w:sz w:val="20"/>
          <w:szCs w:val="22"/>
          <w:lang w:val="en-AU"/>
        </w:rPr>
        <w:t>recorded on the Animal Disease Management Information System (ADMIS) contained in BioWeb</w:t>
      </w:r>
      <w:r w:rsidR="00A57DE0">
        <w:rPr>
          <w:rFonts w:asciiTheme="minorHAnsi" w:hAnsiTheme="minorHAnsi" w:cstheme="minorHAnsi"/>
          <w:sz w:val="20"/>
          <w:szCs w:val="22"/>
          <w:lang w:val="en-AU"/>
        </w:rPr>
        <w:t>, Agriculture Victoria’s central platform for operational support</w:t>
      </w:r>
      <w:r w:rsidR="00360160" w:rsidRPr="00374F04">
        <w:rPr>
          <w:rFonts w:asciiTheme="minorHAnsi" w:hAnsiTheme="minorHAnsi" w:cstheme="minorHAnsi"/>
          <w:sz w:val="20"/>
          <w:szCs w:val="22"/>
          <w:lang w:val="en-AU"/>
        </w:rPr>
        <w:t xml:space="preserve">. </w:t>
      </w:r>
      <w:r w:rsidR="00310888">
        <w:rPr>
          <w:rFonts w:asciiTheme="minorHAnsi" w:hAnsiTheme="minorHAnsi" w:cstheme="minorHAnsi"/>
          <w:sz w:val="20"/>
          <w:szCs w:val="22"/>
          <w:lang w:val="en-AU"/>
        </w:rPr>
        <w:t xml:space="preserve">Expanding </w:t>
      </w:r>
      <w:r w:rsidR="00360160" w:rsidRPr="00374F04">
        <w:rPr>
          <w:rFonts w:asciiTheme="minorHAnsi" w:hAnsiTheme="minorHAnsi" w:cstheme="minorHAnsi"/>
          <w:sz w:val="20"/>
          <w:szCs w:val="22"/>
          <w:lang w:val="en-AU"/>
        </w:rPr>
        <w:t xml:space="preserve">compliance activities and responsibilities under the </w:t>
      </w:r>
      <w:r w:rsidR="00360160" w:rsidRPr="00374F04">
        <w:rPr>
          <w:rFonts w:asciiTheme="minorHAnsi" w:hAnsiTheme="minorHAnsi" w:cstheme="minorHAnsi"/>
          <w:i/>
          <w:iCs/>
          <w:sz w:val="20"/>
          <w:szCs w:val="22"/>
          <w:lang w:val="en-AU"/>
        </w:rPr>
        <w:t>Food Act 1984</w:t>
      </w:r>
      <w:r w:rsidR="00360160" w:rsidRPr="00374F04">
        <w:rPr>
          <w:rFonts w:asciiTheme="minorHAnsi" w:hAnsiTheme="minorHAnsi" w:cstheme="minorHAnsi"/>
          <w:sz w:val="20"/>
          <w:szCs w:val="22"/>
          <w:lang w:val="en-AU"/>
        </w:rPr>
        <w:t xml:space="preserve"> imposed increasing demands on regional staff and management with limited resources</w:t>
      </w:r>
      <w:r w:rsidR="00A57DE0">
        <w:rPr>
          <w:rFonts w:asciiTheme="minorHAnsi" w:hAnsiTheme="minorHAnsi" w:cstheme="minorHAnsi"/>
          <w:sz w:val="20"/>
          <w:szCs w:val="22"/>
          <w:lang w:val="en-AU"/>
        </w:rPr>
        <w:t xml:space="preserve">, placing </w:t>
      </w:r>
      <w:r w:rsidR="00335A22">
        <w:rPr>
          <w:rFonts w:asciiTheme="minorHAnsi" w:hAnsiTheme="minorHAnsi" w:cstheme="minorHAnsi"/>
          <w:sz w:val="20"/>
          <w:szCs w:val="22"/>
          <w:lang w:val="en-AU"/>
        </w:rPr>
        <w:t xml:space="preserve">achievement of </w:t>
      </w:r>
      <w:r w:rsidR="00360160" w:rsidRPr="00374F04">
        <w:rPr>
          <w:rFonts w:asciiTheme="minorHAnsi" w:hAnsiTheme="minorHAnsi" w:cstheme="minorHAnsi"/>
          <w:sz w:val="20"/>
          <w:szCs w:val="22"/>
          <w:lang w:val="en-AU"/>
        </w:rPr>
        <w:t xml:space="preserve">regulatory outcomes </w:t>
      </w:r>
      <w:r w:rsidR="00335A22">
        <w:rPr>
          <w:rFonts w:asciiTheme="minorHAnsi" w:hAnsiTheme="minorHAnsi" w:cstheme="minorHAnsi"/>
          <w:sz w:val="20"/>
          <w:szCs w:val="22"/>
          <w:lang w:val="en-AU"/>
        </w:rPr>
        <w:t>at some risk</w:t>
      </w:r>
      <w:r w:rsidR="00360160" w:rsidRPr="00374F04">
        <w:rPr>
          <w:rFonts w:asciiTheme="minorHAnsi" w:hAnsiTheme="minorHAnsi" w:cstheme="minorHAnsi"/>
          <w:sz w:val="20"/>
          <w:szCs w:val="22"/>
          <w:lang w:val="en-AU"/>
        </w:rPr>
        <w:t xml:space="preserve">. </w:t>
      </w:r>
      <w:r w:rsidR="00335A22">
        <w:rPr>
          <w:rFonts w:asciiTheme="minorHAnsi" w:hAnsiTheme="minorHAnsi" w:cstheme="minorHAnsi"/>
          <w:sz w:val="20"/>
          <w:szCs w:val="22"/>
          <w:lang w:val="en-AU"/>
        </w:rPr>
        <w:t xml:space="preserve">Agriculture Victoria identified that ADMIS had limited capacity to support </w:t>
      </w:r>
      <w:r w:rsidR="00360160" w:rsidRPr="00374F04">
        <w:rPr>
          <w:rFonts w:asciiTheme="minorHAnsi" w:hAnsiTheme="minorHAnsi" w:cstheme="minorHAnsi"/>
          <w:sz w:val="20"/>
          <w:szCs w:val="22"/>
          <w:lang w:val="en-AU"/>
        </w:rPr>
        <w:t>increased reporting demands</w:t>
      </w:r>
      <w:r w:rsidR="00335A22">
        <w:rPr>
          <w:rFonts w:asciiTheme="minorHAnsi" w:hAnsiTheme="minorHAnsi" w:cstheme="minorHAnsi"/>
          <w:sz w:val="20"/>
          <w:szCs w:val="22"/>
          <w:lang w:val="en-AU"/>
        </w:rPr>
        <w:t xml:space="preserve"> and more sophisticated management of compliance activities.</w:t>
      </w:r>
      <w:r w:rsidR="00360160" w:rsidRPr="00374F04">
        <w:rPr>
          <w:rFonts w:asciiTheme="minorHAnsi" w:hAnsiTheme="minorHAnsi" w:cstheme="minorHAnsi"/>
          <w:sz w:val="20"/>
          <w:szCs w:val="22"/>
          <w:lang w:val="en-AU"/>
        </w:rPr>
        <w:t xml:space="preserve"> </w:t>
      </w:r>
    </w:p>
    <w:p w14:paraId="4E0C2069" w14:textId="67DE4253" w:rsidR="00360160" w:rsidRPr="00374F04" w:rsidRDefault="00360160" w:rsidP="00360160">
      <w:pPr>
        <w:spacing w:line="276" w:lineRule="auto"/>
        <w:rPr>
          <w:rFonts w:asciiTheme="minorHAnsi" w:hAnsiTheme="minorHAnsi" w:cstheme="minorHAnsi"/>
          <w:sz w:val="20"/>
          <w:szCs w:val="22"/>
          <w:lang w:val="en-AU"/>
        </w:rPr>
      </w:pPr>
      <w:r w:rsidRPr="00374F04">
        <w:rPr>
          <w:rFonts w:asciiTheme="minorHAnsi" w:hAnsiTheme="minorHAnsi" w:cstheme="minorHAnsi"/>
          <w:sz w:val="20"/>
          <w:szCs w:val="22"/>
          <w:lang w:val="en-AU"/>
        </w:rPr>
        <w:t>As a result, a new system, Compliance Max, was designed based on the needs of the AHW compliance working and reporting environment. Compliance Max was implemented in May</w:t>
      </w:r>
      <w:r w:rsidR="00310888">
        <w:rPr>
          <w:rFonts w:asciiTheme="minorHAnsi" w:hAnsiTheme="minorHAnsi" w:cstheme="minorHAnsi"/>
          <w:sz w:val="20"/>
          <w:szCs w:val="22"/>
          <w:lang w:val="en-AU"/>
        </w:rPr>
        <w:t xml:space="preserve"> 2018</w:t>
      </w:r>
      <w:r w:rsidRPr="00374F04">
        <w:rPr>
          <w:rFonts w:asciiTheme="minorHAnsi" w:hAnsiTheme="minorHAnsi" w:cstheme="minorHAnsi"/>
          <w:sz w:val="20"/>
          <w:szCs w:val="22"/>
          <w:lang w:val="en-AU"/>
        </w:rPr>
        <w:t xml:space="preserve"> and provides accountability, transparency and efficiency in managing regulatory compliance activities by: </w:t>
      </w:r>
    </w:p>
    <w:p w14:paraId="42443576" w14:textId="77777777" w:rsidR="00360160" w:rsidRPr="00374F04" w:rsidRDefault="00360160" w:rsidP="00893511">
      <w:pPr>
        <w:numPr>
          <w:ilvl w:val="0"/>
          <w:numId w:val="20"/>
        </w:numPr>
        <w:spacing w:line="276" w:lineRule="auto"/>
        <w:rPr>
          <w:rFonts w:asciiTheme="minorHAnsi" w:hAnsiTheme="minorHAnsi" w:cstheme="minorHAnsi"/>
          <w:sz w:val="20"/>
          <w:szCs w:val="22"/>
        </w:rPr>
      </w:pPr>
      <w:r w:rsidRPr="00374F04">
        <w:rPr>
          <w:rFonts w:asciiTheme="minorHAnsi" w:hAnsiTheme="minorHAnsi" w:cstheme="minorHAnsi"/>
          <w:sz w:val="20"/>
          <w:szCs w:val="22"/>
        </w:rPr>
        <w:t>Being a centralised system of all AHW regulation and compliance activities.</w:t>
      </w:r>
    </w:p>
    <w:p w14:paraId="4DC3B720" w14:textId="7968F82C" w:rsidR="00360160" w:rsidRPr="00374F04" w:rsidRDefault="00360160" w:rsidP="00893511">
      <w:pPr>
        <w:numPr>
          <w:ilvl w:val="0"/>
          <w:numId w:val="20"/>
        </w:numPr>
        <w:spacing w:line="276" w:lineRule="auto"/>
        <w:rPr>
          <w:rFonts w:asciiTheme="minorHAnsi" w:hAnsiTheme="minorHAnsi" w:cstheme="minorHAnsi"/>
          <w:sz w:val="20"/>
          <w:szCs w:val="22"/>
        </w:rPr>
      </w:pPr>
      <w:r w:rsidRPr="00374F04">
        <w:rPr>
          <w:rFonts w:asciiTheme="minorHAnsi" w:hAnsiTheme="minorHAnsi" w:cstheme="minorHAnsi"/>
          <w:sz w:val="20"/>
          <w:szCs w:val="22"/>
        </w:rPr>
        <w:t xml:space="preserve">Assisting managers </w:t>
      </w:r>
      <w:r w:rsidR="00335A22">
        <w:rPr>
          <w:rFonts w:asciiTheme="minorHAnsi" w:hAnsiTheme="minorHAnsi" w:cstheme="minorHAnsi"/>
          <w:sz w:val="20"/>
          <w:szCs w:val="22"/>
        </w:rPr>
        <w:t>to achieve</w:t>
      </w:r>
      <w:r w:rsidR="00335A22" w:rsidRPr="00374F04">
        <w:rPr>
          <w:rFonts w:asciiTheme="minorHAnsi" w:hAnsiTheme="minorHAnsi" w:cstheme="minorHAnsi"/>
          <w:sz w:val="20"/>
          <w:szCs w:val="22"/>
        </w:rPr>
        <w:t xml:space="preserve"> </w:t>
      </w:r>
      <w:r w:rsidRPr="00374F04">
        <w:rPr>
          <w:rFonts w:asciiTheme="minorHAnsi" w:hAnsiTheme="minorHAnsi" w:cstheme="minorHAnsi"/>
          <w:sz w:val="20"/>
          <w:szCs w:val="22"/>
        </w:rPr>
        <w:t>timelines and requirements to meet statutory obligations, policy and departmental requirements and AHW operations plans</w:t>
      </w:r>
      <w:r w:rsidR="00BC3A03">
        <w:rPr>
          <w:rFonts w:asciiTheme="minorHAnsi" w:hAnsiTheme="minorHAnsi" w:cstheme="minorHAnsi"/>
          <w:sz w:val="20"/>
          <w:szCs w:val="22"/>
        </w:rPr>
        <w:t>.</w:t>
      </w:r>
    </w:p>
    <w:p w14:paraId="6855167F" w14:textId="77777777" w:rsidR="00360160" w:rsidRPr="00374F04" w:rsidRDefault="00360160" w:rsidP="00893511">
      <w:pPr>
        <w:numPr>
          <w:ilvl w:val="0"/>
          <w:numId w:val="20"/>
        </w:numPr>
        <w:spacing w:line="276" w:lineRule="auto"/>
        <w:rPr>
          <w:rFonts w:asciiTheme="minorHAnsi" w:hAnsiTheme="minorHAnsi" w:cstheme="minorHAnsi"/>
          <w:sz w:val="20"/>
          <w:szCs w:val="22"/>
        </w:rPr>
      </w:pPr>
      <w:r w:rsidRPr="00374F04">
        <w:rPr>
          <w:rFonts w:asciiTheme="minorHAnsi" w:hAnsiTheme="minorHAnsi" w:cstheme="minorHAnsi"/>
          <w:sz w:val="20"/>
          <w:szCs w:val="22"/>
        </w:rPr>
        <w:t>Linking this centralised system to existing and future ‘feeder’ systems to reduce duplication of data entry and enhance staff efficiency and time management.</w:t>
      </w:r>
    </w:p>
    <w:p w14:paraId="50A6795E" w14:textId="594A4929" w:rsidR="00BC3A03" w:rsidRDefault="00360160" w:rsidP="00360160">
      <w:pPr>
        <w:spacing w:line="276" w:lineRule="auto"/>
        <w:rPr>
          <w:rFonts w:asciiTheme="minorHAnsi" w:hAnsiTheme="minorHAnsi" w:cstheme="minorHAnsi"/>
          <w:sz w:val="20"/>
          <w:szCs w:val="22"/>
        </w:rPr>
      </w:pPr>
      <w:r w:rsidRPr="00374F04">
        <w:rPr>
          <w:rFonts w:asciiTheme="minorHAnsi" w:hAnsiTheme="minorHAnsi" w:cstheme="minorHAnsi"/>
          <w:sz w:val="20"/>
          <w:szCs w:val="22"/>
        </w:rPr>
        <w:t xml:space="preserve">Over three thousand cases have been loaded onto the </w:t>
      </w:r>
      <w:r w:rsidR="00BC3A03">
        <w:rPr>
          <w:rFonts w:asciiTheme="minorHAnsi" w:hAnsiTheme="minorHAnsi" w:cstheme="minorHAnsi"/>
          <w:sz w:val="20"/>
          <w:szCs w:val="22"/>
        </w:rPr>
        <w:t xml:space="preserve">new </w:t>
      </w:r>
      <w:r w:rsidRPr="00374F04">
        <w:rPr>
          <w:rFonts w:asciiTheme="minorHAnsi" w:hAnsiTheme="minorHAnsi" w:cstheme="minorHAnsi"/>
          <w:sz w:val="20"/>
          <w:szCs w:val="22"/>
        </w:rPr>
        <w:t>system</w:t>
      </w:r>
      <w:r w:rsidR="00BC3A03">
        <w:rPr>
          <w:rFonts w:asciiTheme="minorHAnsi" w:hAnsiTheme="minorHAnsi" w:cstheme="minorHAnsi"/>
          <w:sz w:val="20"/>
          <w:szCs w:val="22"/>
        </w:rPr>
        <w:t>.</w:t>
      </w:r>
    </w:p>
    <w:p w14:paraId="234CF81B" w14:textId="3059EE2C" w:rsidR="00360160" w:rsidRDefault="00360160" w:rsidP="00360160">
      <w:pPr>
        <w:spacing w:line="276" w:lineRule="auto"/>
        <w:rPr>
          <w:rFonts w:asciiTheme="minorHAnsi" w:hAnsiTheme="minorHAnsi" w:cstheme="minorHAnsi"/>
          <w:sz w:val="20"/>
          <w:szCs w:val="22"/>
        </w:rPr>
      </w:pPr>
      <w:r w:rsidRPr="00374F04">
        <w:rPr>
          <w:rFonts w:asciiTheme="minorHAnsi" w:hAnsiTheme="minorHAnsi" w:cstheme="minorHAnsi"/>
          <w:sz w:val="20"/>
          <w:szCs w:val="22"/>
        </w:rPr>
        <w:t xml:space="preserve"> </w:t>
      </w:r>
    </w:p>
    <w:p w14:paraId="0F7BD0DB" w14:textId="7DA005FD" w:rsidR="00027BC5" w:rsidRPr="00027BC5" w:rsidRDefault="006308F2" w:rsidP="00360160">
      <w:pPr>
        <w:spacing w:line="276" w:lineRule="auto"/>
        <w:rPr>
          <w:rFonts w:asciiTheme="minorHAnsi" w:hAnsiTheme="minorHAnsi" w:cstheme="minorHAnsi"/>
          <w:b/>
          <w:sz w:val="20"/>
          <w:szCs w:val="22"/>
        </w:rPr>
      </w:pPr>
      <w:r w:rsidRPr="006308F2">
        <w:rPr>
          <w:rFonts w:asciiTheme="minorHAnsi" w:hAnsiTheme="minorHAnsi" w:cstheme="minorHAnsi"/>
          <w:b/>
          <w:sz w:val="20"/>
          <w:szCs w:val="22"/>
        </w:rPr>
        <w:lastRenderedPageBreak/>
        <w:t>Emergency Response Evaluation Outcomes</w:t>
      </w:r>
    </w:p>
    <w:p w14:paraId="5AD6E1D9" w14:textId="5378D18B" w:rsidR="00360160" w:rsidRPr="00884730" w:rsidRDefault="002D39CD" w:rsidP="003E59BC">
      <w:pPr>
        <w:spacing w:line="276" w:lineRule="auto"/>
        <w:rPr>
          <w:rFonts w:asciiTheme="minorHAnsi" w:hAnsiTheme="minorHAnsi" w:cstheme="minorHAnsi"/>
          <w:sz w:val="20"/>
          <w:szCs w:val="22"/>
          <w:lang w:val="en-AU"/>
        </w:rPr>
      </w:pPr>
      <w:r>
        <w:rPr>
          <w:rFonts w:asciiTheme="minorHAnsi" w:hAnsiTheme="minorHAnsi" w:cstheme="minorHAnsi"/>
          <w:sz w:val="20"/>
          <w:szCs w:val="22"/>
          <w:lang w:val="en-AU"/>
        </w:rPr>
        <w:t>The e</w:t>
      </w:r>
      <w:r w:rsidR="00314973">
        <w:rPr>
          <w:rFonts w:asciiTheme="minorHAnsi" w:hAnsiTheme="minorHAnsi" w:cstheme="minorHAnsi"/>
          <w:sz w:val="20"/>
          <w:szCs w:val="22"/>
          <w:lang w:val="en-AU"/>
        </w:rPr>
        <w:t>valuation</w:t>
      </w:r>
      <w:r w:rsidR="00052C72">
        <w:rPr>
          <w:rFonts w:asciiTheme="minorHAnsi" w:hAnsiTheme="minorHAnsi" w:cstheme="minorHAnsi"/>
          <w:sz w:val="20"/>
          <w:szCs w:val="22"/>
          <w:lang w:val="en-AU"/>
        </w:rPr>
        <w:t xml:space="preserve"> found that Agriculture Victoria </w:t>
      </w:r>
      <w:r w:rsidR="00027BC5">
        <w:rPr>
          <w:rFonts w:asciiTheme="minorHAnsi" w:hAnsiTheme="minorHAnsi" w:cstheme="minorHAnsi"/>
          <w:sz w:val="20"/>
          <w:szCs w:val="22"/>
          <w:lang w:val="en-AU"/>
        </w:rPr>
        <w:t xml:space="preserve">undertakes various continuous improvement process to ensure that </w:t>
      </w:r>
      <w:r>
        <w:rPr>
          <w:rFonts w:asciiTheme="minorHAnsi" w:hAnsiTheme="minorHAnsi" w:cstheme="minorHAnsi"/>
          <w:sz w:val="20"/>
          <w:szCs w:val="22"/>
          <w:lang w:val="en-AU"/>
        </w:rPr>
        <w:t>recommendations</w:t>
      </w:r>
      <w:r w:rsidR="00027BC5">
        <w:rPr>
          <w:rFonts w:asciiTheme="minorHAnsi" w:hAnsiTheme="minorHAnsi" w:cstheme="minorHAnsi"/>
          <w:sz w:val="20"/>
          <w:szCs w:val="22"/>
          <w:lang w:val="en-AU"/>
        </w:rPr>
        <w:t xml:space="preserve"> identified </w:t>
      </w:r>
      <w:r w:rsidR="002006E7">
        <w:rPr>
          <w:rFonts w:asciiTheme="minorHAnsi" w:hAnsiTheme="minorHAnsi" w:cstheme="minorHAnsi"/>
          <w:sz w:val="20"/>
          <w:szCs w:val="22"/>
          <w:lang w:val="en-AU"/>
        </w:rPr>
        <w:t>from</w:t>
      </w:r>
      <w:r w:rsidR="00027BC5">
        <w:rPr>
          <w:rFonts w:asciiTheme="minorHAnsi" w:hAnsiTheme="minorHAnsi" w:cstheme="minorHAnsi"/>
          <w:sz w:val="20"/>
          <w:szCs w:val="22"/>
          <w:lang w:val="en-AU"/>
        </w:rPr>
        <w:t xml:space="preserve"> e</w:t>
      </w:r>
      <w:r w:rsidR="00360160" w:rsidRPr="00374F04">
        <w:rPr>
          <w:rFonts w:asciiTheme="minorHAnsi" w:hAnsiTheme="minorHAnsi" w:cstheme="minorHAnsi"/>
          <w:sz w:val="20"/>
          <w:szCs w:val="22"/>
          <w:lang w:val="en-AU"/>
        </w:rPr>
        <w:t xml:space="preserve">mergency responses </w:t>
      </w:r>
      <w:r w:rsidR="00027BC5">
        <w:rPr>
          <w:rFonts w:asciiTheme="minorHAnsi" w:hAnsiTheme="minorHAnsi" w:cstheme="minorHAnsi"/>
          <w:sz w:val="20"/>
          <w:szCs w:val="22"/>
          <w:lang w:val="en-AU"/>
        </w:rPr>
        <w:t>exercise evaluations are adopted and implemented</w:t>
      </w:r>
      <w:r w:rsidR="00360160" w:rsidRPr="00374F04">
        <w:rPr>
          <w:rFonts w:asciiTheme="minorHAnsi" w:hAnsiTheme="minorHAnsi" w:cstheme="minorHAnsi"/>
          <w:sz w:val="20"/>
          <w:szCs w:val="22"/>
          <w:lang w:val="en-AU"/>
        </w:rPr>
        <w:t>. Agriculture Victoria evaluates</w:t>
      </w:r>
      <w:r w:rsidR="00027BC5">
        <w:rPr>
          <w:rFonts w:asciiTheme="minorHAnsi" w:hAnsiTheme="minorHAnsi" w:cstheme="minorHAnsi"/>
          <w:sz w:val="20"/>
          <w:szCs w:val="22"/>
          <w:lang w:val="en-AU"/>
        </w:rPr>
        <w:t xml:space="preserve"> various performance measures in relation to</w:t>
      </w:r>
      <w:r w:rsidR="00360160" w:rsidRPr="00374F04">
        <w:rPr>
          <w:rFonts w:asciiTheme="minorHAnsi" w:hAnsiTheme="minorHAnsi" w:cstheme="minorHAnsi"/>
          <w:sz w:val="20"/>
          <w:szCs w:val="22"/>
          <w:lang w:val="en-AU"/>
        </w:rPr>
        <w:t xml:space="preserve"> biosecurity emergency respons</w:t>
      </w:r>
      <w:r w:rsidR="00027BC5">
        <w:rPr>
          <w:rFonts w:asciiTheme="minorHAnsi" w:hAnsiTheme="minorHAnsi" w:cstheme="minorHAnsi"/>
          <w:sz w:val="20"/>
          <w:szCs w:val="22"/>
          <w:lang w:val="en-AU"/>
        </w:rPr>
        <w:t>e</w:t>
      </w:r>
      <w:r w:rsidR="00314973">
        <w:rPr>
          <w:rFonts w:asciiTheme="minorHAnsi" w:hAnsiTheme="minorHAnsi" w:cstheme="minorHAnsi"/>
          <w:sz w:val="20"/>
          <w:szCs w:val="22"/>
          <w:lang w:val="en-AU"/>
        </w:rPr>
        <w:t>s</w:t>
      </w:r>
      <w:r w:rsidR="00027BC5">
        <w:rPr>
          <w:rFonts w:asciiTheme="minorHAnsi" w:hAnsiTheme="minorHAnsi" w:cstheme="minorHAnsi"/>
          <w:sz w:val="20"/>
          <w:szCs w:val="22"/>
          <w:lang w:val="en-AU"/>
        </w:rPr>
        <w:t xml:space="preserve"> and response exercises. </w:t>
      </w:r>
      <w:r w:rsidR="00884730">
        <w:rPr>
          <w:rFonts w:asciiTheme="minorHAnsi" w:hAnsiTheme="minorHAnsi" w:cstheme="minorHAnsi"/>
          <w:sz w:val="20"/>
          <w:szCs w:val="22"/>
          <w:lang w:val="en-AU"/>
        </w:rPr>
        <w:t xml:space="preserve">Recent evaluation reports of emergency responses and response exercises </w:t>
      </w:r>
      <w:r w:rsidR="00BC3A03">
        <w:rPr>
          <w:rFonts w:asciiTheme="minorHAnsi" w:hAnsiTheme="minorHAnsi" w:cstheme="minorHAnsi"/>
          <w:sz w:val="20"/>
          <w:szCs w:val="22"/>
          <w:lang w:val="en-AU"/>
        </w:rPr>
        <w:t>include:</w:t>
      </w:r>
      <w:r w:rsidR="002006E7">
        <w:rPr>
          <w:rFonts w:asciiTheme="minorHAnsi" w:hAnsiTheme="minorHAnsi" w:cstheme="minorHAnsi"/>
          <w:sz w:val="20"/>
          <w:szCs w:val="22"/>
          <w:lang w:val="en-AU"/>
        </w:rPr>
        <w:t xml:space="preserve"> </w:t>
      </w:r>
      <w:r w:rsidR="00884730" w:rsidRPr="00884730">
        <w:rPr>
          <w:rFonts w:asciiTheme="minorHAnsi" w:hAnsiTheme="minorHAnsi" w:cstheme="minorHAnsi"/>
          <w:sz w:val="20"/>
          <w:szCs w:val="22"/>
          <w:lang w:val="en-AU"/>
        </w:rPr>
        <w:t>Giant Pine Scale response</w:t>
      </w:r>
      <w:r w:rsidR="002006E7">
        <w:rPr>
          <w:rFonts w:asciiTheme="minorHAnsi" w:hAnsiTheme="minorHAnsi" w:cstheme="minorHAnsi"/>
          <w:sz w:val="20"/>
          <w:szCs w:val="22"/>
          <w:lang w:val="en-AU"/>
        </w:rPr>
        <w:t xml:space="preserve">; </w:t>
      </w:r>
      <w:r w:rsidR="00BC3A03">
        <w:rPr>
          <w:rFonts w:asciiTheme="minorHAnsi" w:hAnsiTheme="minorHAnsi" w:cstheme="minorHAnsi"/>
          <w:sz w:val="20"/>
          <w:szCs w:val="22"/>
          <w:lang w:val="en-AU"/>
        </w:rPr>
        <w:t>A</w:t>
      </w:r>
      <w:r w:rsidR="00884730" w:rsidRPr="00884730">
        <w:rPr>
          <w:rFonts w:asciiTheme="minorHAnsi" w:hAnsiTheme="minorHAnsi" w:cstheme="minorHAnsi"/>
          <w:sz w:val="20"/>
          <w:szCs w:val="22"/>
          <w:lang w:val="en-AU"/>
        </w:rPr>
        <w:t>nthrax response</w:t>
      </w:r>
      <w:r w:rsidR="002006E7">
        <w:rPr>
          <w:rFonts w:asciiTheme="minorHAnsi" w:hAnsiTheme="minorHAnsi" w:cstheme="minorHAnsi"/>
          <w:sz w:val="20"/>
          <w:szCs w:val="22"/>
          <w:lang w:val="en-AU"/>
        </w:rPr>
        <w:t xml:space="preserve">; </w:t>
      </w:r>
      <w:r w:rsidR="00884730" w:rsidRPr="00884730">
        <w:rPr>
          <w:rFonts w:asciiTheme="minorHAnsi" w:hAnsiTheme="minorHAnsi" w:cstheme="minorHAnsi"/>
          <w:sz w:val="20"/>
          <w:szCs w:val="22"/>
          <w:lang w:val="en-AU"/>
        </w:rPr>
        <w:t xml:space="preserve">Bee Prepared emergency </w:t>
      </w:r>
      <w:r w:rsidR="00BC3A03">
        <w:rPr>
          <w:rFonts w:asciiTheme="minorHAnsi" w:hAnsiTheme="minorHAnsi" w:cstheme="minorHAnsi"/>
          <w:sz w:val="20"/>
          <w:szCs w:val="22"/>
          <w:lang w:val="en-AU"/>
        </w:rPr>
        <w:t xml:space="preserve">response </w:t>
      </w:r>
      <w:r w:rsidR="00884730" w:rsidRPr="00884730">
        <w:rPr>
          <w:rFonts w:asciiTheme="minorHAnsi" w:hAnsiTheme="minorHAnsi" w:cstheme="minorHAnsi"/>
          <w:sz w:val="20"/>
          <w:szCs w:val="22"/>
          <w:lang w:val="en-AU"/>
        </w:rPr>
        <w:t>exercise</w:t>
      </w:r>
      <w:r w:rsidR="002006E7">
        <w:rPr>
          <w:rFonts w:asciiTheme="minorHAnsi" w:hAnsiTheme="minorHAnsi" w:cstheme="minorHAnsi"/>
          <w:sz w:val="20"/>
          <w:szCs w:val="22"/>
          <w:lang w:val="en-AU"/>
        </w:rPr>
        <w:t xml:space="preserve">; </w:t>
      </w:r>
      <w:r w:rsidR="00BC3A03">
        <w:rPr>
          <w:rFonts w:asciiTheme="minorHAnsi" w:hAnsiTheme="minorHAnsi" w:cstheme="minorHAnsi"/>
          <w:sz w:val="20"/>
          <w:szCs w:val="22"/>
          <w:lang w:val="en-AU"/>
        </w:rPr>
        <w:t>V</w:t>
      </w:r>
      <w:r w:rsidR="00884730" w:rsidRPr="00884730">
        <w:rPr>
          <w:rFonts w:asciiTheme="minorHAnsi" w:hAnsiTheme="minorHAnsi" w:cstheme="minorHAnsi"/>
          <w:sz w:val="20"/>
          <w:szCs w:val="22"/>
          <w:lang w:val="en-AU"/>
        </w:rPr>
        <w:t xml:space="preserve">arroa mite </w:t>
      </w:r>
      <w:r w:rsidR="00BC3A03">
        <w:rPr>
          <w:rFonts w:asciiTheme="minorHAnsi" w:hAnsiTheme="minorHAnsi" w:cstheme="minorHAnsi"/>
          <w:sz w:val="20"/>
          <w:szCs w:val="22"/>
          <w:lang w:val="en-AU"/>
        </w:rPr>
        <w:t xml:space="preserve">detection </w:t>
      </w:r>
      <w:r w:rsidR="00884730" w:rsidRPr="00884730">
        <w:rPr>
          <w:rFonts w:asciiTheme="minorHAnsi" w:hAnsiTheme="minorHAnsi" w:cstheme="minorHAnsi"/>
          <w:sz w:val="20"/>
          <w:szCs w:val="22"/>
          <w:lang w:val="en-AU"/>
        </w:rPr>
        <w:t>response; and</w:t>
      </w:r>
      <w:r w:rsidR="002006E7">
        <w:rPr>
          <w:rFonts w:asciiTheme="minorHAnsi" w:hAnsiTheme="minorHAnsi" w:cstheme="minorHAnsi"/>
          <w:sz w:val="20"/>
          <w:szCs w:val="22"/>
          <w:lang w:val="en-AU"/>
        </w:rPr>
        <w:t xml:space="preserve"> the </w:t>
      </w:r>
      <w:r w:rsidR="00884730" w:rsidRPr="00884730">
        <w:rPr>
          <w:rFonts w:asciiTheme="minorHAnsi" w:hAnsiTheme="minorHAnsi" w:cstheme="minorHAnsi"/>
          <w:sz w:val="20"/>
          <w:szCs w:val="22"/>
          <w:lang w:val="en-AU"/>
        </w:rPr>
        <w:t>South West fire response.</w:t>
      </w:r>
    </w:p>
    <w:p w14:paraId="5CC8C5DC" w14:textId="752852EF" w:rsidR="006308F2" w:rsidRPr="00BA3E0A" w:rsidRDefault="00BC3A03" w:rsidP="004E70FF">
      <w:pPr>
        <w:spacing w:line="276" w:lineRule="auto"/>
        <w:rPr>
          <w:rFonts w:asciiTheme="minorHAnsi" w:hAnsiTheme="minorHAnsi" w:cstheme="minorHAnsi"/>
          <w:sz w:val="20"/>
          <w:szCs w:val="22"/>
          <w:lang w:val="en-AU"/>
        </w:rPr>
      </w:pPr>
      <w:r>
        <w:rPr>
          <w:rFonts w:asciiTheme="minorHAnsi" w:hAnsiTheme="minorHAnsi" w:cstheme="minorHAnsi"/>
          <w:sz w:val="20"/>
          <w:szCs w:val="22"/>
          <w:lang w:val="en-AU"/>
        </w:rPr>
        <w:t>E</w:t>
      </w:r>
      <w:r w:rsidR="00027BC5">
        <w:rPr>
          <w:rFonts w:asciiTheme="minorHAnsi" w:hAnsiTheme="minorHAnsi" w:cstheme="minorHAnsi"/>
          <w:sz w:val="20"/>
          <w:szCs w:val="22"/>
          <w:lang w:val="en-AU"/>
        </w:rPr>
        <w:t>mergency response e</w:t>
      </w:r>
      <w:r w:rsidR="006308F2" w:rsidRPr="00BA3E0A">
        <w:rPr>
          <w:rFonts w:asciiTheme="minorHAnsi" w:hAnsiTheme="minorHAnsi" w:cstheme="minorHAnsi"/>
          <w:sz w:val="20"/>
          <w:szCs w:val="22"/>
          <w:lang w:val="en-AU"/>
        </w:rPr>
        <w:t xml:space="preserve">valuation reports </w:t>
      </w:r>
      <w:r w:rsidR="00884730">
        <w:rPr>
          <w:rFonts w:asciiTheme="minorHAnsi" w:hAnsiTheme="minorHAnsi" w:cstheme="minorHAnsi"/>
          <w:sz w:val="20"/>
          <w:szCs w:val="22"/>
          <w:lang w:val="en-AU"/>
        </w:rPr>
        <w:t>are</w:t>
      </w:r>
      <w:r w:rsidR="00027BC5">
        <w:rPr>
          <w:rFonts w:asciiTheme="minorHAnsi" w:hAnsiTheme="minorHAnsi" w:cstheme="minorHAnsi"/>
          <w:sz w:val="20"/>
          <w:szCs w:val="22"/>
          <w:lang w:val="en-AU"/>
        </w:rPr>
        <w:t xml:space="preserve"> made available to </w:t>
      </w:r>
      <w:r w:rsidR="00884730">
        <w:rPr>
          <w:rFonts w:asciiTheme="minorHAnsi" w:hAnsiTheme="minorHAnsi" w:cstheme="minorHAnsi"/>
          <w:sz w:val="20"/>
          <w:szCs w:val="22"/>
          <w:lang w:val="en-AU"/>
        </w:rPr>
        <w:t xml:space="preserve">Agriculture Victoria </w:t>
      </w:r>
      <w:r w:rsidR="00027BC5">
        <w:rPr>
          <w:rFonts w:asciiTheme="minorHAnsi" w:hAnsiTheme="minorHAnsi" w:cstheme="minorHAnsi"/>
          <w:sz w:val="20"/>
          <w:szCs w:val="22"/>
          <w:lang w:val="en-AU"/>
        </w:rPr>
        <w:t xml:space="preserve">staff through the </w:t>
      </w:r>
      <w:r w:rsidR="006308F2" w:rsidRPr="00BA3E0A">
        <w:rPr>
          <w:rFonts w:asciiTheme="minorHAnsi" w:hAnsiTheme="minorHAnsi" w:cstheme="minorHAnsi"/>
          <w:sz w:val="20"/>
          <w:szCs w:val="22"/>
          <w:lang w:val="en-AU"/>
        </w:rPr>
        <w:t>BioWeb</w:t>
      </w:r>
      <w:r w:rsidR="00027BC5">
        <w:rPr>
          <w:rFonts w:asciiTheme="minorHAnsi" w:hAnsiTheme="minorHAnsi" w:cstheme="minorHAnsi"/>
          <w:sz w:val="20"/>
          <w:szCs w:val="22"/>
          <w:lang w:val="en-AU"/>
        </w:rPr>
        <w:t xml:space="preserve"> online platform</w:t>
      </w:r>
      <w:r w:rsidR="006308F2" w:rsidRPr="00BA3E0A">
        <w:rPr>
          <w:rFonts w:asciiTheme="minorHAnsi" w:hAnsiTheme="minorHAnsi" w:cstheme="minorHAnsi"/>
          <w:sz w:val="20"/>
          <w:szCs w:val="22"/>
          <w:lang w:val="en-AU"/>
        </w:rPr>
        <w:t xml:space="preserve">. </w:t>
      </w:r>
      <w:r w:rsidR="00027BC5">
        <w:rPr>
          <w:rFonts w:asciiTheme="minorHAnsi" w:hAnsiTheme="minorHAnsi" w:cstheme="minorHAnsi"/>
          <w:sz w:val="20"/>
          <w:szCs w:val="22"/>
          <w:lang w:val="en-AU"/>
        </w:rPr>
        <w:t xml:space="preserve">Agriculture Victoria is committed to the ongoing implementation of best practice emergency response processes to ensure high level emergency </w:t>
      </w:r>
      <w:r w:rsidR="00884730">
        <w:rPr>
          <w:rFonts w:asciiTheme="minorHAnsi" w:hAnsiTheme="minorHAnsi" w:cstheme="minorHAnsi"/>
          <w:sz w:val="20"/>
          <w:szCs w:val="22"/>
          <w:lang w:val="en-AU"/>
        </w:rPr>
        <w:t>response outcomes.</w:t>
      </w:r>
      <w:r w:rsidR="00027BC5">
        <w:rPr>
          <w:rFonts w:asciiTheme="minorHAnsi" w:hAnsiTheme="minorHAnsi" w:cstheme="minorHAnsi"/>
          <w:sz w:val="20"/>
          <w:szCs w:val="22"/>
          <w:lang w:val="en-AU"/>
        </w:rPr>
        <w:t xml:space="preserve"> </w:t>
      </w:r>
      <w:r w:rsidR="006308F2" w:rsidRPr="00BA3E0A">
        <w:rPr>
          <w:rFonts w:asciiTheme="minorHAnsi" w:hAnsiTheme="minorHAnsi" w:cstheme="minorHAnsi"/>
          <w:sz w:val="20"/>
          <w:szCs w:val="22"/>
          <w:lang w:val="en-AU"/>
        </w:rPr>
        <w:t>An Emergency Preparedness Committee</w:t>
      </w:r>
      <w:r w:rsidR="00884730">
        <w:rPr>
          <w:rFonts w:asciiTheme="minorHAnsi" w:hAnsiTheme="minorHAnsi" w:cstheme="minorHAnsi"/>
          <w:sz w:val="20"/>
          <w:szCs w:val="22"/>
          <w:lang w:val="en-AU"/>
        </w:rPr>
        <w:t xml:space="preserve"> </w:t>
      </w:r>
      <w:r w:rsidR="003E59BC">
        <w:rPr>
          <w:rFonts w:asciiTheme="minorHAnsi" w:hAnsiTheme="minorHAnsi" w:cstheme="minorHAnsi"/>
          <w:sz w:val="20"/>
          <w:szCs w:val="22"/>
          <w:lang w:val="en-AU"/>
        </w:rPr>
        <w:t>is in</w:t>
      </w:r>
      <w:r w:rsidR="00884730">
        <w:rPr>
          <w:rFonts w:asciiTheme="minorHAnsi" w:hAnsiTheme="minorHAnsi" w:cstheme="minorHAnsi"/>
          <w:sz w:val="20"/>
          <w:szCs w:val="22"/>
          <w:lang w:val="en-AU"/>
        </w:rPr>
        <w:t xml:space="preserve"> place with to</w:t>
      </w:r>
      <w:r w:rsidR="006308F2" w:rsidRPr="00BA3E0A">
        <w:rPr>
          <w:rFonts w:asciiTheme="minorHAnsi" w:hAnsiTheme="minorHAnsi" w:cstheme="minorHAnsi"/>
          <w:sz w:val="20"/>
          <w:szCs w:val="22"/>
          <w:lang w:val="en-AU"/>
        </w:rPr>
        <w:t xml:space="preserve"> prioritise and track</w:t>
      </w:r>
      <w:r w:rsidR="003E59BC">
        <w:rPr>
          <w:rFonts w:asciiTheme="minorHAnsi" w:hAnsiTheme="minorHAnsi" w:cstheme="minorHAnsi"/>
          <w:sz w:val="20"/>
          <w:szCs w:val="22"/>
          <w:lang w:val="en-AU"/>
        </w:rPr>
        <w:t xml:space="preserve"> </w:t>
      </w:r>
      <w:r>
        <w:rPr>
          <w:rFonts w:asciiTheme="minorHAnsi" w:hAnsiTheme="minorHAnsi" w:cstheme="minorHAnsi"/>
          <w:sz w:val="20"/>
          <w:szCs w:val="22"/>
          <w:lang w:val="en-AU"/>
        </w:rPr>
        <w:t xml:space="preserve">the implementation of </w:t>
      </w:r>
      <w:r w:rsidR="006308F2" w:rsidRPr="00BA3E0A">
        <w:rPr>
          <w:rFonts w:asciiTheme="minorHAnsi" w:hAnsiTheme="minorHAnsi" w:cstheme="minorHAnsi"/>
          <w:sz w:val="20"/>
          <w:szCs w:val="22"/>
          <w:lang w:val="en-AU"/>
        </w:rPr>
        <w:t xml:space="preserve">actions </w:t>
      </w:r>
      <w:r>
        <w:rPr>
          <w:rFonts w:asciiTheme="minorHAnsi" w:hAnsiTheme="minorHAnsi" w:cstheme="minorHAnsi"/>
          <w:sz w:val="20"/>
          <w:szCs w:val="22"/>
          <w:lang w:val="en-AU"/>
        </w:rPr>
        <w:t xml:space="preserve">arising from responses </w:t>
      </w:r>
      <w:r w:rsidR="006308F2" w:rsidRPr="00BA3E0A">
        <w:rPr>
          <w:rFonts w:asciiTheme="minorHAnsi" w:hAnsiTheme="minorHAnsi" w:cstheme="minorHAnsi"/>
          <w:sz w:val="20"/>
          <w:szCs w:val="22"/>
          <w:lang w:val="en-AU"/>
        </w:rPr>
        <w:t xml:space="preserve">and provides communication </w:t>
      </w:r>
      <w:r>
        <w:rPr>
          <w:rFonts w:asciiTheme="minorHAnsi" w:hAnsiTheme="minorHAnsi" w:cstheme="minorHAnsi"/>
          <w:sz w:val="20"/>
          <w:szCs w:val="22"/>
          <w:lang w:val="en-AU"/>
        </w:rPr>
        <w:t xml:space="preserve">regarding the progress of this work </w:t>
      </w:r>
      <w:r w:rsidR="006308F2" w:rsidRPr="00BA3E0A">
        <w:rPr>
          <w:rFonts w:asciiTheme="minorHAnsi" w:hAnsiTheme="minorHAnsi" w:cstheme="minorHAnsi"/>
          <w:sz w:val="20"/>
          <w:szCs w:val="22"/>
          <w:lang w:val="en-AU"/>
        </w:rPr>
        <w:t>to Agriculture Victoria staff</w:t>
      </w:r>
      <w:r>
        <w:rPr>
          <w:rFonts w:asciiTheme="minorHAnsi" w:hAnsiTheme="minorHAnsi" w:cstheme="minorHAnsi"/>
          <w:sz w:val="20"/>
          <w:szCs w:val="22"/>
          <w:lang w:val="en-AU"/>
        </w:rPr>
        <w:t>.</w:t>
      </w:r>
    </w:p>
    <w:p w14:paraId="5FB0F738" w14:textId="55D25ABF" w:rsidR="00E01A73" w:rsidRPr="00374F04" w:rsidRDefault="00E01A73" w:rsidP="00E01A73">
      <w:pPr>
        <w:pStyle w:val="Heading2"/>
        <w:rPr>
          <w:sz w:val="22"/>
        </w:rPr>
      </w:pPr>
      <w:bookmarkStart w:id="44" w:name="_Toc5254925"/>
      <w:r w:rsidRPr="00374F04">
        <w:rPr>
          <w:sz w:val="22"/>
        </w:rPr>
        <w:t>Reporting</w:t>
      </w:r>
      <w:bookmarkEnd w:id="44"/>
      <w:r w:rsidRPr="00374F04">
        <w:rPr>
          <w:sz w:val="22"/>
        </w:rPr>
        <w:t xml:space="preserve">  </w:t>
      </w:r>
    </w:p>
    <w:tbl>
      <w:tblPr>
        <w:tblStyle w:val="TableGrid"/>
        <w:tblW w:w="0" w:type="auto"/>
        <w:tblLook w:val="04A0" w:firstRow="1" w:lastRow="0" w:firstColumn="1" w:lastColumn="0" w:noHBand="0" w:noVBand="1"/>
      </w:tblPr>
      <w:tblGrid>
        <w:gridCol w:w="9730"/>
      </w:tblGrid>
      <w:tr w:rsidR="00A464C9" w:rsidRPr="00374F04" w14:paraId="5C5100E2" w14:textId="77777777" w:rsidTr="00C91A6C">
        <w:tc>
          <w:tcPr>
            <w:tcW w:w="9730" w:type="dxa"/>
            <w:shd w:val="clear" w:color="auto" w:fill="E2EAF6"/>
          </w:tcPr>
          <w:p w14:paraId="31A460C4" w14:textId="0926012B" w:rsidR="00F043C4" w:rsidRPr="00292976" w:rsidRDefault="00DE3092" w:rsidP="00292976">
            <w:pPr>
              <w:pStyle w:val="Body"/>
              <w:spacing w:before="120" w:after="120" w:line="240" w:lineRule="auto"/>
              <w:jc w:val="both"/>
              <w:rPr>
                <w:rFonts w:eastAsiaTheme="minorEastAsia" w:cstheme="minorHAnsi"/>
                <w:sz w:val="18"/>
                <w:szCs w:val="22"/>
              </w:rPr>
            </w:pPr>
            <w:r w:rsidRPr="00292976">
              <w:rPr>
                <w:rFonts w:eastAsiaTheme="minorEastAsia" w:cstheme="minorHAnsi"/>
                <w:sz w:val="18"/>
                <w:szCs w:val="22"/>
              </w:rPr>
              <w:t>Ministerial Expectations</w:t>
            </w:r>
          </w:p>
          <w:p w14:paraId="7C34702E" w14:textId="4C7FB6EF" w:rsidR="00F043C4" w:rsidRPr="00292976" w:rsidRDefault="00F043C4" w:rsidP="00292976">
            <w:pPr>
              <w:pStyle w:val="Body"/>
              <w:spacing w:before="120" w:after="120" w:line="240" w:lineRule="auto"/>
              <w:jc w:val="both"/>
              <w:rPr>
                <w:rFonts w:eastAsiaTheme="minorEastAsia" w:cstheme="minorHAnsi"/>
                <w:b w:val="0"/>
                <w:sz w:val="18"/>
                <w:szCs w:val="22"/>
              </w:rPr>
            </w:pPr>
            <w:r w:rsidRPr="00292976">
              <w:rPr>
                <w:rFonts w:eastAsiaTheme="minorEastAsia" w:cstheme="minorHAnsi"/>
                <w:b w:val="0"/>
                <w:sz w:val="18"/>
                <w:szCs w:val="22"/>
              </w:rPr>
              <w:t xml:space="preserve">Report on: </w:t>
            </w:r>
          </w:p>
          <w:p w14:paraId="433EBCFB" w14:textId="10678C4E" w:rsidR="00F043C4" w:rsidRPr="00292976" w:rsidRDefault="006311E4" w:rsidP="00893511">
            <w:pPr>
              <w:pStyle w:val="Body"/>
              <w:numPr>
                <w:ilvl w:val="0"/>
                <w:numId w:val="11"/>
              </w:numPr>
              <w:spacing w:before="120" w:after="120" w:line="240" w:lineRule="auto"/>
              <w:jc w:val="both"/>
              <w:rPr>
                <w:rFonts w:eastAsiaTheme="minorEastAsia" w:cstheme="minorHAnsi"/>
                <w:b w:val="0"/>
                <w:sz w:val="18"/>
                <w:szCs w:val="22"/>
              </w:rPr>
            </w:pPr>
            <w:r>
              <w:rPr>
                <w:rFonts w:eastAsiaTheme="minorEastAsia" w:cstheme="minorHAnsi"/>
                <w:b w:val="0"/>
                <w:sz w:val="18"/>
                <w:szCs w:val="22"/>
              </w:rPr>
              <w:t>C</w:t>
            </w:r>
            <w:r w:rsidR="00F043C4" w:rsidRPr="00292976">
              <w:rPr>
                <w:rFonts w:eastAsiaTheme="minorEastAsia" w:cstheme="minorHAnsi"/>
                <w:b w:val="0"/>
                <w:sz w:val="18"/>
                <w:szCs w:val="22"/>
              </w:rPr>
              <w:t xml:space="preserve">urrent baseline levels for performance targets set in this </w:t>
            </w:r>
            <w:r w:rsidR="00E104E6" w:rsidRPr="00292976">
              <w:rPr>
                <w:rFonts w:eastAsiaTheme="minorEastAsia" w:cstheme="minorHAnsi"/>
                <w:b w:val="0"/>
                <w:sz w:val="18"/>
                <w:szCs w:val="22"/>
              </w:rPr>
              <w:t>SOE</w:t>
            </w:r>
            <w:r w:rsidR="00403479">
              <w:rPr>
                <w:rFonts w:eastAsiaTheme="minorEastAsia" w:cstheme="minorHAnsi"/>
                <w:b w:val="0"/>
                <w:sz w:val="18"/>
                <w:szCs w:val="22"/>
              </w:rPr>
              <w:t>.</w:t>
            </w:r>
          </w:p>
          <w:p w14:paraId="6D788E2B" w14:textId="6F7E4B59" w:rsidR="00F043C4" w:rsidRPr="00292976" w:rsidRDefault="00F043C4" w:rsidP="00893511">
            <w:pPr>
              <w:pStyle w:val="Body"/>
              <w:numPr>
                <w:ilvl w:val="0"/>
                <w:numId w:val="11"/>
              </w:numPr>
              <w:spacing w:before="120" w:after="120" w:line="240" w:lineRule="auto"/>
              <w:jc w:val="both"/>
              <w:rPr>
                <w:rFonts w:eastAsiaTheme="minorEastAsia" w:cstheme="minorHAnsi"/>
                <w:b w:val="0"/>
                <w:sz w:val="18"/>
                <w:szCs w:val="22"/>
              </w:rPr>
            </w:pPr>
            <w:r w:rsidRPr="00292976">
              <w:rPr>
                <w:rFonts w:eastAsiaTheme="minorEastAsia" w:cstheme="minorHAnsi"/>
                <w:b w:val="0"/>
                <w:sz w:val="18"/>
                <w:szCs w:val="22"/>
              </w:rPr>
              <w:t xml:space="preserve">Activities to be undertaken to reach the performance targets and improvements set out in this </w:t>
            </w:r>
            <w:r w:rsidR="00E104E6" w:rsidRPr="00292976">
              <w:rPr>
                <w:rFonts w:eastAsiaTheme="minorEastAsia" w:cstheme="minorHAnsi"/>
                <w:b w:val="0"/>
                <w:sz w:val="18"/>
                <w:szCs w:val="22"/>
              </w:rPr>
              <w:t>SOE</w:t>
            </w:r>
            <w:r w:rsidR="00403479">
              <w:rPr>
                <w:rFonts w:eastAsiaTheme="minorEastAsia" w:cstheme="minorHAnsi"/>
                <w:b w:val="0"/>
                <w:sz w:val="18"/>
                <w:szCs w:val="22"/>
              </w:rPr>
              <w:t>.</w:t>
            </w:r>
          </w:p>
          <w:p w14:paraId="2B9A0E8D" w14:textId="5B1D8C51" w:rsidR="00F043C4" w:rsidRPr="00292976" w:rsidRDefault="00F043C4" w:rsidP="00893511">
            <w:pPr>
              <w:pStyle w:val="Body"/>
              <w:numPr>
                <w:ilvl w:val="0"/>
                <w:numId w:val="11"/>
              </w:numPr>
              <w:spacing w:before="120" w:after="120" w:line="240" w:lineRule="auto"/>
              <w:jc w:val="both"/>
              <w:rPr>
                <w:rFonts w:eastAsiaTheme="minorEastAsia" w:cstheme="minorHAnsi"/>
                <w:b w:val="0"/>
                <w:sz w:val="18"/>
                <w:szCs w:val="22"/>
              </w:rPr>
            </w:pPr>
            <w:r w:rsidRPr="00292976">
              <w:rPr>
                <w:rFonts w:eastAsiaTheme="minorEastAsia" w:cstheme="minorHAnsi"/>
                <w:b w:val="0"/>
                <w:sz w:val="18"/>
                <w:szCs w:val="22"/>
              </w:rPr>
              <w:t xml:space="preserve">Incorporate </w:t>
            </w:r>
            <w:r w:rsidR="00E104E6" w:rsidRPr="00292976">
              <w:rPr>
                <w:rFonts w:eastAsiaTheme="minorEastAsia" w:cstheme="minorHAnsi"/>
                <w:b w:val="0"/>
                <w:sz w:val="18"/>
                <w:szCs w:val="22"/>
              </w:rPr>
              <w:t>SOE</w:t>
            </w:r>
            <w:r w:rsidRPr="00292976">
              <w:rPr>
                <w:rFonts w:eastAsiaTheme="minorEastAsia" w:cstheme="minorHAnsi"/>
                <w:b w:val="0"/>
                <w:sz w:val="18"/>
                <w:szCs w:val="22"/>
              </w:rPr>
              <w:t xml:space="preserve"> performance targets will be incorporated into DEDJTR’s Corporate Plan, and </w:t>
            </w:r>
            <w:r w:rsidR="00E104E6" w:rsidRPr="00292976">
              <w:rPr>
                <w:rFonts w:eastAsiaTheme="minorEastAsia" w:cstheme="minorHAnsi"/>
                <w:b w:val="0"/>
                <w:sz w:val="18"/>
                <w:szCs w:val="22"/>
              </w:rPr>
              <w:t>SOE</w:t>
            </w:r>
            <w:r w:rsidRPr="00292976">
              <w:rPr>
                <w:rFonts w:eastAsiaTheme="minorEastAsia" w:cstheme="minorHAnsi"/>
                <w:b w:val="0"/>
                <w:sz w:val="18"/>
                <w:szCs w:val="22"/>
              </w:rPr>
              <w:t xml:space="preserve"> published on Agriculture Victoria’s website</w:t>
            </w:r>
            <w:r w:rsidR="00403479">
              <w:rPr>
                <w:rFonts w:eastAsiaTheme="minorEastAsia" w:cstheme="minorHAnsi"/>
                <w:b w:val="0"/>
                <w:sz w:val="18"/>
                <w:szCs w:val="22"/>
              </w:rPr>
              <w:t>.</w:t>
            </w:r>
            <w:r w:rsidRPr="00292976">
              <w:rPr>
                <w:rFonts w:eastAsiaTheme="minorEastAsia" w:cstheme="minorHAnsi"/>
                <w:b w:val="0"/>
                <w:sz w:val="18"/>
                <w:szCs w:val="22"/>
              </w:rPr>
              <w:t xml:space="preserve"> </w:t>
            </w:r>
          </w:p>
          <w:p w14:paraId="58E4CB1D" w14:textId="33795261" w:rsidR="00F043C4" w:rsidRPr="00292976" w:rsidRDefault="00F043C4" w:rsidP="00893511">
            <w:pPr>
              <w:pStyle w:val="Body"/>
              <w:numPr>
                <w:ilvl w:val="0"/>
                <w:numId w:val="11"/>
              </w:numPr>
              <w:spacing w:before="120" w:after="120" w:line="240" w:lineRule="auto"/>
              <w:jc w:val="both"/>
              <w:rPr>
                <w:rFonts w:eastAsiaTheme="minorEastAsia" w:cstheme="minorHAnsi"/>
                <w:b w:val="0"/>
                <w:sz w:val="18"/>
                <w:szCs w:val="22"/>
              </w:rPr>
            </w:pPr>
            <w:r w:rsidRPr="00292976">
              <w:rPr>
                <w:rFonts w:eastAsiaTheme="minorEastAsia" w:cstheme="minorHAnsi"/>
                <w:b w:val="0"/>
                <w:sz w:val="18"/>
                <w:szCs w:val="22"/>
              </w:rPr>
              <w:t xml:space="preserve">Within two months of receipt of </w:t>
            </w:r>
            <w:r w:rsidR="00E104E6" w:rsidRPr="00292976">
              <w:rPr>
                <w:rFonts w:eastAsiaTheme="minorEastAsia" w:cstheme="minorHAnsi"/>
                <w:b w:val="0"/>
                <w:sz w:val="18"/>
                <w:szCs w:val="22"/>
              </w:rPr>
              <w:t>SOE</w:t>
            </w:r>
            <w:r w:rsidRPr="00292976">
              <w:rPr>
                <w:rFonts w:eastAsiaTheme="minorEastAsia" w:cstheme="minorHAnsi"/>
                <w:b w:val="0"/>
                <w:sz w:val="18"/>
                <w:szCs w:val="22"/>
              </w:rPr>
              <w:t xml:space="preserve">, Agriculture Victoria will respond to this </w:t>
            </w:r>
            <w:r w:rsidR="00E104E6" w:rsidRPr="00292976">
              <w:rPr>
                <w:rFonts w:eastAsiaTheme="minorEastAsia" w:cstheme="minorHAnsi"/>
                <w:b w:val="0"/>
                <w:sz w:val="18"/>
                <w:szCs w:val="22"/>
              </w:rPr>
              <w:t>SOE</w:t>
            </w:r>
            <w:r w:rsidRPr="00292976">
              <w:rPr>
                <w:rFonts w:eastAsiaTheme="minorEastAsia" w:cstheme="minorHAnsi"/>
                <w:b w:val="0"/>
                <w:sz w:val="18"/>
                <w:szCs w:val="22"/>
              </w:rPr>
              <w:t xml:space="preserve">, outlining how it intends to achieve the performance improvements and targets set in this </w:t>
            </w:r>
            <w:r w:rsidR="00E104E6" w:rsidRPr="00292976">
              <w:rPr>
                <w:rFonts w:eastAsiaTheme="minorEastAsia" w:cstheme="minorHAnsi"/>
                <w:b w:val="0"/>
                <w:sz w:val="18"/>
                <w:szCs w:val="22"/>
              </w:rPr>
              <w:t>SOE</w:t>
            </w:r>
            <w:r w:rsidRPr="00292976">
              <w:rPr>
                <w:rFonts w:eastAsiaTheme="minorEastAsia" w:cstheme="minorHAnsi"/>
                <w:b w:val="0"/>
                <w:sz w:val="18"/>
                <w:szCs w:val="22"/>
              </w:rPr>
              <w:t xml:space="preserve">. </w:t>
            </w:r>
          </w:p>
        </w:tc>
      </w:tr>
      <w:tr w:rsidR="007F443B" w:rsidRPr="00374F04" w14:paraId="0CB2025C" w14:textId="77777777" w:rsidTr="00C91A6C">
        <w:tc>
          <w:tcPr>
            <w:tcW w:w="9730" w:type="dxa"/>
            <w:shd w:val="clear" w:color="auto" w:fill="auto"/>
          </w:tcPr>
          <w:p w14:paraId="514BD997" w14:textId="77777777" w:rsidR="007F443B" w:rsidRPr="00292976" w:rsidRDefault="007F443B" w:rsidP="00292976">
            <w:pPr>
              <w:pStyle w:val="Body"/>
              <w:spacing w:before="120" w:after="120" w:line="240" w:lineRule="auto"/>
              <w:jc w:val="both"/>
              <w:rPr>
                <w:rFonts w:eastAsiaTheme="minorEastAsia" w:cstheme="minorHAnsi"/>
                <w:sz w:val="18"/>
                <w:szCs w:val="22"/>
              </w:rPr>
            </w:pPr>
            <w:r w:rsidRPr="00292976">
              <w:rPr>
                <w:rFonts w:eastAsiaTheme="minorEastAsia" w:cstheme="minorHAnsi"/>
                <w:sz w:val="18"/>
                <w:szCs w:val="22"/>
              </w:rPr>
              <w:t xml:space="preserve">Agriculture Victoria Improvement Response  </w:t>
            </w:r>
          </w:p>
          <w:p w14:paraId="054A4126" w14:textId="41F34D53" w:rsidR="007F443B" w:rsidRPr="00292976" w:rsidRDefault="007F443B" w:rsidP="00893511">
            <w:pPr>
              <w:pStyle w:val="Body"/>
              <w:numPr>
                <w:ilvl w:val="0"/>
                <w:numId w:val="32"/>
              </w:numPr>
              <w:spacing w:before="120" w:after="120" w:line="240" w:lineRule="auto"/>
              <w:jc w:val="both"/>
              <w:rPr>
                <w:rFonts w:eastAsiaTheme="minorEastAsia" w:cstheme="minorHAnsi"/>
                <w:sz w:val="18"/>
                <w:szCs w:val="22"/>
              </w:rPr>
            </w:pPr>
            <w:r w:rsidRPr="00292976">
              <w:rPr>
                <w:rFonts w:cstheme="minorHAnsi"/>
                <w:b w:val="0"/>
                <w:sz w:val="18"/>
              </w:rPr>
              <w:t xml:space="preserve">Evaluate the performance improvements and targets contained in the </w:t>
            </w:r>
            <w:r w:rsidR="00E104E6" w:rsidRPr="00292976">
              <w:rPr>
                <w:rFonts w:cstheme="minorHAnsi"/>
                <w:b w:val="0"/>
                <w:sz w:val="18"/>
              </w:rPr>
              <w:t>SOE</w:t>
            </w:r>
            <w:r w:rsidRPr="00292976">
              <w:rPr>
                <w:rFonts w:cstheme="minorHAnsi"/>
                <w:b w:val="0"/>
                <w:sz w:val="18"/>
              </w:rPr>
              <w:t>.</w:t>
            </w:r>
          </w:p>
        </w:tc>
      </w:tr>
    </w:tbl>
    <w:p w14:paraId="78D551A6" w14:textId="3C4E6009" w:rsidR="00A248F8" w:rsidRDefault="003E59BC" w:rsidP="00A248F8">
      <w:pPr>
        <w:pStyle w:val="Heading2"/>
        <w:numPr>
          <w:ilvl w:val="0"/>
          <w:numId w:val="0"/>
        </w:numPr>
        <w:ind w:left="360" w:hanging="360"/>
        <w:rPr>
          <w:rFonts w:asciiTheme="minorHAnsi" w:hAnsiTheme="minorHAnsi" w:cstheme="minorHAnsi"/>
          <w:sz w:val="22"/>
        </w:rPr>
      </w:pPr>
      <w:bookmarkStart w:id="45" w:name="_Toc881055"/>
      <w:bookmarkStart w:id="46" w:name="_Toc5254926"/>
      <w:bookmarkEnd w:id="40"/>
      <w:r>
        <w:rPr>
          <w:rFonts w:asciiTheme="minorHAnsi" w:hAnsiTheme="minorHAnsi" w:cstheme="minorHAnsi"/>
          <w:sz w:val="22"/>
        </w:rPr>
        <w:t>K</w:t>
      </w:r>
      <w:r w:rsidR="00A248F8" w:rsidRPr="001E0075">
        <w:rPr>
          <w:rFonts w:asciiTheme="minorHAnsi" w:hAnsiTheme="minorHAnsi" w:cstheme="minorHAnsi"/>
          <w:sz w:val="22"/>
        </w:rPr>
        <w:t>ey Findings</w:t>
      </w:r>
      <w:bookmarkEnd w:id="45"/>
      <w:bookmarkEnd w:id="46"/>
      <w:r w:rsidR="00A248F8" w:rsidRPr="001E0075">
        <w:rPr>
          <w:rFonts w:asciiTheme="minorHAnsi" w:hAnsiTheme="minorHAnsi" w:cstheme="minorHAnsi"/>
          <w:sz w:val="22"/>
        </w:rPr>
        <w:t xml:space="preserve"> </w:t>
      </w:r>
    </w:p>
    <w:p w14:paraId="2E661778" w14:textId="09CF53E3" w:rsidR="00314973" w:rsidRPr="00374F04" w:rsidRDefault="007F443B" w:rsidP="003E09AA">
      <w:pPr>
        <w:spacing w:line="276" w:lineRule="auto"/>
        <w:rPr>
          <w:rFonts w:asciiTheme="minorHAnsi" w:hAnsiTheme="minorHAnsi" w:cstheme="minorHAnsi"/>
          <w:sz w:val="20"/>
          <w:szCs w:val="22"/>
          <w:lang w:val="en-AU"/>
        </w:rPr>
      </w:pPr>
      <w:r w:rsidRPr="00374F04">
        <w:rPr>
          <w:rFonts w:asciiTheme="minorHAnsi" w:hAnsiTheme="minorHAnsi" w:cstheme="minorHAnsi"/>
          <w:sz w:val="20"/>
          <w:szCs w:val="22"/>
          <w:lang w:val="en-AU"/>
        </w:rPr>
        <w:t xml:space="preserve">Agriculture Victoria has reported on its baseline levels of performance in its 2018 </w:t>
      </w:r>
      <w:r w:rsidR="00E104E6" w:rsidRPr="00374F04">
        <w:rPr>
          <w:rFonts w:asciiTheme="minorHAnsi" w:hAnsiTheme="minorHAnsi" w:cstheme="minorHAnsi"/>
          <w:sz w:val="20"/>
          <w:szCs w:val="22"/>
          <w:lang w:val="en-AU"/>
        </w:rPr>
        <w:t>SOE</w:t>
      </w:r>
      <w:r w:rsidRPr="00374F04">
        <w:rPr>
          <w:rFonts w:asciiTheme="minorHAnsi" w:hAnsiTheme="minorHAnsi" w:cstheme="minorHAnsi"/>
          <w:sz w:val="20"/>
          <w:szCs w:val="22"/>
          <w:lang w:val="en-AU"/>
        </w:rPr>
        <w:t xml:space="preserve"> Annual Performance report. It responded to the Minister’s </w:t>
      </w:r>
      <w:r w:rsidR="00E104E6" w:rsidRPr="00374F04">
        <w:rPr>
          <w:rFonts w:asciiTheme="minorHAnsi" w:hAnsiTheme="minorHAnsi" w:cstheme="minorHAnsi"/>
          <w:sz w:val="20"/>
          <w:szCs w:val="22"/>
          <w:lang w:val="en-AU"/>
        </w:rPr>
        <w:t>SOE</w:t>
      </w:r>
      <w:r w:rsidRPr="00374F04">
        <w:rPr>
          <w:rFonts w:asciiTheme="minorHAnsi" w:hAnsiTheme="minorHAnsi" w:cstheme="minorHAnsi"/>
          <w:sz w:val="20"/>
          <w:szCs w:val="22"/>
          <w:lang w:val="en-AU"/>
        </w:rPr>
        <w:t xml:space="preserve"> within two months of receipt and reports on specific improvement targets through </w:t>
      </w:r>
      <w:r w:rsidRPr="0003367D">
        <w:rPr>
          <w:rFonts w:asciiTheme="minorHAnsi" w:hAnsiTheme="minorHAnsi" w:cstheme="minorHAnsi"/>
          <w:sz w:val="20"/>
          <w:szCs w:val="22"/>
          <w:lang w:val="en-AU"/>
        </w:rPr>
        <w:t xml:space="preserve">project reporting. </w:t>
      </w:r>
      <w:r w:rsidRPr="00374F04">
        <w:rPr>
          <w:rFonts w:asciiTheme="minorHAnsi" w:hAnsiTheme="minorHAnsi" w:cstheme="minorHAnsi"/>
          <w:sz w:val="20"/>
          <w:szCs w:val="22"/>
          <w:lang w:val="en-AU"/>
        </w:rPr>
        <w:t xml:space="preserve">Agriculture Victoria is continuing to use the </w:t>
      </w:r>
      <w:r w:rsidR="00073DE7">
        <w:rPr>
          <w:rFonts w:asciiTheme="minorHAnsi" w:hAnsiTheme="minorHAnsi" w:cstheme="minorHAnsi"/>
          <w:sz w:val="20"/>
          <w:szCs w:val="22"/>
          <w:lang w:val="en-AU"/>
        </w:rPr>
        <w:t>BEF</w:t>
      </w:r>
      <w:r w:rsidRPr="00374F04">
        <w:rPr>
          <w:rFonts w:asciiTheme="minorHAnsi" w:hAnsiTheme="minorHAnsi" w:cstheme="minorHAnsi"/>
          <w:sz w:val="20"/>
          <w:szCs w:val="22"/>
          <w:lang w:val="en-AU"/>
        </w:rPr>
        <w:t xml:space="preserve"> to demonstrate the effectiveness and impact of its regulatory performance</w:t>
      </w:r>
      <w:r w:rsidR="001A3107">
        <w:rPr>
          <w:rFonts w:asciiTheme="minorHAnsi" w:hAnsiTheme="minorHAnsi" w:cstheme="minorHAnsi"/>
          <w:sz w:val="20"/>
          <w:szCs w:val="22"/>
          <w:lang w:val="en-AU"/>
        </w:rPr>
        <w:t xml:space="preserve"> (for example, t</w:t>
      </w:r>
      <w:r w:rsidRPr="00374F04">
        <w:rPr>
          <w:rFonts w:asciiTheme="minorHAnsi" w:hAnsiTheme="minorHAnsi" w:cstheme="minorHAnsi"/>
          <w:sz w:val="20"/>
          <w:szCs w:val="22"/>
          <w:lang w:val="en-AU"/>
        </w:rPr>
        <w:t xml:space="preserve">he BEF informed the </w:t>
      </w:r>
      <w:r w:rsidR="00E104E6" w:rsidRPr="00374F04">
        <w:rPr>
          <w:rFonts w:asciiTheme="minorHAnsi" w:hAnsiTheme="minorHAnsi" w:cstheme="minorHAnsi"/>
          <w:sz w:val="20"/>
          <w:szCs w:val="22"/>
          <w:lang w:val="en-AU"/>
        </w:rPr>
        <w:t>SOE</w:t>
      </w:r>
      <w:r w:rsidRPr="00374F04">
        <w:rPr>
          <w:rFonts w:asciiTheme="minorHAnsi" w:hAnsiTheme="minorHAnsi" w:cstheme="minorHAnsi"/>
          <w:sz w:val="20"/>
          <w:szCs w:val="22"/>
          <w:lang w:val="en-AU"/>
        </w:rPr>
        <w:t xml:space="preserve"> Annual Performance report</w:t>
      </w:r>
      <w:r w:rsidR="001A3107">
        <w:rPr>
          <w:rFonts w:asciiTheme="minorHAnsi" w:hAnsiTheme="minorHAnsi" w:cstheme="minorHAnsi"/>
          <w:sz w:val="20"/>
          <w:szCs w:val="22"/>
          <w:lang w:val="en-AU"/>
        </w:rPr>
        <w:t>)</w:t>
      </w:r>
      <w:r w:rsidRPr="00374F04">
        <w:rPr>
          <w:rFonts w:asciiTheme="minorHAnsi" w:hAnsiTheme="minorHAnsi" w:cstheme="minorHAnsi"/>
          <w:sz w:val="20"/>
          <w:szCs w:val="22"/>
          <w:lang w:val="en-AU"/>
        </w:rPr>
        <w:t xml:space="preserve">. </w:t>
      </w:r>
    </w:p>
    <w:p w14:paraId="6477BCF2" w14:textId="5C6C1DE2" w:rsidR="007F443B" w:rsidRPr="00374F04" w:rsidRDefault="007F443B" w:rsidP="00E01A73">
      <w:pPr>
        <w:pStyle w:val="Heading1"/>
        <w:rPr>
          <w:sz w:val="24"/>
          <w:lang w:val="en-AU"/>
        </w:rPr>
      </w:pPr>
      <w:bookmarkStart w:id="47" w:name="_Toc5254927"/>
      <w:r w:rsidRPr="00374F04">
        <w:rPr>
          <w:sz w:val="24"/>
          <w:lang w:val="en-AU"/>
        </w:rPr>
        <w:t>Conclusion</w:t>
      </w:r>
      <w:bookmarkEnd w:id="47"/>
      <w:r w:rsidRPr="00374F04">
        <w:rPr>
          <w:sz w:val="24"/>
          <w:lang w:val="en-AU"/>
        </w:rPr>
        <w:t xml:space="preserve"> </w:t>
      </w:r>
    </w:p>
    <w:p w14:paraId="4770F4D1" w14:textId="09389E01" w:rsidR="0066292A" w:rsidRDefault="007F443B" w:rsidP="00362A62">
      <w:pPr>
        <w:spacing w:line="276" w:lineRule="auto"/>
        <w:rPr>
          <w:rFonts w:asciiTheme="minorHAnsi" w:hAnsiTheme="minorHAnsi" w:cstheme="minorHAnsi"/>
          <w:sz w:val="20"/>
          <w:szCs w:val="22"/>
        </w:rPr>
      </w:pPr>
      <w:r w:rsidRPr="00374F04">
        <w:rPr>
          <w:rFonts w:asciiTheme="minorHAnsi" w:hAnsiTheme="minorHAnsi" w:cstheme="minorHAnsi"/>
          <w:sz w:val="20"/>
          <w:szCs w:val="22"/>
        </w:rPr>
        <w:t xml:space="preserve">Agriculture Victoria is progressing the improvement targets in the </w:t>
      </w:r>
      <w:r w:rsidR="00E104E6" w:rsidRPr="00374F04">
        <w:rPr>
          <w:rFonts w:asciiTheme="minorHAnsi" w:hAnsiTheme="minorHAnsi" w:cstheme="minorHAnsi"/>
          <w:sz w:val="20"/>
          <w:szCs w:val="22"/>
        </w:rPr>
        <w:t>SOE</w:t>
      </w:r>
      <w:r w:rsidR="001B4DC1">
        <w:rPr>
          <w:rFonts w:asciiTheme="minorHAnsi" w:hAnsiTheme="minorHAnsi" w:cstheme="minorHAnsi"/>
          <w:sz w:val="20"/>
          <w:szCs w:val="22"/>
        </w:rPr>
        <w:t>,</w:t>
      </w:r>
      <w:r w:rsidR="00F032F5">
        <w:rPr>
          <w:rFonts w:asciiTheme="minorHAnsi" w:hAnsiTheme="minorHAnsi" w:cstheme="minorHAnsi"/>
          <w:sz w:val="20"/>
          <w:szCs w:val="22"/>
        </w:rPr>
        <w:t xml:space="preserve"> with most </w:t>
      </w:r>
      <w:r w:rsidR="00F032F5" w:rsidRPr="00374F04">
        <w:rPr>
          <w:rFonts w:asciiTheme="minorHAnsi" w:hAnsiTheme="minorHAnsi" w:cstheme="minorHAnsi"/>
          <w:sz w:val="20"/>
          <w:szCs w:val="22"/>
        </w:rPr>
        <w:t xml:space="preserve">improvements </w:t>
      </w:r>
      <w:r w:rsidR="00F032F5">
        <w:rPr>
          <w:rFonts w:asciiTheme="minorHAnsi" w:hAnsiTheme="minorHAnsi" w:cstheme="minorHAnsi"/>
          <w:sz w:val="20"/>
          <w:szCs w:val="22"/>
        </w:rPr>
        <w:t xml:space="preserve">on track for </w:t>
      </w:r>
      <w:r w:rsidR="00F032F5" w:rsidRPr="00374F04">
        <w:rPr>
          <w:rFonts w:asciiTheme="minorHAnsi" w:hAnsiTheme="minorHAnsi" w:cstheme="minorHAnsi"/>
          <w:sz w:val="20"/>
          <w:szCs w:val="22"/>
        </w:rPr>
        <w:t xml:space="preserve">delivery by </w:t>
      </w:r>
      <w:r w:rsidR="00F032F5">
        <w:rPr>
          <w:rFonts w:asciiTheme="minorHAnsi" w:hAnsiTheme="minorHAnsi" w:cstheme="minorHAnsi"/>
          <w:sz w:val="20"/>
          <w:szCs w:val="22"/>
        </w:rPr>
        <w:t>30</w:t>
      </w:r>
      <w:r w:rsidR="00F032F5" w:rsidRPr="00374F04">
        <w:rPr>
          <w:rFonts w:asciiTheme="minorHAnsi" w:hAnsiTheme="minorHAnsi" w:cstheme="minorHAnsi"/>
          <w:sz w:val="20"/>
          <w:szCs w:val="22"/>
        </w:rPr>
        <w:t xml:space="preserve"> June 2019</w:t>
      </w:r>
      <w:r w:rsidR="001B4DC1">
        <w:rPr>
          <w:rFonts w:asciiTheme="minorHAnsi" w:hAnsiTheme="minorHAnsi" w:cstheme="minorHAnsi"/>
          <w:sz w:val="20"/>
          <w:szCs w:val="22"/>
        </w:rPr>
        <w:t xml:space="preserve"> and </w:t>
      </w:r>
      <w:r w:rsidR="001B4DC1" w:rsidRPr="00374F04">
        <w:rPr>
          <w:rFonts w:asciiTheme="minorHAnsi" w:hAnsiTheme="minorHAnsi" w:cstheme="minorHAnsi"/>
          <w:sz w:val="20"/>
          <w:szCs w:val="22"/>
        </w:rPr>
        <w:t>established structures and processes in place to deliver its improvement targets.</w:t>
      </w:r>
      <w:r w:rsidR="001B4DC1">
        <w:rPr>
          <w:rFonts w:asciiTheme="minorHAnsi" w:hAnsiTheme="minorHAnsi" w:cstheme="minorHAnsi"/>
          <w:sz w:val="20"/>
          <w:szCs w:val="22"/>
        </w:rPr>
        <w:t xml:space="preserve"> M</w:t>
      </w:r>
      <w:r w:rsidR="00BB57CD">
        <w:rPr>
          <w:rFonts w:asciiTheme="minorHAnsi" w:hAnsiTheme="minorHAnsi" w:cstheme="minorHAnsi"/>
          <w:sz w:val="20"/>
          <w:szCs w:val="22"/>
        </w:rPr>
        <w:t xml:space="preserve">easurement of </w:t>
      </w:r>
      <w:r w:rsidRPr="00374F04">
        <w:rPr>
          <w:rFonts w:asciiTheme="minorHAnsi" w:hAnsiTheme="minorHAnsi" w:cstheme="minorHAnsi"/>
          <w:sz w:val="20"/>
          <w:szCs w:val="22"/>
        </w:rPr>
        <w:t xml:space="preserve">the impact of the improvement targets in the </w:t>
      </w:r>
      <w:r w:rsidR="00E104E6" w:rsidRPr="00374F04">
        <w:rPr>
          <w:rFonts w:asciiTheme="minorHAnsi" w:hAnsiTheme="minorHAnsi" w:cstheme="minorHAnsi"/>
          <w:sz w:val="20"/>
          <w:szCs w:val="22"/>
        </w:rPr>
        <w:t>SOE</w:t>
      </w:r>
      <w:r w:rsidRPr="00374F04">
        <w:rPr>
          <w:rFonts w:asciiTheme="minorHAnsi" w:hAnsiTheme="minorHAnsi" w:cstheme="minorHAnsi"/>
          <w:sz w:val="20"/>
          <w:szCs w:val="22"/>
        </w:rPr>
        <w:t xml:space="preserve"> for</w:t>
      </w:r>
      <w:r w:rsidR="003735E5">
        <w:rPr>
          <w:rFonts w:asciiTheme="minorHAnsi" w:hAnsiTheme="minorHAnsi" w:cstheme="minorHAnsi"/>
          <w:sz w:val="20"/>
          <w:szCs w:val="22"/>
        </w:rPr>
        <w:t xml:space="preserve"> this evaluation</w:t>
      </w:r>
      <w:r w:rsidR="00894728">
        <w:rPr>
          <w:rFonts w:asciiTheme="minorHAnsi" w:hAnsiTheme="minorHAnsi" w:cstheme="minorHAnsi"/>
          <w:sz w:val="20"/>
          <w:szCs w:val="22"/>
        </w:rPr>
        <w:t xml:space="preserve"> has necessarily been limited to the data and information available to date,</w:t>
      </w:r>
      <w:r w:rsidR="003735E5">
        <w:rPr>
          <w:rFonts w:asciiTheme="minorHAnsi" w:hAnsiTheme="minorHAnsi" w:cstheme="minorHAnsi"/>
          <w:sz w:val="20"/>
          <w:szCs w:val="22"/>
        </w:rPr>
        <w:t xml:space="preserve"> </w:t>
      </w:r>
      <w:r w:rsidR="00894728">
        <w:rPr>
          <w:rFonts w:asciiTheme="minorHAnsi" w:hAnsiTheme="minorHAnsi" w:cstheme="minorHAnsi"/>
          <w:sz w:val="20"/>
          <w:szCs w:val="22"/>
        </w:rPr>
        <w:t xml:space="preserve">noting </w:t>
      </w:r>
      <w:r w:rsidR="00BB57CD">
        <w:rPr>
          <w:rFonts w:asciiTheme="minorHAnsi" w:hAnsiTheme="minorHAnsi" w:cstheme="minorHAnsi"/>
          <w:sz w:val="20"/>
          <w:szCs w:val="22"/>
        </w:rPr>
        <w:t xml:space="preserve">that </w:t>
      </w:r>
      <w:r w:rsidR="003735E5">
        <w:rPr>
          <w:rFonts w:asciiTheme="minorHAnsi" w:hAnsiTheme="minorHAnsi" w:cstheme="minorHAnsi"/>
          <w:sz w:val="20"/>
          <w:szCs w:val="22"/>
        </w:rPr>
        <w:t>many of the targets</w:t>
      </w:r>
      <w:r w:rsidRPr="00374F04">
        <w:rPr>
          <w:rFonts w:asciiTheme="minorHAnsi" w:hAnsiTheme="minorHAnsi" w:cstheme="minorHAnsi"/>
          <w:sz w:val="20"/>
          <w:szCs w:val="22"/>
        </w:rPr>
        <w:t xml:space="preserve"> continue to be implemen</w:t>
      </w:r>
      <w:r w:rsidR="003735E5">
        <w:rPr>
          <w:rFonts w:asciiTheme="minorHAnsi" w:hAnsiTheme="minorHAnsi" w:cstheme="minorHAnsi"/>
          <w:sz w:val="20"/>
          <w:szCs w:val="22"/>
        </w:rPr>
        <w:t>ted as</w:t>
      </w:r>
      <w:r w:rsidRPr="00374F04">
        <w:rPr>
          <w:rFonts w:asciiTheme="minorHAnsi" w:hAnsiTheme="minorHAnsi" w:cstheme="minorHAnsi"/>
          <w:sz w:val="20"/>
          <w:szCs w:val="22"/>
        </w:rPr>
        <w:t xml:space="preserve"> the </w:t>
      </w:r>
      <w:r w:rsidR="00E104E6" w:rsidRPr="00374F04">
        <w:rPr>
          <w:rFonts w:asciiTheme="minorHAnsi" w:hAnsiTheme="minorHAnsi" w:cstheme="minorHAnsi"/>
          <w:sz w:val="20"/>
          <w:szCs w:val="22"/>
        </w:rPr>
        <w:t>SOE</w:t>
      </w:r>
      <w:r w:rsidRPr="00374F04">
        <w:rPr>
          <w:rFonts w:asciiTheme="minorHAnsi" w:hAnsiTheme="minorHAnsi" w:cstheme="minorHAnsi"/>
          <w:sz w:val="20"/>
          <w:szCs w:val="22"/>
        </w:rPr>
        <w:t xml:space="preserve"> does not expire until June 2019. As a result, the time between the implementation of </w:t>
      </w:r>
      <w:r w:rsidR="00BB57CD">
        <w:rPr>
          <w:rFonts w:asciiTheme="minorHAnsi" w:hAnsiTheme="minorHAnsi" w:cstheme="minorHAnsi"/>
          <w:sz w:val="20"/>
          <w:szCs w:val="22"/>
        </w:rPr>
        <w:t>target</w:t>
      </w:r>
      <w:r w:rsidR="001B4DC1">
        <w:rPr>
          <w:rFonts w:asciiTheme="minorHAnsi" w:hAnsiTheme="minorHAnsi" w:cstheme="minorHAnsi"/>
          <w:sz w:val="20"/>
          <w:szCs w:val="22"/>
        </w:rPr>
        <w:t>s</w:t>
      </w:r>
      <w:r w:rsidR="00BB57CD">
        <w:rPr>
          <w:rFonts w:asciiTheme="minorHAnsi" w:hAnsiTheme="minorHAnsi" w:cstheme="minorHAnsi"/>
          <w:sz w:val="20"/>
          <w:szCs w:val="22"/>
        </w:rPr>
        <w:t xml:space="preserve"> </w:t>
      </w:r>
      <w:r w:rsidRPr="00374F04">
        <w:rPr>
          <w:rFonts w:asciiTheme="minorHAnsi" w:hAnsiTheme="minorHAnsi" w:cstheme="minorHAnsi"/>
          <w:sz w:val="20"/>
          <w:szCs w:val="22"/>
        </w:rPr>
        <w:t xml:space="preserve">and </w:t>
      </w:r>
      <w:r w:rsidR="001B4DC1">
        <w:rPr>
          <w:rFonts w:asciiTheme="minorHAnsi" w:hAnsiTheme="minorHAnsi" w:cstheme="minorHAnsi"/>
          <w:sz w:val="20"/>
          <w:szCs w:val="22"/>
        </w:rPr>
        <w:t>associated</w:t>
      </w:r>
      <w:r w:rsidRPr="00374F04">
        <w:rPr>
          <w:rFonts w:asciiTheme="minorHAnsi" w:hAnsiTheme="minorHAnsi" w:cstheme="minorHAnsi"/>
          <w:sz w:val="20"/>
          <w:szCs w:val="22"/>
        </w:rPr>
        <w:t xml:space="preserve"> outcome</w:t>
      </w:r>
      <w:r w:rsidR="001B4DC1">
        <w:rPr>
          <w:rFonts w:asciiTheme="minorHAnsi" w:hAnsiTheme="minorHAnsi" w:cstheme="minorHAnsi"/>
          <w:sz w:val="20"/>
          <w:szCs w:val="22"/>
        </w:rPr>
        <w:t>s</w:t>
      </w:r>
      <w:r w:rsidRPr="00374F04">
        <w:rPr>
          <w:rFonts w:asciiTheme="minorHAnsi" w:hAnsiTheme="minorHAnsi" w:cstheme="minorHAnsi"/>
          <w:sz w:val="20"/>
          <w:szCs w:val="22"/>
        </w:rPr>
        <w:t xml:space="preserve"> will vary and </w:t>
      </w:r>
      <w:r w:rsidR="00BB57CD">
        <w:rPr>
          <w:rFonts w:asciiTheme="minorHAnsi" w:hAnsiTheme="minorHAnsi" w:cstheme="minorHAnsi"/>
          <w:sz w:val="20"/>
          <w:szCs w:val="22"/>
        </w:rPr>
        <w:t>as such th</w:t>
      </w:r>
      <w:r w:rsidR="00F032F5">
        <w:rPr>
          <w:rFonts w:asciiTheme="minorHAnsi" w:hAnsiTheme="minorHAnsi" w:cstheme="minorHAnsi"/>
          <w:sz w:val="20"/>
          <w:szCs w:val="22"/>
        </w:rPr>
        <w:t>e</w:t>
      </w:r>
      <w:r w:rsidR="00BB57CD">
        <w:rPr>
          <w:rFonts w:asciiTheme="minorHAnsi" w:hAnsiTheme="minorHAnsi" w:cstheme="minorHAnsi"/>
          <w:sz w:val="20"/>
          <w:szCs w:val="22"/>
        </w:rPr>
        <w:t xml:space="preserve"> evaluation team</w:t>
      </w:r>
      <w:r w:rsidRPr="00374F04">
        <w:rPr>
          <w:rFonts w:asciiTheme="minorHAnsi" w:hAnsiTheme="minorHAnsi" w:cstheme="minorHAnsi"/>
          <w:sz w:val="20"/>
          <w:szCs w:val="22"/>
        </w:rPr>
        <w:t xml:space="preserve"> accept</w:t>
      </w:r>
      <w:r w:rsidR="00BB57CD">
        <w:rPr>
          <w:rFonts w:asciiTheme="minorHAnsi" w:hAnsiTheme="minorHAnsi" w:cstheme="minorHAnsi"/>
          <w:sz w:val="20"/>
          <w:szCs w:val="22"/>
        </w:rPr>
        <w:t>s</w:t>
      </w:r>
      <w:r w:rsidRPr="00374F04">
        <w:rPr>
          <w:rFonts w:asciiTheme="minorHAnsi" w:hAnsiTheme="minorHAnsi" w:cstheme="minorHAnsi"/>
          <w:sz w:val="20"/>
          <w:szCs w:val="22"/>
        </w:rPr>
        <w:t xml:space="preserve"> the limitations of an outcome-based assessment at this stage of the </w:t>
      </w:r>
      <w:r w:rsidR="00E104E6" w:rsidRPr="00374F04">
        <w:rPr>
          <w:rFonts w:asciiTheme="minorHAnsi" w:hAnsiTheme="minorHAnsi" w:cstheme="minorHAnsi"/>
          <w:sz w:val="20"/>
          <w:szCs w:val="22"/>
        </w:rPr>
        <w:t>SOE</w:t>
      </w:r>
      <w:r w:rsidRPr="00374F04">
        <w:rPr>
          <w:rFonts w:asciiTheme="minorHAnsi" w:hAnsiTheme="minorHAnsi" w:cstheme="minorHAnsi"/>
          <w:sz w:val="20"/>
          <w:szCs w:val="22"/>
        </w:rPr>
        <w:t xml:space="preserve"> process</w:t>
      </w:r>
      <w:r w:rsidR="001B4DC1">
        <w:rPr>
          <w:rFonts w:asciiTheme="minorHAnsi" w:hAnsiTheme="minorHAnsi" w:cstheme="minorHAnsi"/>
          <w:sz w:val="20"/>
          <w:szCs w:val="22"/>
        </w:rPr>
        <w:t xml:space="preserve">. It </w:t>
      </w:r>
      <w:r w:rsidR="00BB57CD">
        <w:rPr>
          <w:rFonts w:asciiTheme="minorHAnsi" w:hAnsiTheme="minorHAnsi" w:cstheme="minorHAnsi"/>
          <w:sz w:val="20"/>
          <w:szCs w:val="22"/>
        </w:rPr>
        <w:t xml:space="preserve">may </w:t>
      </w:r>
      <w:r w:rsidRPr="00374F04">
        <w:rPr>
          <w:rFonts w:asciiTheme="minorHAnsi" w:hAnsiTheme="minorHAnsi" w:cstheme="minorHAnsi"/>
          <w:sz w:val="20"/>
          <w:szCs w:val="22"/>
        </w:rPr>
        <w:t xml:space="preserve">take </w:t>
      </w:r>
      <w:r w:rsidR="00BB57CD">
        <w:rPr>
          <w:rFonts w:asciiTheme="minorHAnsi" w:hAnsiTheme="minorHAnsi" w:cstheme="minorHAnsi"/>
          <w:sz w:val="20"/>
          <w:szCs w:val="22"/>
        </w:rPr>
        <w:t>a number of years</w:t>
      </w:r>
      <w:r w:rsidRPr="00374F04">
        <w:rPr>
          <w:rFonts w:asciiTheme="minorHAnsi" w:hAnsiTheme="minorHAnsi" w:cstheme="minorHAnsi"/>
          <w:sz w:val="20"/>
          <w:szCs w:val="22"/>
        </w:rPr>
        <w:t xml:space="preserve"> before </w:t>
      </w:r>
      <w:r w:rsidR="003735E5">
        <w:rPr>
          <w:rFonts w:asciiTheme="minorHAnsi" w:hAnsiTheme="minorHAnsi" w:cstheme="minorHAnsi"/>
          <w:sz w:val="20"/>
          <w:szCs w:val="22"/>
        </w:rPr>
        <w:t>the</w:t>
      </w:r>
      <w:r w:rsidRPr="00374F04">
        <w:rPr>
          <w:rFonts w:asciiTheme="minorHAnsi" w:hAnsiTheme="minorHAnsi" w:cstheme="minorHAnsi"/>
          <w:sz w:val="20"/>
          <w:szCs w:val="22"/>
        </w:rPr>
        <w:t xml:space="preserve"> impact</w:t>
      </w:r>
      <w:r w:rsidR="003735E5">
        <w:rPr>
          <w:rFonts w:asciiTheme="minorHAnsi" w:hAnsiTheme="minorHAnsi" w:cstheme="minorHAnsi"/>
          <w:sz w:val="20"/>
          <w:szCs w:val="22"/>
        </w:rPr>
        <w:t xml:space="preserve"> of </w:t>
      </w:r>
      <w:r w:rsidR="00BB57CD">
        <w:rPr>
          <w:rFonts w:asciiTheme="minorHAnsi" w:hAnsiTheme="minorHAnsi" w:cstheme="minorHAnsi"/>
          <w:sz w:val="20"/>
          <w:szCs w:val="22"/>
        </w:rPr>
        <w:t xml:space="preserve">some </w:t>
      </w:r>
      <w:r w:rsidR="003735E5">
        <w:rPr>
          <w:rFonts w:asciiTheme="minorHAnsi" w:hAnsiTheme="minorHAnsi" w:cstheme="minorHAnsi"/>
          <w:sz w:val="20"/>
          <w:szCs w:val="22"/>
        </w:rPr>
        <w:t xml:space="preserve">improvements </w:t>
      </w:r>
      <w:r w:rsidR="001B4DC1">
        <w:rPr>
          <w:rFonts w:asciiTheme="minorHAnsi" w:hAnsiTheme="minorHAnsi" w:cstheme="minorHAnsi"/>
          <w:sz w:val="20"/>
          <w:szCs w:val="22"/>
        </w:rPr>
        <w:t>are</w:t>
      </w:r>
      <w:r w:rsidR="00C917FC">
        <w:rPr>
          <w:rFonts w:asciiTheme="minorHAnsi" w:hAnsiTheme="minorHAnsi" w:cstheme="minorHAnsi"/>
          <w:sz w:val="20"/>
          <w:szCs w:val="22"/>
        </w:rPr>
        <w:t xml:space="preserve"> </w:t>
      </w:r>
      <w:r w:rsidR="003735E5">
        <w:rPr>
          <w:rFonts w:asciiTheme="minorHAnsi" w:hAnsiTheme="minorHAnsi" w:cstheme="minorHAnsi"/>
          <w:sz w:val="20"/>
          <w:szCs w:val="22"/>
        </w:rPr>
        <w:t xml:space="preserve">fully </w:t>
      </w:r>
      <w:r w:rsidR="001A3107">
        <w:rPr>
          <w:rFonts w:asciiTheme="minorHAnsi" w:hAnsiTheme="minorHAnsi" w:cstheme="minorHAnsi"/>
          <w:sz w:val="20"/>
          <w:szCs w:val="22"/>
        </w:rPr>
        <w:t xml:space="preserve">realised and </w:t>
      </w:r>
      <w:r w:rsidR="00BB57CD">
        <w:rPr>
          <w:rFonts w:asciiTheme="minorHAnsi" w:hAnsiTheme="minorHAnsi" w:cstheme="minorHAnsi"/>
          <w:sz w:val="20"/>
          <w:szCs w:val="22"/>
        </w:rPr>
        <w:t>measurable</w:t>
      </w:r>
      <w:bookmarkEnd w:id="11"/>
      <w:r w:rsidR="001B4DC1">
        <w:rPr>
          <w:rFonts w:asciiTheme="minorHAnsi" w:hAnsiTheme="minorHAnsi" w:cstheme="minorHAnsi"/>
          <w:sz w:val="20"/>
          <w:szCs w:val="22"/>
        </w:rPr>
        <w:t>.</w:t>
      </w:r>
    </w:p>
    <w:p w14:paraId="05ECCA8C" w14:textId="71D1D50C" w:rsidR="00105A60" w:rsidRDefault="00105A60" w:rsidP="00362A62">
      <w:pPr>
        <w:spacing w:line="276" w:lineRule="auto"/>
        <w:rPr>
          <w:rFonts w:asciiTheme="minorHAnsi" w:hAnsiTheme="minorHAnsi" w:cstheme="minorHAnsi"/>
          <w:sz w:val="20"/>
          <w:szCs w:val="22"/>
          <w:lang w:val="en-AU"/>
        </w:rPr>
      </w:pPr>
    </w:p>
    <w:p w14:paraId="19E7264C" w14:textId="77777777" w:rsidR="001A3107" w:rsidRDefault="001A3107" w:rsidP="00362A62">
      <w:pPr>
        <w:spacing w:line="276" w:lineRule="auto"/>
        <w:rPr>
          <w:rFonts w:asciiTheme="minorHAnsi" w:hAnsiTheme="minorHAnsi" w:cstheme="minorHAnsi"/>
          <w:sz w:val="20"/>
          <w:szCs w:val="22"/>
          <w:lang w:val="en-AU"/>
        </w:rPr>
      </w:pPr>
    </w:p>
    <w:p w14:paraId="05974773" w14:textId="6A783AF2" w:rsidR="003D78F9" w:rsidRDefault="004E70FF" w:rsidP="003D78F9">
      <w:pPr>
        <w:pStyle w:val="Heading1"/>
        <w:rPr>
          <w:lang w:val="en-AU"/>
        </w:rPr>
      </w:pPr>
      <w:bookmarkStart w:id="48" w:name="_Toc5254928"/>
      <w:r>
        <w:rPr>
          <w:lang w:val="en-AU"/>
        </w:rPr>
        <w:lastRenderedPageBreak/>
        <w:t>A</w:t>
      </w:r>
      <w:r w:rsidR="003D78F9">
        <w:rPr>
          <w:lang w:val="en-AU"/>
        </w:rPr>
        <w:t xml:space="preserve">ppendix 1 – SOE Improvement Target Progress </w:t>
      </w:r>
      <w:r w:rsidR="00F032F5">
        <w:rPr>
          <w:lang w:val="en-AU"/>
        </w:rPr>
        <w:t>SUMMARY</w:t>
      </w:r>
      <w:bookmarkEnd w:id="48"/>
    </w:p>
    <w:tbl>
      <w:tblPr>
        <w:tblStyle w:val="TableGrid"/>
        <w:tblW w:w="0" w:type="auto"/>
        <w:tblInd w:w="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
        <w:gridCol w:w="1707"/>
        <w:gridCol w:w="904"/>
        <w:gridCol w:w="1276"/>
        <w:gridCol w:w="992"/>
        <w:gridCol w:w="1134"/>
        <w:gridCol w:w="851"/>
        <w:gridCol w:w="997"/>
      </w:tblGrid>
      <w:tr w:rsidR="003D78F9" w14:paraId="2D1C38BE" w14:textId="77777777" w:rsidTr="003D78F9">
        <w:trPr>
          <w:trHeight w:val="767"/>
        </w:trPr>
        <w:tc>
          <w:tcPr>
            <w:tcW w:w="242" w:type="dxa"/>
            <w:vAlign w:val="center"/>
          </w:tcPr>
          <w:p w14:paraId="1BC34267" w14:textId="77777777" w:rsidR="003D78F9" w:rsidRPr="003D78F9" w:rsidRDefault="003D78F9" w:rsidP="003D78F9">
            <w:pPr>
              <w:rPr>
                <w:rFonts w:ascii="Calibri" w:hAnsi="Calibri" w:cs="Calibri"/>
                <w:lang w:val="en-AU"/>
              </w:rPr>
            </w:pPr>
          </w:p>
          <w:p w14:paraId="04059ADC" w14:textId="1C7194F1" w:rsidR="003D78F9" w:rsidRPr="003D78F9" w:rsidRDefault="003D78F9" w:rsidP="003D78F9">
            <w:pPr>
              <w:rPr>
                <w:rFonts w:ascii="Calibri" w:hAnsi="Calibri" w:cs="Calibri"/>
                <w:lang w:val="en-AU"/>
              </w:rPr>
            </w:pPr>
          </w:p>
        </w:tc>
        <w:tc>
          <w:tcPr>
            <w:tcW w:w="1707" w:type="dxa"/>
            <w:vAlign w:val="center"/>
          </w:tcPr>
          <w:p w14:paraId="66129D2C" w14:textId="45DCBCD5" w:rsidR="003D78F9" w:rsidRPr="003D78F9" w:rsidRDefault="003D78F9" w:rsidP="003D78F9">
            <w:pPr>
              <w:rPr>
                <w:rFonts w:ascii="Calibri" w:hAnsi="Calibri" w:cs="Calibri"/>
                <w:lang w:val="en-AU"/>
              </w:rPr>
            </w:pPr>
          </w:p>
        </w:tc>
        <w:tc>
          <w:tcPr>
            <w:tcW w:w="904" w:type="dxa"/>
            <w:vAlign w:val="center"/>
          </w:tcPr>
          <w:p w14:paraId="2A586BB4" w14:textId="77777777" w:rsidR="003D78F9" w:rsidRPr="003D78F9" w:rsidRDefault="003D78F9" w:rsidP="003D78F9">
            <w:pPr>
              <w:rPr>
                <w:rFonts w:ascii="Calibri" w:hAnsi="Calibri" w:cs="Calibri"/>
                <w:lang w:val="en-AU"/>
              </w:rPr>
            </w:pPr>
          </w:p>
          <w:p w14:paraId="3CD47869" w14:textId="77777777" w:rsidR="003D78F9" w:rsidRPr="003D78F9" w:rsidRDefault="003D78F9" w:rsidP="003D78F9">
            <w:pPr>
              <w:rPr>
                <w:rFonts w:ascii="Calibri" w:hAnsi="Calibri" w:cs="Calibri"/>
                <w:lang w:val="en-AU"/>
              </w:rPr>
            </w:pPr>
          </w:p>
          <w:p w14:paraId="7324841D" w14:textId="3E1C16AE" w:rsidR="003D78F9" w:rsidRPr="003D78F9" w:rsidRDefault="003D78F9" w:rsidP="003D78F9">
            <w:pPr>
              <w:rPr>
                <w:rFonts w:ascii="Calibri" w:hAnsi="Calibri" w:cs="Calibri"/>
                <w:lang w:val="en-AU"/>
              </w:rPr>
            </w:pPr>
            <w:r w:rsidRPr="003D78F9">
              <w:rPr>
                <w:rFonts w:ascii="Calibri" w:hAnsi="Calibri" w:cs="Calibri"/>
                <w:noProof/>
                <w:lang w:eastAsia="en-AU"/>
              </w:rPr>
              <w:drawing>
                <wp:inline distT="0" distB="0" distL="0" distR="0" wp14:anchorId="569EF670" wp14:editId="66AA4998">
                  <wp:extent cx="314325" cy="314325"/>
                  <wp:effectExtent l="0" t="0" r="9525" b="9525"/>
                  <wp:docPr id="45" name="Graphic 4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320855" cy="320855"/>
                          </a:xfrm>
                          <a:prstGeom prst="rect">
                            <a:avLst/>
                          </a:prstGeom>
                        </pic:spPr>
                      </pic:pic>
                    </a:graphicData>
                  </a:graphic>
                </wp:inline>
              </w:drawing>
            </w:r>
          </w:p>
        </w:tc>
        <w:tc>
          <w:tcPr>
            <w:tcW w:w="1276" w:type="dxa"/>
            <w:vAlign w:val="center"/>
          </w:tcPr>
          <w:p w14:paraId="5AED3249" w14:textId="5B35190D" w:rsidR="003D78F9" w:rsidRPr="003D78F9" w:rsidRDefault="003D78F9" w:rsidP="003D78F9">
            <w:pPr>
              <w:rPr>
                <w:rFonts w:ascii="Calibri" w:hAnsi="Calibri" w:cs="Calibri"/>
                <w:lang w:val="en-AU"/>
              </w:rPr>
            </w:pPr>
            <w:r w:rsidRPr="003D78F9">
              <w:rPr>
                <w:rFonts w:ascii="Calibri" w:hAnsi="Calibri" w:cs="Calibri"/>
              </w:rPr>
              <w:t xml:space="preserve">Complete    </w:t>
            </w:r>
          </w:p>
        </w:tc>
        <w:tc>
          <w:tcPr>
            <w:tcW w:w="992" w:type="dxa"/>
            <w:vAlign w:val="center"/>
          </w:tcPr>
          <w:p w14:paraId="54C188B4" w14:textId="77777777" w:rsidR="003D78F9" w:rsidRPr="003D78F9" w:rsidRDefault="003D78F9" w:rsidP="003D78F9">
            <w:pPr>
              <w:rPr>
                <w:rFonts w:ascii="Calibri" w:hAnsi="Calibri" w:cs="Calibri"/>
                <w:lang w:val="en-AU"/>
              </w:rPr>
            </w:pPr>
          </w:p>
          <w:p w14:paraId="481E2DE3" w14:textId="77777777" w:rsidR="003D78F9" w:rsidRPr="003D78F9" w:rsidRDefault="003D78F9" w:rsidP="003D78F9">
            <w:pPr>
              <w:rPr>
                <w:rFonts w:ascii="Calibri" w:hAnsi="Calibri" w:cs="Calibri"/>
                <w:lang w:val="en-AU"/>
              </w:rPr>
            </w:pPr>
          </w:p>
          <w:p w14:paraId="58AF0E22" w14:textId="48D34A8F" w:rsidR="003D78F9" w:rsidRPr="003D78F9" w:rsidRDefault="003D78F9" w:rsidP="003D78F9">
            <w:pPr>
              <w:rPr>
                <w:rFonts w:ascii="Calibri" w:hAnsi="Calibri" w:cs="Calibri"/>
                <w:lang w:val="en-AU"/>
              </w:rPr>
            </w:pPr>
            <w:r w:rsidRPr="003D78F9">
              <w:rPr>
                <w:rFonts w:ascii="Calibri" w:eastAsia="Calibri" w:hAnsi="Calibri" w:cs="Calibri"/>
                <w:noProof/>
                <w:color w:val="auto"/>
                <w:szCs w:val="22"/>
                <w:lang w:val="en-AU" w:eastAsia="en-AU"/>
              </w:rPr>
              <w:drawing>
                <wp:inline distT="0" distB="0" distL="0" distR="0" wp14:anchorId="6CE03BC5" wp14:editId="396A2380">
                  <wp:extent cx="361950" cy="361950"/>
                  <wp:effectExtent l="0" t="0" r="0" b="0"/>
                  <wp:docPr id="44" name="Graphic 44" descr="Sig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gnal.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370596" cy="370596"/>
                          </a:xfrm>
                          <a:prstGeom prst="rect">
                            <a:avLst/>
                          </a:prstGeom>
                        </pic:spPr>
                      </pic:pic>
                    </a:graphicData>
                  </a:graphic>
                </wp:inline>
              </w:drawing>
            </w:r>
          </w:p>
        </w:tc>
        <w:tc>
          <w:tcPr>
            <w:tcW w:w="1134" w:type="dxa"/>
            <w:vAlign w:val="center"/>
          </w:tcPr>
          <w:p w14:paraId="4EBE129B" w14:textId="0AEA1971" w:rsidR="003D78F9" w:rsidRPr="003D78F9" w:rsidRDefault="003D78F9" w:rsidP="003D78F9">
            <w:pPr>
              <w:rPr>
                <w:rFonts w:ascii="Calibri" w:hAnsi="Calibri" w:cs="Calibri"/>
                <w:lang w:val="en-AU"/>
              </w:rPr>
            </w:pPr>
            <w:r w:rsidRPr="003D78F9">
              <w:rPr>
                <w:rFonts w:ascii="Calibri" w:hAnsi="Calibri" w:cs="Calibri"/>
              </w:rPr>
              <w:t>In Progress</w:t>
            </w:r>
          </w:p>
        </w:tc>
        <w:tc>
          <w:tcPr>
            <w:tcW w:w="851" w:type="dxa"/>
            <w:vAlign w:val="center"/>
          </w:tcPr>
          <w:p w14:paraId="1A978EAD" w14:textId="77777777" w:rsidR="003D78F9" w:rsidRPr="003D78F9" w:rsidRDefault="003D78F9" w:rsidP="003D78F9">
            <w:pPr>
              <w:rPr>
                <w:rFonts w:ascii="Calibri" w:hAnsi="Calibri" w:cs="Calibri"/>
                <w:lang w:val="en-AU"/>
              </w:rPr>
            </w:pPr>
          </w:p>
          <w:p w14:paraId="6EB811A7" w14:textId="77777777" w:rsidR="003D78F9" w:rsidRPr="003D78F9" w:rsidRDefault="003D78F9" w:rsidP="003D78F9">
            <w:pPr>
              <w:rPr>
                <w:rFonts w:ascii="Calibri" w:hAnsi="Calibri" w:cs="Calibri"/>
                <w:lang w:val="en-AU"/>
              </w:rPr>
            </w:pPr>
          </w:p>
          <w:p w14:paraId="6CDC9F7E" w14:textId="268A2603" w:rsidR="003D78F9" w:rsidRPr="003D78F9" w:rsidRDefault="003D78F9" w:rsidP="003D78F9">
            <w:pPr>
              <w:rPr>
                <w:rFonts w:ascii="Calibri" w:hAnsi="Calibri" w:cs="Calibri"/>
                <w:lang w:val="en-AU"/>
              </w:rPr>
            </w:pPr>
            <w:r w:rsidRPr="003D78F9">
              <w:rPr>
                <w:rFonts w:ascii="Calibri" w:hAnsi="Calibri" w:cs="Calibri"/>
                <w:noProof/>
                <w:lang w:eastAsia="en-AU"/>
              </w:rPr>
              <w:drawing>
                <wp:inline distT="0" distB="0" distL="0" distR="0" wp14:anchorId="1CE0FBC3" wp14:editId="05F2BEF4">
                  <wp:extent cx="361950" cy="361950"/>
                  <wp:effectExtent l="0" t="0" r="0" b="0"/>
                  <wp:docPr id="2" name="Graphic 2" descr="Traffic c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afficCone.svg"/>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369104" cy="369104"/>
                          </a:xfrm>
                          <a:prstGeom prst="rect">
                            <a:avLst/>
                          </a:prstGeom>
                        </pic:spPr>
                      </pic:pic>
                    </a:graphicData>
                  </a:graphic>
                </wp:inline>
              </w:drawing>
            </w:r>
          </w:p>
        </w:tc>
        <w:tc>
          <w:tcPr>
            <w:tcW w:w="997" w:type="dxa"/>
            <w:vAlign w:val="center"/>
          </w:tcPr>
          <w:p w14:paraId="66DFA726" w14:textId="6C73A153" w:rsidR="003D78F9" w:rsidRPr="003D78F9" w:rsidRDefault="003D78F9" w:rsidP="003D78F9">
            <w:pPr>
              <w:rPr>
                <w:rFonts w:ascii="Calibri" w:hAnsi="Calibri" w:cs="Calibri"/>
              </w:rPr>
            </w:pPr>
            <w:r w:rsidRPr="003D78F9">
              <w:rPr>
                <w:rFonts w:ascii="Calibri" w:hAnsi="Calibri" w:cs="Calibri"/>
              </w:rPr>
              <w:t>Delayed</w:t>
            </w:r>
          </w:p>
        </w:tc>
      </w:tr>
    </w:tbl>
    <w:tbl>
      <w:tblPr>
        <w:tblStyle w:val="TableGrid1"/>
        <w:tblW w:w="0" w:type="auto"/>
        <w:jc w:val="center"/>
        <w:tblLook w:val="04A0" w:firstRow="1" w:lastRow="0" w:firstColumn="1" w:lastColumn="0" w:noHBand="0" w:noVBand="1"/>
      </w:tblPr>
      <w:tblGrid>
        <w:gridCol w:w="470"/>
        <w:gridCol w:w="4487"/>
        <w:gridCol w:w="791"/>
        <w:gridCol w:w="3982"/>
      </w:tblGrid>
      <w:tr w:rsidR="003D78F9" w:rsidRPr="003D78F9" w14:paraId="5F320639" w14:textId="77777777" w:rsidTr="001A3107">
        <w:trPr>
          <w:trHeight w:hRule="exact" w:val="257"/>
          <w:jc w:val="center"/>
        </w:trPr>
        <w:tc>
          <w:tcPr>
            <w:tcW w:w="9730" w:type="dxa"/>
            <w:gridSpan w:val="4"/>
          </w:tcPr>
          <w:p w14:paraId="651614F2" w14:textId="77777777" w:rsidR="003D78F9" w:rsidRPr="00611276" w:rsidRDefault="003D78F9" w:rsidP="003D78F9">
            <w:pPr>
              <w:spacing w:line="276" w:lineRule="auto"/>
              <w:jc w:val="both"/>
              <w:rPr>
                <w:rFonts w:ascii="Calibri" w:eastAsia="Times New Roman" w:hAnsi="Calibri" w:cs="Calibri"/>
                <w:b/>
                <w:color w:val="auto"/>
                <w:sz w:val="20"/>
                <w:szCs w:val="22"/>
              </w:rPr>
            </w:pPr>
            <w:r w:rsidRPr="00611276">
              <w:rPr>
                <w:rFonts w:ascii="Calibri" w:eastAsia="Times New Roman" w:hAnsi="Calibri" w:cs="Calibri"/>
                <w:b/>
                <w:color w:val="auto"/>
                <w:sz w:val="20"/>
                <w:szCs w:val="22"/>
              </w:rPr>
              <w:t>Ministerial Expectation Criteria 1: Timeliness</w:t>
            </w:r>
          </w:p>
          <w:p w14:paraId="1B2E6DAB" w14:textId="77777777" w:rsidR="003D78F9" w:rsidRPr="00611276" w:rsidRDefault="003D78F9" w:rsidP="003D78F9">
            <w:pPr>
              <w:spacing w:after="0" w:line="240" w:lineRule="auto"/>
              <w:rPr>
                <w:rFonts w:ascii="Calibri" w:eastAsia="Calibri" w:hAnsi="Calibri" w:cs="Times New Roman"/>
                <w:b/>
                <w:color w:val="auto"/>
                <w:sz w:val="20"/>
                <w:szCs w:val="22"/>
              </w:rPr>
            </w:pPr>
          </w:p>
        </w:tc>
      </w:tr>
      <w:tr w:rsidR="003D78F9" w:rsidRPr="003D78F9" w14:paraId="00C7BECF" w14:textId="77777777" w:rsidTr="001A3107">
        <w:trPr>
          <w:trHeight w:hRule="exact" w:val="275"/>
          <w:jc w:val="center"/>
        </w:trPr>
        <w:tc>
          <w:tcPr>
            <w:tcW w:w="4957" w:type="dxa"/>
            <w:gridSpan w:val="2"/>
            <w:shd w:val="clear" w:color="auto" w:fill="D9E2F3"/>
          </w:tcPr>
          <w:p w14:paraId="1D258F07" w14:textId="77777777" w:rsidR="003D78F9" w:rsidRPr="00611276" w:rsidRDefault="003D78F9" w:rsidP="003D78F9">
            <w:pPr>
              <w:spacing w:after="0" w:line="240" w:lineRule="auto"/>
              <w:rPr>
                <w:rFonts w:ascii="Calibri" w:eastAsia="Calibri" w:hAnsi="Calibri" w:cs="Times New Roman"/>
                <w:color w:val="auto"/>
                <w:sz w:val="20"/>
                <w:szCs w:val="22"/>
              </w:rPr>
            </w:pPr>
            <w:r w:rsidRPr="00611276">
              <w:rPr>
                <w:rFonts w:ascii="Calibri" w:eastAsia="Calibri" w:hAnsi="Calibri" w:cs="Times New Roman"/>
                <w:color w:val="auto"/>
                <w:sz w:val="20"/>
                <w:szCs w:val="22"/>
              </w:rPr>
              <w:t>Improvement Target</w:t>
            </w:r>
          </w:p>
        </w:tc>
        <w:tc>
          <w:tcPr>
            <w:tcW w:w="791" w:type="dxa"/>
            <w:shd w:val="clear" w:color="auto" w:fill="D9E2F3"/>
          </w:tcPr>
          <w:p w14:paraId="44ECBC9C" w14:textId="77777777" w:rsidR="003D78F9" w:rsidRPr="00611276" w:rsidRDefault="003D78F9" w:rsidP="003D78F9">
            <w:pPr>
              <w:spacing w:after="0" w:line="240" w:lineRule="auto"/>
              <w:rPr>
                <w:rFonts w:ascii="Calibri" w:eastAsia="Calibri" w:hAnsi="Calibri" w:cs="Times New Roman"/>
                <w:color w:val="auto"/>
                <w:sz w:val="20"/>
                <w:szCs w:val="22"/>
              </w:rPr>
            </w:pPr>
            <w:r w:rsidRPr="00611276">
              <w:rPr>
                <w:rFonts w:ascii="Calibri" w:eastAsia="Calibri" w:hAnsi="Calibri" w:cs="Times New Roman"/>
                <w:color w:val="auto"/>
                <w:sz w:val="20"/>
                <w:szCs w:val="22"/>
              </w:rPr>
              <w:t>Status</w:t>
            </w:r>
          </w:p>
        </w:tc>
        <w:tc>
          <w:tcPr>
            <w:tcW w:w="3982" w:type="dxa"/>
            <w:shd w:val="clear" w:color="auto" w:fill="D9E2F3"/>
          </w:tcPr>
          <w:p w14:paraId="490C87EF" w14:textId="77777777" w:rsidR="003D78F9" w:rsidRPr="00611276" w:rsidRDefault="003D78F9" w:rsidP="003D78F9">
            <w:pPr>
              <w:spacing w:after="0" w:line="240" w:lineRule="auto"/>
              <w:rPr>
                <w:rFonts w:ascii="Calibri" w:eastAsia="Calibri" w:hAnsi="Calibri" w:cs="Times New Roman"/>
                <w:color w:val="auto"/>
                <w:sz w:val="20"/>
                <w:szCs w:val="22"/>
              </w:rPr>
            </w:pPr>
            <w:r w:rsidRPr="00611276">
              <w:rPr>
                <w:rFonts w:ascii="Calibri" w:eastAsia="Calibri" w:hAnsi="Calibri" w:cs="Times New Roman"/>
                <w:color w:val="auto"/>
                <w:sz w:val="20"/>
                <w:szCs w:val="22"/>
              </w:rPr>
              <w:t>Status Detail</w:t>
            </w:r>
          </w:p>
        </w:tc>
      </w:tr>
      <w:tr w:rsidR="003D78F9" w:rsidRPr="003D78F9" w14:paraId="07425AE0" w14:textId="77777777" w:rsidTr="00C91A6C">
        <w:trPr>
          <w:trHeight w:hRule="exact" w:val="1111"/>
          <w:jc w:val="center"/>
        </w:trPr>
        <w:tc>
          <w:tcPr>
            <w:tcW w:w="470" w:type="dxa"/>
          </w:tcPr>
          <w:p w14:paraId="09EFBCA8" w14:textId="77777777" w:rsidR="003D78F9" w:rsidRPr="00611276" w:rsidRDefault="003D78F9" w:rsidP="003D78F9">
            <w:pPr>
              <w:spacing w:after="0" w:line="240" w:lineRule="auto"/>
              <w:rPr>
                <w:rFonts w:ascii="Calibri" w:eastAsia="Calibri" w:hAnsi="Calibri" w:cs="Times New Roman"/>
                <w:color w:val="auto"/>
                <w:sz w:val="20"/>
                <w:szCs w:val="22"/>
              </w:rPr>
            </w:pPr>
            <w:r w:rsidRPr="00611276">
              <w:rPr>
                <w:rFonts w:ascii="Calibri" w:eastAsia="Calibri" w:hAnsi="Calibri" w:cs="Times New Roman"/>
                <w:color w:val="auto"/>
                <w:sz w:val="20"/>
                <w:szCs w:val="22"/>
              </w:rPr>
              <w:t>1.1</w:t>
            </w:r>
          </w:p>
        </w:tc>
        <w:tc>
          <w:tcPr>
            <w:tcW w:w="4487" w:type="dxa"/>
          </w:tcPr>
          <w:p w14:paraId="4D252803" w14:textId="77777777" w:rsidR="003D78F9" w:rsidRPr="00611276" w:rsidRDefault="003D78F9" w:rsidP="003D78F9">
            <w:pPr>
              <w:spacing w:after="113" w:line="276" w:lineRule="auto"/>
              <w:rPr>
                <w:rFonts w:ascii="Calibri" w:eastAsia="Times New Roman" w:hAnsi="Calibri" w:cs="Calibri"/>
                <w:color w:val="auto"/>
                <w:sz w:val="20"/>
                <w:szCs w:val="22"/>
              </w:rPr>
            </w:pPr>
            <w:r w:rsidRPr="00611276">
              <w:rPr>
                <w:rFonts w:ascii="Calibri" w:eastAsia="Times New Roman" w:hAnsi="Calibri" w:cs="Calibri"/>
                <w:color w:val="auto"/>
                <w:sz w:val="20"/>
                <w:szCs w:val="22"/>
              </w:rPr>
              <w:t>Develop principles to guide the design and implementation of digital administrative processes for applications and information management, including e-capability and information provision.</w:t>
            </w:r>
          </w:p>
          <w:p w14:paraId="257CDC29" w14:textId="77777777" w:rsidR="003D78F9" w:rsidRPr="00611276" w:rsidRDefault="003D78F9" w:rsidP="003D78F9">
            <w:pPr>
              <w:spacing w:after="0" w:line="240" w:lineRule="auto"/>
              <w:rPr>
                <w:rFonts w:ascii="Calibri" w:eastAsia="Calibri" w:hAnsi="Calibri" w:cs="Times New Roman"/>
                <w:color w:val="auto"/>
                <w:sz w:val="20"/>
                <w:szCs w:val="22"/>
              </w:rPr>
            </w:pPr>
          </w:p>
        </w:tc>
        <w:tc>
          <w:tcPr>
            <w:tcW w:w="791" w:type="dxa"/>
          </w:tcPr>
          <w:p w14:paraId="4216E39E" w14:textId="40451C9B" w:rsidR="003D78F9" w:rsidRPr="00611276" w:rsidRDefault="00073DE7" w:rsidP="003D78F9">
            <w:pPr>
              <w:spacing w:after="0" w:line="240" w:lineRule="auto"/>
              <w:rPr>
                <w:rFonts w:ascii="Calibri" w:eastAsia="Calibri" w:hAnsi="Calibri" w:cs="Times New Roman"/>
                <w:color w:val="auto"/>
                <w:sz w:val="20"/>
                <w:szCs w:val="22"/>
              </w:rPr>
            </w:pPr>
            <w:r w:rsidRPr="003D78F9">
              <w:rPr>
                <w:rFonts w:ascii="Calibri" w:eastAsia="Calibri" w:hAnsi="Calibri" w:cs="Times New Roman"/>
                <w:noProof/>
                <w:color w:val="auto"/>
                <w:sz w:val="22"/>
                <w:szCs w:val="22"/>
                <w:lang w:eastAsia="en-AU"/>
              </w:rPr>
              <w:drawing>
                <wp:inline distT="0" distB="0" distL="0" distR="0" wp14:anchorId="269FC2E2" wp14:editId="248C985F">
                  <wp:extent cx="304800" cy="304800"/>
                  <wp:effectExtent l="0" t="0" r="0" b="0"/>
                  <wp:docPr id="34" name="Graphic 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311132" cy="311132"/>
                          </a:xfrm>
                          <a:prstGeom prst="rect">
                            <a:avLst/>
                          </a:prstGeom>
                        </pic:spPr>
                      </pic:pic>
                    </a:graphicData>
                  </a:graphic>
                </wp:inline>
              </w:drawing>
            </w:r>
          </w:p>
        </w:tc>
        <w:tc>
          <w:tcPr>
            <w:tcW w:w="3982" w:type="dxa"/>
          </w:tcPr>
          <w:p w14:paraId="0326EC42" w14:textId="5556E787" w:rsidR="003D78F9" w:rsidRPr="00611276" w:rsidRDefault="003D78F9" w:rsidP="003D78F9">
            <w:pPr>
              <w:spacing w:after="0" w:line="240" w:lineRule="auto"/>
              <w:rPr>
                <w:rFonts w:ascii="Calibri" w:eastAsia="Calibri" w:hAnsi="Calibri" w:cs="Times New Roman"/>
                <w:color w:val="auto"/>
                <w:sz w:val="20"/>
                <w:szCs w:val="22"/>
              </w:rPr>
            </w:pPr>
            <w:r w:rsidRPr="00611276">
              <w:rPr>
                <w:rFonts w:ascii="Calibri" w:eastAsia="Calibri" w:hAnsi="Calibri" w:cs="Times New Roman"/>
                <w:color w:val="auto"/>
                <w:sz w:val="20"/>
                <w:szCs w:val="22"/>
              </w:rPr>
              <w:t xml:space="preserve">Agriculture Victoria </w:t>
            </w:r>
            <w:r w:rsidR="00CA4219">
              <w:rPr>
                <w:rFonts w:ascii="Calibri" w:eastAsia="Calibri" w:hAnsi="Calibri" w:cs="Times New Roman"/>
                <w:color w:val="auto"/>
                <w:sz w:val="20"/>
                <w:szCs w:val="22"/>
              </w:rPr>
              <w:t xml:space="preserve">has </w:t>
            </w:r>
            <w:r w:rsidRPr="00611276">
              <w:rPr>
                <w:rFonts w:ascii="Calibri" w:eastAsia="Calibri" w:hAnsi="Calibri" w:cs="Times New Roman"/>
                <w:color w:val="auto"/>
                <w:sz w:val="20"/>
                <w:szCs w:val="22"/>
              </w:rPr>
              <w:t xml:space="preserve">adopted the Whole-of-Victorian-Government Digital Standards Framework to guide all future digital service design and development. </w:t>
            </w:r>
          </w:p>
        </w:tc>
      </w:tr>
      <w:tr w:rsidR="003D78F9" w:rsidRPr="003D78F9" w14:paraId="12780B34" w14:textId="77777777" w:rsidTr="00C91A6C">
        <w:trPr>
          <w:trHeight w:hRule="exact" w:val="2421"/>
          <w:jc w:val="center"/>
        </w:trPr>
        <w:tc>
          <w:tcPr>
            <w:tcW w:w="470" w:type="dxa"/>
          </w:tcPr>
          <w:p w14:paraId="17A4EE04" w14:textId="77777777" w:rsidR="003D78F9" w:rsidRPr="00611276" w:rsidRDefault="003D78F9" w:rsidP="003D78F9">
            <w:pPr>
              <w:spacing w:after="0" w:line="240" w:lineRule="auto"/>
              <w:rPr>
                <w:rFonts w:ascii="Calibri" w:eastAsia="Calibri" w:hAnsi="Calibri" w:cs="Times New Roman"/>
                <w:color w:val="auto"/>
                <w:sz w:val="20"/>
                <w:szCs w:val="22"/>
              </w:rPr>
            </w:pPr>
            <w:bookmarkStart w:id="49" w:name="_Hlk532485897"/>
            <w:r w:rsidRPr="00611276">
              <w:rPr>
                <w:rFonts w:ascii="Calibri" w:eastAsia="Calibri" w:hAnsi="Calibri" w:cs="Times New Roman"/>
                <w:color w:val="auto"/>
                <w:sz w:val="20"/>
                <w:szCs w:val="22"/>
              </w:rPr>
              <w:t>1.2</w:t>
            </w:r>
          </w:p>
        </w:tc>
        <w:tc>
          <w:tcPr>
            <w:tcW w:w="4487" w:type="dxa"/>
          </w:tcPr>
          <w:p w14:paraId="2D4BC11F" w14:textId="131376F1" w:rsidR="003D78F9" w:rsidRPr="00611276" w:rsidRDefault="003D78F9" w:rsidP="003D78F9">
            <w:pPr>
              <w:spacing w:after="0" w:line="240" w:lineRule="auto"/>
              <w:rPr>
                <w:rFonts w:ascii="Calibri" w:eastAsia="Calibri" w:hAnsi="Calibri" w:cs="Times New Roman"/>
                <w:color w:val="auto"/>
                <w:sz w:val="20"/>
                <w:szCs w:val="22"/>
              </w:rPr>
            </w:pPr>
            <w:r w:rsidRPr="00611276">
              <w:rPr>
                <w:rFonts w:ascii="Calibri" w:eastAsia="Times New Roman" w:hAnsi="Calibri" w:cs="Calibri"/>
                <w:color w:val="auto"/>
                <w:sz w:val="20"/>
                <w:szCs w:val="22"/>
              </w:rPr>
              <w:t>Prioritise online capability for the remaining</w:t>
            </w:r>
            <w:r w:rsidR="004D59A9">
              <w:rPr>
                <w:rFonts w:ascii="Calibri" w:eastAsia="Times New Roman" w:hAnsi="Calibri" w:cs="Calibri"/>
                <w:color w:val="auto"/>
                <w:sz w:val="20"/>
                <w:szCs w:val="22"/>
              </w:rPr>
              <w:t xml:space="preserve"> </w:t>
            </w:r>
            <w:r w:rsidRPr="00611276">
              <w:rPr>
                <w:rFonts w:ascii="Calibri" w:eastAsia="Times New Roman" w:hAnsi="Calibri" w:cs="Calibri"/>
                <w:color w:val="auto"/>
                <w:sz w:val="20"/>
                <w:szCs w:val="22"/>
              </w:rPr>
              <w:t>licence, permit, certification, and registration application processes by regulated parties.</w:t>
            </w:r>
          </w:p>
        </w:tc>
        <w:tc>
          <w:tcPr>
            <w:tcW w:w="791" w:type="dxa"/>
          </w:tcPr>
          <w:p w14:paraId="4E3C9D43" w14:textId="77777777" w:rsidR="003D78F9" w:rsidRPr="00611276" w:rsidRDefault="003D78F9" w:rsidP="003D78F9">
            <w:pPr>
              <w:spacing w:after="0" w:line="240" w:lineRule="auto"/>
              <w:rPr>
                <w:rFonts w:ascii="Calibri" w:eastAsia="Calibri" w:hAnsi="Calibri" w:cs="Times New Roman"/>
                <w:color w:val="auto"/>
                <w:sz w:val="20"/>
                <w:szCs w:val="22"/>
              </w:rPr>
            </w:pPr>
            <w:r w:rsidRPr="00611276">
              <w:rPr>
                <w:rFonts w:ascii="Calibri" w:eastAsia="Calibri" w:hAnsi="Calibri" w:cs="Times New Roman"/>
                <w:noProof/>
                <w:color w:val="auto"/>
                <w:sz w:val="20"/>
                <w:szCs w:val="22"/>
                <w:lang w:eastAsia="en-AU"/>
              </w:rPr>
              <w:drawing>
                <wp:inline distT="0" distB="0" distL="0" distR="0" wp14:anchorId="44DD6B40" wp14:editId="3BAFA9D0">
                  <wp:extent cx="342900" cy="342900"/>
                  <wp:effectExtent l="0" t="0" r="0" b="0"/>
                  <wp:docPr id="32" name="Graphic 32" descr="Sig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gnal.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351092" cy="351092"/>
                          </a:xfrm>
                          <a:prstGeom prst="rect">
                            <a:avLst/>
                          </a:prstGeom>
                        </pic:spPr>
                      </pic:pic>
                    </a:graphicData>
                  </a:graphic>
                </wp:inline>
              </w:drawing>
            </w:r>
          </w:p>
        </w:tc>
        <w:tc>
          <w:tcPr>
            <w:tcW w:w="3982" w:type="dxa"/>
            <w:shd w:val="clear" w:color="auto" w:fill="auto"/>
          </w:tcPr>
          <w:p w14:paraId="0BDC0352" w14:textId="23CBDBDF" w:rsidR="003D78F9" w:rsidRPr="00611276" w:rsidRDefault="003D78F9" w:rsidP="003D78F9">
            <w:pPr>
              <w:spacing w:after="0" w:line="240" w:lineRule="auto"/>
              <w:rPr>
                <w:rFonts w:ascii="Calibri" w:eastAsia="Calibri" w:hAnsi="Calibri" w:cs="Times New Roman"/>
                <w:color w:val="auto"/>
                <w:sz w:val="20"/>
                <w:szCs w:val="22"/>
              </w:rPr>
            </w:pPr>
            <w:r w:rsidRPr="00611276">
              <w:rPr>
                <w:rFonts w:ascii="Calibri" w:eastAsia="Calibri" w:hAnsi="Calibri" w:cs="Times New Roman"/>
                <w:color w:val="auto"/>
                <w:sz w:val="20"/>
                <w:szCs w:val="22"/>
              </w:rPr>
              <w:t>During 2017-18 new online templates were developed for animal sale permits, declared bird organisations and approved commercial dog breeder applications.</w:t>
            </w:r>
            <w:r w:rsidR="008B1685">
              <w:rPr>
                <w:rFonts w:ascii="Calibri" w:eastAsia="Calibri" w:hAnsi="Calibri" w:cs="Times New Roman"/>
                <w:color w:val="auto"/>
                <w:sz w:val="20"/>
                <w:szCs w:val="22"/>
              </w:rPr>
              <w:t xml:space="preserve"> </w:t>
            </w:r>
            <w:r w:rsidRPr="00611276">
              <w:rPr>
                <w:rFonts w:ascii="Calibri" w:eastAsia="Calibri" w:hAnsi="Calibri" w:cs="Times New Roman"/>
                <w:color w:val="auto"/>
                <w:sz w:val="20"/>
                <w:szCs w:val="22"/>
              </w:rPr>
              <w:t>Tag online service underwent significant upgrading and increased utilisation in 2017</w:t>
            </w:r>
            <w:r w:rsidR="008B1685">
              <w:rPr>
                <w:rFonts w:ascii="Calibri" w:eastAsia="Calibri" w:hAnsi="Calibri" w:cs="Times New Roman"/>
                <w:color w:val="auto"/>
                <w:sz w:val="20"/>
                <w:szCs w:val="22"/>
              </w:rPr>
              <w:t>-</w:t>
            </w:r>
            <w:r w:rsidRPr="00611276">
              <w:rPr>
                <w:rFonts w:ascii="Calibri" w:eastAsia="Calibri" w:hAnsi="Calibri" w:cs="Times New Roman"/>
                <w:color w:val="auto"/>
                <w:sz w:val="20"/>
                <w:szCs w:val="22"/>
              </w:rPr>
              <w:t>18 with the introduction of electronic sheep identification in Victoria. Over nine million tags were sold online in 2017</w:t>
            </w:r>
            <w:r w:rsidR="00403479">
              <w:rPr>
                <w:rFonts w:ascii="Calibri" w:eastAsia="Calibri" w:hAnsi="Calibri" w:cs="Times New Roman"/>
                <w:color w:val="auto"/>
                <w:sz w:val="20"/>
                <w:szCs w:val="22"/>
              </w:rPr>
              <w:t>-</w:t>
            </w:r>
            <w:r w:rsidRPr="00611276">
              <w:rPr>
                <w:rFonts w:ascii="Calibri" w:eastAsia="Calibri" w:hAnsi="Calibri" w:cs="Times New Roman"/>
                <w:color w:val="auto"/>
                <w:sz w:val="20"/>
                <w:szCs w:val="22"/>
              </w:rPr>
              <w:t>18.</w:t>
            </w:r>
            <w:r w:rsidR="008B1685">
              <w:rPr>
                <w:rFonts w:ascii="Calibri" w:eastAsia="Calibri" w:hAnsi="Calibri" w:cs="Times New Roman"/>
                <w:color w:val="auto"/>
                <w:sz w:val="20"/>
                <w:szCs w:val="22"/>
              </w:rPr>
              <w:t xml:space="preserve"> </w:t>
            </w:r>
            <w:r w:rsidRPr="00611276">
              <w:rPr>
                <w:rFonts w:ascii="Calibri" w:eastAsia="Calibri" w:hAnsi="Calibri" w:cs="Times New Roman"/>
                <w:color w:val="auto"/>
                <w:sz w:val="20"/>
                <w:szCs w:val="22"/>
              </w:rPr>
              <w:t xml:space="preserve"> MAX External Forms was developed to support effective high value online services. </w:t>
            </w:r>
          </w:p>
        </w:tc>
      </w:tr>
      <w:bookmarkEnd w:id="49"/>
      <w:tr w:rsidR="003D78F9" w:rsidRPr="003D78F9" w14:paraId="14897046" w14:textId="77777777" w:rsidTr="00C91A6C">
        <w:trPr>
          <w:trHeight w:hRule="exact" w:val="995"/>
          <w:jc w:val="center"/>
        </w:trPr>
        <w:tc>
          <w:tcPr>
            <w:tcW w:w="470" w:type="dxa"/>
          </w:tcPr>
          <w:p w14:paraId="22527607" w14:textId="77777777" w:rsidR="003D78F9" w:rsidRPr="00611276" w:rsidRDefault="003D78F9" w:rsidP="003D78F9">
            <w:pPr>
              <w:spacing w:after="0" w:line="240" w:lineRule="auto"/>
              <w:rPr>
                <w:rFonts w:ascii="Calibri" w:eastAsia="Calibri" w:hAnsi="Calibri" w:cs="Times New Roman"/>
                <w:color w:val="auto"/>
                <w:sz w:val="20"/>
                <w:szCs w:val="22"/>
              </w:rPr>
            </w:pPr>
            <w:r w:rsidRPr="00611276">
              <w:rPr>
                <w:rFonts w:ascii="Calibri" w:eastAsia="Calibri" w:hAnsi="Calibri" w:cs="Times New Roman"/>
                <w:color w:val="auto"/>
                <w:sz w:val="20"/>
                <w:szCs w:val="22"/>
              </w:rPr>
              <w:t>1.3</w:t>
            </w:r>
          </w:p>
        </w:tc>
        <w:tc>
          <w:tcPr>
            <w:tcW w:w="4487" w:type="dxa"/>
          </w:tcPr>
          <w:p w14:paraId="50869D7E" w14:textId="77777777" w:rsidR="003D78F9" w:rsidRPr="00611276" w:rsidRDefault="003D78F9" w:rsidP="003D78F9">
            <w:pPr>
              <w:spacing w:after="0" w:line="240" w:lineRule="auto"/>
              <w:rPr>
                <w:rFonts w:ascii="Calibri" w:eastAsia="Calibri" w:hAnsi="Calibri" w:cs="Times New Roman"/>
                <w:color w:val="auto"/>
                <w:sz w:val="20"/>
                <w:szCs w:val="22"/>
              </w:rPr>
            </w:pPr>
            <w:r w:rsidRPr="00611276">
              <w:rPr>
                <w:rFonts w:ascii="Calibri" w:eastAsia="Times New Roman" w:hAnsi="Calibri" w:cs="Calibri"/>
                <w:color w:val="auto"/>
                <w:sz w:val="20"/>
                <w:szCs w:val="22"/>
              </w:rPr>
              <w:t>Increase the number of biosecurity application processes that are available online to at least 10, focussing on identified priority areas.</w:t>
            </w:r>
          </w:p>
        </w:tc>
        <w:tc>
          <w:tcPr>
            <w:tcW w:w="791" w:type="dxa"/>
          </w:tcPr>
          <w:p w14:paraId="5754D864" w14:textId="418EE682" w:rsidR="003D78F9" w:rsidRPr="00611276" w:rsidRDefault="00C91A6C" w:rsidP="003D78F9">
            <w:pPr>
              <w:spacing w:after="0" w:line="240" w:lineRule="auto"/>
              <w:rPr>
                <w:rFonts w:ascii="Calibri" w:eastAsia="Calibri" w:hAnsi="Calibri" w:cs="Times New Roman"/>
                <w:color w:val="auto"/>
                <w:sz w:val="20"/>
                <w:szCs w:val="22"/>
              </w:rPr>
            </w:pPr>
            <w:r w:rsidRPr="003D78F9">
              <w:rPr>
                <w:rFonts w:ascii="Calibri" w:eastAsia="Calibri" w:hAnsi="Calibri" w:cs="Times New Roman"/>
                <w:noProof/>
                <w:color w:val="auto"/>
                <w:sz w:val="22"/>
                <w:szCs w:val="22"/>
                <w:lang w:eastAsia="en-AU"/>
              </w:rPr>
              <w:drawing>
                <wp:inline distT="0" distB="0" distL="0" distR="0" wp14:anchorId="222DEF95" wp14:editId="574CDF40">
                  <wp:extent cx="304800" cy="304800"/>
                  <wp:effectExtent l="0" t="0" r="0" b="0"/>
                  <wp:docPr id="46" name="Graphic 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311132" cy="311132"/>
                          </a:xfrm>
                          <a:prstGeom prst="rect">
                            <a:avLst/>
                          </a:prstGeom>
                        </pic:spPr>
                      </pic:pic>
                    </a:graphicData>
                  </a:graphic>
                </wp:inline>
              </w:drawing>
            </w:r>
          </w:p>
        </w:tc>
        <w:tc>
          <w:tcPr>
            <w:tcW w:w="3982" w:type="dxa"/>
          </w:tcPr>
          <w:p w14:paraId="6CFE6A90" w14:textId="560C3C71" w:rsidR="003D78F9" w:rsidRPr="00611276" w:rsidRDefault="003D78F9" w:rsidP="003D78F9">
            <w:pPr>
              <w:spacing w:after="0" w:line="240" w:lineRule="auto"/>
              <w:rPr>
                <w:rFonts w:ascii="Calibri" w:eastAsia="Times New Roman" w:hAnsi="Calibri" w:cs="Times New Roman"/>
                <w:color w:val="auto"/>
                <w:sz w:val="20"/>
                <w:szCs w:val="22"/>
              </w:rPr>
            </w:pPr>
            <w:r w:rsidRPr="00611276">
              <w:rPr>
                <w:rFonts w:ascii="Calibri" w:eastAsia="Times New Roman" w:hAnsi="Calibri" w:cs="Times New Roman"/>
                <w:color w:val="auto"/>
                <w:sz w:val="20"/>
                <w:szCs w:val="22"/>
              </w:rPr>
              <w:t xml:space="preserve">Agriculture Victoria has eight authenticated online processes in active use. Two additional services have been developed for issuing permits </w:t>
            </w:r>
            <w:r w:rsidR="004D59A9">
              <w:rPr>
                <w:rFonts w:ascii="Calibri" w:eastAsia="Times New Roman" w:hAnsi="Calibri" w:cs="Times New Roman"/>
                <w:color w:val="auto"/>
                <w:sz w:val="20"/>
                <w:szCs w:val="22"/>
              </w:rPr>
              <w:t xml:space="preserve">for </w:t>
            </w:r>
            <w:r w:rsidRPr="00611276">
              <w:rPr>
                <w:rFonts w:ascii="Calibri" w:eastAsia="Times New Roman" w:hAnsi="Calibri" w:cs="Times New Roman"/>
                <w:color w:val="auto"/>
                <w:sz w:val="20"/>
                <w:szCs w:val="22"/>
              </w:rPr>
              <w:t xml:space="preserve">biosecurity emergency responses. </w:t>
            </w:r>
          </w:p>
          <w:p w14:paraId="774B0846" w14:textId="77777777" w:rsidR="003D78F9" w:rsidRPr="00611276" w:rsidRDefault="003D78F9" w:rsidP="003D78F9">
            <w:pPr>
              <w:spacing w:after="0" w:line="240" w:lineRule="auto"/>
              <w:rPr>
                <w:rFonts w:ascii="Calibri" w:eastAsia="Calibri" w:hAnsi="Calibri" w:cs="Times New Roman"/>
                <w:color w:val="auto"/>
                <w:sz w:val="20"/>
                <w:szCs w:val="22"/>
              </w:rPr>
            </w:pPr>
          </w:p>
        </w:tc>
      </w:tr>
      <w:tr w:rsidR="003D78F9" w:rsidRPr="003D78F9" w14:paraId="2CA7F811" w14:textId="77777777" w:rsidTr="00C91A6C">
        <w:trPr>
          <w:trHeight w:hRule="exact" w:val="993"/>
          <w:jc w:val="center"/>
        </w:trPr>
        <w:tc>
          <w:tcPr>
            <w:tcW w:w="470" w:type="dxa"/>
          </w:tcPr>
          <w:p w14:paraId="77A4F73B" w14:textId="77777777" w:rsidR="003D78F9" w:rsidRPr="00611276" w:rsidRDefault="003D78F9" w:rsidP="003D78F9">
            <w:pPr>
              <w:spacing w:after="0" w:line="240" w:lineRule="auto"/>
              <w:rPr>
                <w:rFonts w:ascii="Calibri" w:eastAsia="Calibri" w:hAnsi="Calibri" w:cs="Times New Roman"/>
                <w:color w:val="auto"/>
                <w:sz w:val="20"/>
                <w:szCs w:val="22"/>
              </w:rPr>
            </w:pPr>
            <w:r w:rsidRPr="00611276">
              <w:rPr>
                <w:rFonts w:ascii="Calibri" w:eastAsia="Calibri" w:hAnsi="Calibri" w:cs="Times New Roman"/>
                <w:color w:val="auto"/>
                <w:sz w:val="20"/>
                <w:szCs w:val="22"/>
              </w:rPr>
              <w:t>1.4</w:t>
            </w:r>
          </w:p>
        </w:tc>
        <w:tc>
          <w:tcPr>
            <w:tcW w:w="4487" w:type="dxa"/>
          </w:tcPr>
          <w:p w14:paraId="0EAD8F6B" w14:textId="77777777" w:rsidR="003D78F9" w:rsidRPr="00611276" w:rsidRDefault="003D78F9" w:rsidP="003D78F9">
            <w:pPr>
              <w:spacing w:after="0" w:line="240" w:lineRule="auto"/>
              <w:rPr>
                <w:rFonts w:ascii="Calibri" w:eastAsia="Calibri" w:hAnsi="Calibri" w:cs="Times New Roman"/>
                <w:color w:val="auto"/>
                <w:sz w:val="20"/>
                <w:szCs w:val="22"/>
              </w:rPr>
            </w:pPr>
            <w:r w:rsidRPr="00611276">
              <w:rPr>
                <w:rFonts w:ascii="Calibri" w:eastAsia="Times New Roman" w:hAnsi="Calibri" w:cs="Calibri"/>
                <w:color w:val="auto"/>
                <w:sz w:val="20"/>
                <w:szCs w:val="22"/>
              </w:rPr>
              <w:t>100 per cent of new application processes introduced will be made available online in the first instance.</w:t>
            </w:r>
          </w:p>
        </w:tc>
        <w:tc>
          <w:tcPr>
            <w:tcW w:w="791" w:type="dxa"/>
          </w:tcPr>
          <w:p w14:paraId="3363AE73" w14:textId="3B1D75F6" w:rsidR="003D78F9" w:rsidRPr="00611276" w:rsidRDefault="00C91A6C" w:rsidP="003D78F9">
            <w:pPr>
              <w:spacing w:after="0" w:line="240" w:lineRule="auto"/>
              <w:rPr>
                <w:rFonts w:ascii="Calibri" w:eastAsia="Calibri" w:hAnsi="Calibri" w:cs="Times New Roman"/>
                <w:color w:val="auto"/>
                <w:sz w:val="20"/>
                <w:szCs w:val="22"/>
              </w:rPr>
            </w:pPr>
            <w:r w:rsidRPr="003D78F9">
              <w:rPr>
                <w:rFonts w:ascii="Calibri" w:eastAsia="Calibri" w:hAnsi="Calibri" w:cs="Times New Roman"/>
                <w:noProof/>
                <w:color w:val="auto"/>
                <w:sz w:val="22"/>
                <w:szCs w:val="22"/>
                <w:lang w:eastAsia="en-AU"/>
              </w:rPr>
              <w:drawing>
                <wp:inline distT="0" distB="0" distL="0" distR="0" wp14:anchorId="744344CB" wp14:editId="53B30533">
                  <wp:extent cx="304800" cy="304800"/>
                  <wp:effectExtent l="0" t="0" r="0" b="0"/>
                  <wp:docPr id="47" name="Graphic 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311132" cy="311132"/>
                          </a:xfrm>
                          <a:prstGeom prst="rect">
                            <a:avLst/>
                          </a:prstGeom>
                        </pic:spPr>
                      </pic:pic>
                    </a:graphicData>
                  </a:graphic>
                </wp:inline>
              </w:drawing>
            </w:r>
          </w:p>
        </w:tc>
        <w:tc>
          <w:tcPr>
            <w:tcW w:w="3982" w:type="dxa"/>
          </w:tcPr>
          <w:p w14:paraId="12283C8F" w14:textId="53964B24" w:rsidR="003D78F9" w:rsidRPr="00611276" w:rsidRDefault="003D78F9" w:rsidP="003D78F9">
            <w:pPr>
              <w:spacing w:after="0" w:line="240" w:lineRule="auto"/>
              <w:rPr>
                <w:rFonts w:ascii="Calibri" w:eastAsia="Calibri" w:hAnsi="Calibri" w:cs="Times New Roman"/>
                <w:color w:val="auto"/>
                <w:sz w:val="20"/>
                <w:szCs w:val="22"/>
              </w:rPr>
            </w:pPr>
            <w:r w:rsidRPr="00611276">
              <w:rPr>
                <w:rFonts w:ascii="Calibri" w:eastAsia="Times New Roman" w:hAnsi="Calibri" w:cs="Times New Roman"/>
                <w:color w:val="auto"/>
                <w:sz w:val="20"/>
                <w:szCs w:val="22"/>
              </w:rPr>
              <w:t>No new application processes were introduced during 2017-18. Any future application processes will be developed with online delivery as a key element of service delivery.</w:t>
            </w:r>
          </w:p>
        </w:tc>
      </w:tr>
      <w:tr w:rsidR="003D78F9" w:rsidRPr="003D78F9" w14:paraId="081D8387" w14:textId="77777777" w:rsidTr="001A3107">
        <w:trPr>
          <w:trHeight w:hRule="exact" w:val="334"/>
          <w:jc w:val="center"/>
        </w:trPr>
        <w:tc>
          <w:tcPr>
            <w:tcW w:w="9730" w:type="dxa"/>
            <w:gridSpan w:val="4"/>
          </w:tcPr>
          <w:p w14:paraId="50592CEE" w14:textId="79C107B8" w:rsidR="003D78F9" w:rsidRPr="00611276" w:rsidRDefault="003D78F9" w:rsidP="001A3107">
            <w:pPr>
              <w:spacing w:line="276" w:lineRule="auto"/>
              <w:rPr>
                <w:rFonts w:ascii="Calibri" w:eastAsia="Calibri" w:hAnsi="Calibri" w:cs="Times New Roman"/>
                <w:b/>
                <w:color w:val="auto"/>
                <w:sz w:val="20"/>
                <w:szCs w:val="22"/>
              </w:rPr>
            </w:pPr>
            <w:r w:rsidRPr="00611276">
              <w:rPr>
                <w:rFonts w:ascii="Calibri" w:eastAsia="Times New Roman" w:hAnsi="Calibri" w:cs="Calibri"/>
                <w:b/>
                <w:color w:val="auto"/>
                <w:sz w:val="20"/>
                <w:szCs w:val="22"/>
              </w:rPr>
              <w:t xml:space="preserve">Ministerial Expectation Criteria 2: Risk Based Strategies </w:t>
            </w:r>
          </w:p>
        </w:tc>
      </w:tr>
      <w:tr w:rsidR="003D78F9" w:rsidRPr="003D78F9" w14:paraId="242D356E" w14:textId="77777777" w:rsidTr="00C91A6C">
        <w:trPr>
          <w:trHeight w:hRule="exact" w:val="345"/>
          <w:jc w:val="center"/>
        </w:trPr>
        <w:tc>
          <w:tcPr>
            <w:tcW w:w="4957" w:type="dxa"/>
            <w:gridSpan w:val="2"/>
            <w:shd w:val="clear" w:color="auto" w:fill="D9E2F3"/>
          </w:tcPr>
          <w:p w14:paraId="6F4B7615" w14:textId="77777777" w:rsidR="003D78F9" w:rsidRPr="00611276" w:rsidRDefault="003D78F9" w:rsidP="003D78F9">
            <w:pPr>
              <w:spacing w:after="0" w:line="240" w:lineRule="auto"/>
              <w:rPr>
                <w:rFonts w:ascii="Calibri" w:eastAsia="Calibri" w:hAnsi="Calibri" w:cs="Times New Roman"/>
                <w:color w:val="auto"/>
                <w:sz w:val="20"/>
                <w:szCs w:val="22"/>
              </w:rPr>
            </w:pPr>
            <w:r w:rsidRPr="00611276">
              <w:rPr>
                <w:rFonts w:ascii="Calibri" w:eastAsia="Calibri" w:hAnsi="Calibri" w:cs="Times New Roman"/>
                <w:color w:val="auto"/>
                <w:sz w:val="20"/>
                <w:szCs w:val="22"/>
              </w:rPr>
              <w:t>Improvement Target</w:t>
            </w:r>
          </w:p>
        </w:tc>
        <w:tc>
          <w:tcPr>
            <w:tcW w:w="791" w:type="dxa"/>
            <w:shd w:val="clear" w:color="auto" w:fill="D9E2F3"/>
          </w:tcPr>
          <w:p w14:paraId="3CFDEBA1" w14:textId="77777777" w:rsidR="003D78F9" w:rsidRPr="00611276" w:rsidRDefault="003D78F9" w:rsidP="003D78F9">
            <w:pPr>
              <w:spacing w:after="0" w:line="240" w:lineRule="auto"/>
              <w:rPr>
                <w:rFonts w:ascii="Calibri" w:eastAsia="Calibri" w:hAnsi="Calibri" w:cs="Times New Roman"/>
                <w:color w:val="auto"/>
                <w:sz w:val="20"/>
                <w:szCs w:val="22"/>
              </w:rPr>
            </w:pPr>
            <w:r w:rsidRPr="00611276">
              <w:rPr>
                <w:rFonts w:ascii="Calibri" w:eastAsia="Calibri" w:hAnsi="Calibri" w:cs="Times New Roman"/>
                <w:color w:val="auto"/>
                <w:sz w:val="20"/>
                <w:szCs w:val="22"/>
              </w:rPr>
              <w:t>Status</w:t>
            </w:r>
          </w:p>
        </w:tc>
        <w:tc>
          <w:tcPr>
            <w:tcW w:w="3982" w:type="dxa"/>
            <w:shd w:val="clear" w:color="auto" w:fill="D9E2F3"/>
          </w:tcPr>
          <w:p w14:paraId="74455DD2" w14:textId="77777777" w:rsidR="003D78F9" w:rsidRPr="00611276" w:rsidRDefault="003D78F9" w:rsidP="003D78F9">
            <w:pPr>
              <w:spacing w:after="0" w:line="240" w:lineRule="auto"/>
              <w:rPr>
                <w:rFonts w:ascii="Calibri" w:eastAsia="Calibri" w:hAnsi="Calibri" w:cs="Times New Roman"/>
                <w:color w:val="auto"/>
                <w:sz w:val="20"/>
                <w:szCs w:val="22"/>
              </w:rPr>
            </w:pPr>
            <w:r w:rsidRPr="00611276">
              <w:rPr>
                <w:rFonts w:ascii="Calibri" w:eastAsia="Calibri" w:hAnsi="Calibri" w:cs="Times New Roman"/>
                <w:color w:val="auto"/>
                <w:sz w:val="20"/>
                <w:szCs w:val="22"/>
              </w:rPr>
              <w:t>Status Detail</w:t>
            </w:r>
          </w:p>
        </w:tc>
      </w:tr>
      <w:tr w:rsidR="003D78F9" w:rsidRPr="003D78F9" w14:paraId="7A7C8D3B" w14:textId="77777777" w:rsidTr="00C91A6C">
        <w:trPr>
          <w:trHeight w:hRule="exact" w:val="707"/>
          <w:jc w:val="center"/>
        </w:trPr>
        <w:tc>
          <w:tcPr>
            <w:tcW w:w="470" w:type="dxa"/>
          </w:tcPr>
          <w:p w14:paraId="7567856A" w14:textId="77777777" w:rsidR="003D78F9" w:rsidRPr="00611276" w:rsidRDefault="003D78F9" w:rsidP="003D78F9">
            <w:pPr>
              <w:spacing w:after="0" w:line="240" w:lineRule="auto"/>
              <w:rPr>
                <w:rFonts w:ascii="Calibri" w:eastAsia="Calibri" w:hAnsi="Calibri" w:cs="Times New Roman"/>
                <w:color w:val="auto"/>
                <w:sz w:val="20"/>
                <w:szCs w:val="22"/>
              </w:rPr>
            </w:pPr>
            <w:r w:rsidRPr="00611276">
              <w:rPr>
                <w:rFonts w:ascii="Calibri" w:eastAsia="Calibri" w:hAnsi="Calibri" w:cs="Times New Roman"/>
                <w:color w:val="auto"/>
                <w:sz w:val="20"/>
                <w:szCs w:val="22"/>
              </w:rPr>
              <w:t>2.1</w:t>
            </w:r>
          </w:p>
        </w:tc>
        <w:tc>
          <w:tcPr>
            <w:tcW w:w="4487" w:type="dxa"/>
            <w:shd w:val="clear" w:color="auto" w:fill="auto"/>
          </w:tcPr>
          <w:p w14:paraId="1F762627" w14:textId="77777777" w:rsidR="003D78F9" w:rsidRPr="00611276" w:rsidRDefault="003D78F9" w:rsidP="003D78F9">
            <w:pPr>
              <w:spacing w:after="113" w:line="276" w:lineRule="auto"/>
              <w:rPr>
                <w:rFonts w:ascii="Calibri" w:eastAsia="Times New Roman" w:hAnsi="Calibri" w:cs="Calibri"/>
                <w:color w:val="auto"/>
                <w:sz w:val="20"/>
                <w:szCs w:val="22"/>
              </w:rPr>
            </w:pPr>
            <w:r w:rsidRPr="00611276">
              <w:rPr>
                <w:rFonts w:ascii="Calibri" w:eastAsia="Times New Roman" w:hAnsi="Calibri" w:cs="Calibri"/>
                <w:color w:val="auto"/>
                <w:sz w:val="20"/>
                <w:szCs w:val="22"/>
              </w:rPr>
              <w:t>Review and update all risk-based compliance strategies.</w:t>
            </w:r>
          </w:p>
        </w:tc>
        <w:tc>
          <w:tcPr>
            <w:tcW w:w="791" w:type="dxa"/>
          </w:tcPr>
          <w:p w14:paraId="12A2565A" w14:textId="545F5F5D" w:rsidR="003D78F9" w:rsidRPr="00611276" w:rsidRDefault="00C91A6C" w:rsidP="003D78F9">
            <w:pPr>
              <w:spacing w:after="0" w:line="240" w:lineRule="auto"/>
              <w:rPr>
                <w:rFonts w:ascii="Calibri" w:eastAsia="Calibri" w:hAnsi="Calibri" w:cs="Times New Roman"/>
                <w:color w:val="auto"/>
                <w:sz w:val="20"/>
                <w:szCs w:val="22"/>
              </w:rPr>
            </w:pPr>
            <w:r w:rsidRPr="00611276">
              <w:rPr>
                <w:rFonts w:ascii="Calibri" w:eastAsia="Calibri" w:hAnsi="Calibri" w:cs="Times New Roman"/>
                <w:noProof/>
                <w:color w:val="auto"/>
                <w:sz w:val="20"/>
                <w:szCs w:val="22"/>
                <w:lang w:eastAsia="en-AU"/>
              </w:rPr>
              <w:drawing>
                <wp:inline distT="0" distB="0" distL="0" distR="0" wp14:anchorId="69DA5324" wp14:editId="77B47C8B">
                  <wp:extent cx="342900" cy="342900"/>
                  <wp:effectExtent l="0" t="0" r="0" b="0"/>
                  <wp:docPr id="36" name="Graphic 36" descr="Sig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gnal.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351092" cy="351092"/>
                          </a:xfrm>
                          <a:prstGeom prst="rect">
                            <a:avLst/>
                          </a:prstGeom>
                        </pic:spPr>
                      </pic:pic>
                    </a:graphicData>
                  </a:graphic>
                </wp:inline>
              </w:drawing>
            </w:r>
          </w:p>
        </w:tc>
        <w:tc>
          <w:tcPr>
            <w:tcW w:w="3982" w:type="dxa"/>
            <w:shd w:val="clear" w:color="auto" w:fill="auto"/>
          </w:tcPr>
          <w:p w14:paraId="78D7664D" w14:textId="77777777" w:rsidR="003D78F9" w:rsidRPr="00611276" w:rsidRDefault="003D78F9" w:rsidP="003D78F9">
            <w:pPr>
              <w:spacing w:after="0" w:line="240" w:lineRule="auto"/>
              <w:rPr>
                <w:rFonts w:ascii="Calibri" w:eastAsia="Calibri" w:hAnsi="Calibri" w:cs="Times New Roman"/>
                <w:color w:val="auto"/>
                <w:sz w:val="20"/>
                <w:szCs w:val="22"/>
              </w:rPr>
            </w:pPr>
            <w:r w:rsidRPr="00611276">
              <w:rPr>
                <w:rFonts w:ascii="Calibri" w:eastAsia="Times New Roman" w:hAnsi="Calibri" w:cs="Times New Roman"/>
                <w:color w:val="auto"/>
                <w:sz w:val="20"/>
                <w:szCs w:val="22"/>
              </w:rPr>
              <w:t>All risk-based compliance strategies are being reviewed and updated.</w:t>
            </w:r>
          </w:p>
        </w:tc>
      </w:tr>
      <w:tr w:rsidR="003D78F9" w:rsidRPr="003D78F9" w14:paraId="5DA6E1E5" w14:textId="77777777" w:rsidTr="00C91A6C">
        <w:trPr>
          <w:trHeight w:hRule="exact" w:val="701"/>
          <w:jc w:val="center"/>
        </w:trPr>
        <w:tc>
          <w:tcPr>
            <w:tcW w:w="470" w:type="dxa"/>
          </w:tcPr>
          <w:p w14:paraId="17431AFB" w14:textId="77777777" w:rsidR="003D78F9" w:rsidRPr="00611276" w:rsidRDefault="003D78F9" w:rsidP="003D78F9">
            <w:pPr>
              <w:spacing w:after="0" w:line="240" w:lineRule="auto"/>
              <w:rPr>
                <w:rFonts w:ascii="Calibri" w:eastAsia="Calibri" w:hAnsi="Calibri" w:cs="Times New Roman"/>
                <w:color w:val="auto"/>
                <w:sz w:val="20"/>
                <w:szCs w:val="22"/>
              </w:rPr>
            </w:pPr>
            <w:r w:rsidRPr="00611276">
              <w:rPr>
                <w:rFonts w:ascii="Calibri" w:eastAsia="Calibri" w:hAnsi="Calibri" w:cs="Times New Roman"/>
                <w:color w:val="auto"/>
                <w:sz w:val="20"/>
                <w:szCs w:val="22"/>
              </w:rPr>
              <w:t>2.2</w:t>
            </w:r>
          </w:p>
        </w:tc>
        <w:tc>
          <w:tcPr>
            <w:tcW w:w="4487" w:type="dxa"/>
            <w:shd w:val="clear" w:color="auto" w:fill="auto"/>
          </w:tcPr>
          <w:p w14:paraId="046EBD1E" w14:textId="77777777" w:rsidR="003D78F9" w:rsidRPr="00611276" w:rsidRDefault="003D78F9" w:rsidP="003D78F9">
            <w:pPr>
              <w:spacing w:line="276" w:lineRule="auto"/>
              <w:rPr>
                <w:rFonts w:ascii="Calibri" w:eastAsia="Times New Roman" w:hAnsi="Calibri" w:cs="Calibri"/>
                <w:color w:val="auto"/>
                <w:sz w:val="20"/>
                <w:szCs w:val="22"/>
              </w:rPr>
            </w:pPr>
            <w:r w:rsidRPr="00611276">
              <w:rPr>
                <w:rFonts w:ascii="Calibri" w:eastAsia="Times New Roman" w:hAnsi="Calibri" w:cs="Calibri"/>
                <w:color w:val="auto"/>
                <w:sz w:val="20"/>
                <w:szCs w:val="22"/>
              </w:rPr>
              <w:t>Review and update all risk-based compliance operations plans.</w:t>
            </w:r>
          </w:p>
        </w:tc>
        <w:tc>
          <w:tcPr>
            <w:tcW w:w="791" w:type="dxa"/>
          </w:tcPr>
          <w:p w14:paraId="2759E8A3" w14:textId="621AD2FC" w:rsidR="003D78F9" w:rsidRPr="00611276" w:rsidRDefault="00C91A6C" w:rsidP="003D78F9">
            <w:pPr>
              <w:spacing w:after="0" w:line="240" w:lineRule="auto"/>
              <w:rPr>
                <w:rFonts w:ascii="Calibri" w:eastAsia="Calibri" w:hAnsi="Calibri" w:cs="Times New Roman"/>
                <w:color w:val="auto"/>
                <w:sz w:val="20"/>
                <w:szCs w:val="22"/>
              </w:rPr>
            </w:pPr>
            <w:r w:rsidRPr="00611276">
              <w:rPr>
                <w:rFonts w:ascii="Calibri" w:eastAsia="Calibri" w:hAnsi="Calibri" w:cs="Times New Roman"/>
                <w:noProof/>
                <w:color w:val="auto"/>
                <w:sz w:val="20"/>
                <w:szCs w:val="22"/>
                <w:lang w:eastAsia="en-AU"/>
              </w:rPr>
              <w:drawing>
                <wp:inline distT="0" distB="0" distL="0" distR="0" wp14:anchorId="3A1CFC5E" wp14:editId="050A6E6E">
                  <wp:extent cx="342900" cy="342900"/>
                  <wp:effectExtent l="0" t="0" r="0" b="0"/>
                  <wp:docPr id="37" name="Graphic 37" descr="Sig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gnal.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351092" cy="351092"/>
                          </a:xfrm>
                          <a:prstGeom prst="rect">
                            <a:avLst/>
                          </a:prstGeom>
                        </pic:spPr>
                      </pic:pic>
                    </a:graphicData>
                  </a:graphic>
                </wp:inline>
              </w:drawing>
            </w:r>
          </w:p>
        </w:tc>
        <w:tc>
          <w:tcPr>
            <w:tcW w:w="3982" w:type="dxa"/>
            <w:shd w:val="clear" w:color="auto" w:fill="auto"/>
          </w:tcPr>
          <w:p w14:paraId="3F3E8CA8" w14:textId="77777777" w:rsidR="003D78F9" w:rsidRPr="00611276" w:rsidRDefault="003D78F9" w:rsidP="003D78F9">
            <w:pPr>
              <w:spacing w:after="0" w:line="240" w:lineRule="auto"/>
              <w:rPr>
                <w:rFonts w:ascii="Calibri" w:eastAsia="Calibri" w:hAnsi="Calibri" w:cs="Times New Roman"/>
                <w:color w:val="auto"/>
                <w:sz w:val="20"/>
                <w:szCs w:val="22"/>
              </w:rPr>
            </w:pPr>
            <w:r w:rsidRPr="00611276">
              <w:rPr>
                <w:rFonts w:ascii="Calibri" w:eastAsia="Times New Roman" w:hAnsi="Calibri" w:cs="Times New Roman"/>
                <w:color w:val="auto"/>
                <w:sz w:val="20"/>
                <w:szCs w:val="22"/>
              </w:rPr>
              <w:t xml:space="preserve">All risk-based compliance operational plans are being reviewed and updated. </w:t>
            </w:r>
          </w:p>
        </w:tc>
      </w:tr>
      <w:tr w:rsidR="003D78F9" w:rsidRPr="003D78F9" w14:paraId="44D85BAC" w14:textId="77777777" w:rsidTr="00C91A6C">
        <w:trPr>
          <w:trHeight w:hRule="exact" w:val="843"/>
          <w:jc w:val="center"/>
        </w:trPr>
        <w:tc>
          <w:tcPr>
            <w:tcW w:w="470" w:type="dxa"/>
          </w:tcPr>
          <w:p w14:paraId="6634F85D" w14:textId="77777777" w:rsidR="003D78F9" w:rsidRPr="00611276" w:rsidRDefault="003D78F9" w:rsidP="003D78F9">
            <w:pPr>
              <w:spacing w:after="0" w:line="240" w:lineRule="auto"/>
              <w:rPr>
                <w:rFonts w:ascii="Calibri" w:eastAsia="Calibri" w:hAnsi="Calibri" w:cs="Times New Roman"/>
                <w:color w:val="auto"/>
                <w:sz w:val="20"/>
                <w:szCs w:val="22"/>
              </w:rPr>
            </w:pPr>
            <w:r w:rsidRPr="00611276">
              <w:rPr>
                <w:rFonts w:ascii="Calibri" w:eastAsia="Calibri" w:hAnsi="Calibri" w:cs="Times New Roman"/>
                <w:color w:val="auto"/>
                <w:sz w:val="20"/>
                <w:szCs w:val="22"/>
              </w:rPr>
              <w:t>2.3</w:t>
            </w:r>
          </w:p>
        </w:tc>
        <w:tc>
          <w:tcPr>
            <w:tcW w:w="4487" w:type="dxa"/>
            <w:shd w:val="clear" w:color="auto" w:fill="auto"/>
          </w:tcPr>
          <w:p w14:paraId="1928F063" w14:textId="77777777" w:rsidR="003D78F9" w:rsidRPr="00611276" w:rsidRDefault="003D78F9" w:rsidP="003D78F9">
            <w:pPr>
              <w:spacing w:after="113" w:line="276" w:lineRule="auto"/>
              <w:rPr>
                <w:rFonts w:ascii="Calibri" w:eastAsia="Times New Roman" w:hAnsi="Calibri" w:cs="Calibri"/>
                <w:color w:val="auto"/>
                <w:sz w:val="20"/>
                <w:szCs w:val="22"/>
              </w:rPr>
            </w:pPr>
            <w:r w:rsidRPr="00611276">
              <w:rPr>
                <w:rFonts w:ascii="Calibri" w:eastAsia="Times New Roman" w:hAnsi="Calibri" w:cs="Calibri"/>
                <w:color w:val="auto"/>
                <w:sz w:val="20"/>
                <w:szCs w:val="22"/>
              </w:rPr>
              <w:t>Investigate gaps in current legislative powers and provisions to effectively address marine pest biosecurity for Victoria.</w:t>
            </w:r>
          </w:p>
        </w:tc>
        <w:tc>
          <w:tcPr>
            <w:tcW w:w="791" w:type="dxa"/>
          </w:tcPr>
          <w:p w14:paraId="529ACF52" w14:textId="7C3B21FD" w:rsidR="003D78F9" w:rsidRPr="00611276" w:rsidRDefault="00C91A6C" w:rsidP="003D78F9">
            <w:pPr>
              <w:spacing w:after="0" w:line="240" w:lineRule="auto"/>
              <w:rPr>
                <w:rFonts w:ascii="Calibri" w:eastAsia="Calibri" w:hAnsi="Calibri" w:cs="Times New Roman"/>
                <w:color w:val="auto"/>
                <w:sz w:val="20"/>
                <w:szCs w:val="22"/>
              </w:rPr>
            </w:pPr>
            <w:r w:rsidRPr="00611276">
              <w:rPr>
                <w:rFonts w:ascii="Calibri" w:eastAsia="Calibri" w:hAnsi="Calibri" w:cs="Times New Roman"/>
                <w:noProof/>
                <w:color w:val="auto"/>
                <w:sz w:val="20"/>
                <w:szCs w:val="22"/>
                <w:lang w:eastAsia="en-AU"/>
              </w:rPr>
              <w:drawing>
                <wp:inline distT="0" distB="0" distL="0" distR="0" wp14:anchorId="0393D150" wp14:editId="58D19AD7">
                  <wp:extent cx="342900" cy="342900"/>
                  <wp:effectExtent l="0" t="0" r="0" b="0"/>
                  <wp:docPr id="42" name="Graphic 42" descr="Sig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gnal.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351092" cy="351092"/>
                          </a:xfrm>
                          <a:prstGeom prst="rect">
                            <a:avLst/>
                          </a:prstGeom>
                        </pic:spPr>
                      </pic:pic>
                    </a:graphicData>
                  </a:graphic>
                </wp:inline>
              </w:drawing>
            </w:r>
          </w:p>
        </w:tc>
        <w:tc>
          <w:tcPr>
            <w:tcW w:w="3982" w:type="dxa"/>
            <w:shd w:val="clear" w:color="auto" w:fill="auto"/>
          </w:tcPr>
          <w:p w14:paraId="18104FF6" w14:textId="71998B21" w:rsidR="003D78F9" w:rsidRPr="00611276" w:rsidRDefault="003D78F9" w:rsidP="003D78F9">
            <w:pPr>
              <w:spacing w:after="0" w:line="240" w:lineRule="auto"/>
              <w:rPr>
                <w:rFonts w:ascii="Calibri" w:eastAsia="Calibri" w:hAnsi="Calibri" w:cs="Times New Roman"/>
                <w:color w:val="auto"/>
                <w:sz w:val="20"/>
                <w:szCs w:val="22"/>
              </w:rPr>
            </w:pPr>
            <w:r w:rsidRPr="00611276">
              <w:rPr>
                <w:rFonts w:ascii="Calibri" w:eastAsia="Times New Roman" w:hAnsi="Calibri" w:cs="Times New Roman"/>
                <w:color w:val="auto"/>
                <w:sz w:val="20"/>
                <w:szCs w:val="22"/>
              </w:rPr>
              <w:t>A range of desktop scenarios have been developed to test the legislative coverage for marine pests</w:t>
            </w:r>
            <w:r w:rsidR="008B1685">
              <w:rPr>
                <w:rFonts w:ascii="Calibri" w:eastAsia="Times New Roman" w:hAnsi="Calibri" w:cs="Times New Roman"/>
                <w:color w:val="auto"/>
                <w:sz w:val="20"/>
                <w:szCs w:val="22"/>
              </w:rPr>
              <w:t xml:space="preserve"> and legal</w:t>
            </w:r>
            <w:r w:rsidR="004D59A9">
              <w:rPr>
                <w:rFonts w:ascii="Calibri" w:eastAsia="Times New Roman" w:hAnsi="Calibri" w:cs="Times New Roman"/>
                <w:color w:val="auto"/>
                <w:sz w:val="20"/>
                <w:szCs w:val="22"/>
              </w:rPr>
              <w:t xml:space="preserve"> </w:t>
            </w:r>
            <w:r w:rsidR="008B1685">
              <w:rPr>
                <w:rFonts w:ascii="Calibri" w:eastAsia="Times New Roman" w:hAnsi="Calibri" w:cs="Times New Roman"/>
                <w:color w:val="auto"/>
                <w:sz w:val="20"/>
                <w:szCs w:val="22"/>
              </w:rPr>
              <w:t>a</w:t>
            </w:r>
            <w:r w:rsidRPr="00611276">
              <w:rPr>
                <w:rFonts w:ascii="Calibri" w:eastAsia="Times New Roman" w:hAnsi="Calibri" w:cs="Times New Roman"/>
                <w:color w:val="auto"/>
                <w:sz w:val="20"/>
                <w:szCs w:val="22"/>
              </w:rPr>
              <w:t>dvice is being sought</w:t>
            </w:r>
            <w:r w:rsidR="004D59A9">
              <w:rPr>
                <w:rFonts w:ascii="Calibri" w:eastAsia="Times New Roman" w:hAnsi="Calibri" w:cs="Times New Roman"/>
                <w:color w:val="auto"/>
                <w:sz w:val="20"/>
                <w:szCs w:val="22"/>
              </w:rPr>
              <w:t>.</w:t>
            </w:r>
          </w:p>
        </w:tc>
      </w:tr>
      <w:tr w:rsidR="003D78F9" w:rsidRPr="003D78F9" w14:paraId="4F3C8039" w14:textId="77777777" w:rsidTr="001A3107">
        <w:trPr>
          <w:trHeight w:hRule="exact" w:val="776"/>
          <w:jc w:val="center"/>
        </w:trPr>
        <w:tc>
          <w:tcPr>
            <w:tcW w:w="470" w:type="dxa"/>
          </w:tcPr>
          <w:p w14:paraId="3B419E04" w14:textId="77777777" w:rsidR="003D78F9" w:rsidRPr="00611276" w:rsidRDefault="003D78F9" w:rsidP="003D78F9">
            <w:pPr>
              <w:spacing w:after="0" w:line="240" w:lineRule="auto"/>
              <w:rPr>
                <w:rFonts w:ascii="Calibri" w:eastAsia="Calibri" w:hAnsi="Calibri" w:cs="Times New Roman"/>
                <w:color w:val="auto"/>
                <w:sz w:val="20"/>
                <w:szCs w:val="22"/>
              </w:rPr>
            </w:pPr>
            <w:r w:rsidRPr="00611276">
              <w:rPr>
                <w:rFonts w:ascii="Calibri" w:eastAsia="Calibri" w:hAnsi="Calibri" w:cs="Times New Roman"/>
                <w:color w:val="auto"/>
                <w:sz w:val="20"/>
                <w:szCs w:val="22"/>
              </w:rPr>
              <w:t>2.4</w:t>
            </w:r>
          </w:p>
        </w:tc>
        <w:tc>
          <w:tcPr>
            <w:tcW w:w="4487" w:type="dxa"/>
            <w:shd w:val="clear" w:color="auto" w:fill="auto"/>
          </w:tcPr>
          <w:p w14:paraId="5F57D2B2" w14:textId="77777777" w:rsidR="003D78F9" w:rsidRPr="00611276" w:rsidRDefault="003D78F9" w:rsidP="003D78F9">
            <w:pPr>
              <w:spacing w:line="276" w:lineRule="auto"/>
              <w:rPr>
                <w:rFonts w:ascii="Calibri" w:eastAsia="Times New Roman" w:hAnsi="Calibri" w:cs="Calibri"/>
                <w:color w:val="auto"/>
                <w:sz w:val="20"/>
                <w:szCs w:val="22"/>
              </w:rPr>
            </w:pPr>
            <w:r w:rsidRPr="00611276">
              <w:rPr>
                <w:rFonts w:ascii="Calibri" w:eastAsia="Times New Roman" w:hAnsi="Calibri" w:cs="Calibri"/>
                <w:color w:val="auto"/>
                <w:sz w:val="20"/>
                <w:szCs w:val="22"/>
              </w:rPr>
              <w:t>Develop a marine pest biosecurity policy that includes priority areas for data collection.</w:t>
            </w:r>
          </w:p>
        </w:tc>
        <w:tc>
          <w:tcPr>
            <w:tcW w:w="791" w:type="dxa"/>
          </w:tcPr>
          <w:p w14:paraId="473AEF4C" w14:textId="7C2E0D75" w:rsidR="003D78F9" w:rsidRPr="00611276" w:rsidRDefault="00C91A6C" w:rsidP="003D78F9">
            <w:pPr>
              <w:spacing w:after="0" w:line="240" w:lineRule="auto"/>
              <w:rPr>
                <w:rFonts w:ascii="Calibri" w:eastAsia="Calibri" w:hAnsi="Calibri" w:cs="Times New Roman"/>
                <w:color w:val="auto"/>
                <w:sz w:val="20"/>
                <w:szCs w:val="22"/>
              </w:rPr>
            </w:pPr>
            <w:r w:rsidRPr="00611276">
              <w:rPr>
                <w:rFonts w:ascii="Calibri" w:eastAsia="Calibri" w:hAnsi="Calibri" w:cs="Times New Roman"/>
                <w:noProof/>
                <w:color w:val="auto"/>
                <w:sz w:val="20"/>
                <w:szCs w:val="22"/>
                <w:lang w:eastAsia="en-AU"/>
              </w:rPr>
              <w:drawing>
                <wp:inline distT="0" distB="0" distL="0" distR="0" wp14:anchorId="0DC73C2A" wp14:editId="2F5BD812">
                  <wp:extent cx="342900" cy="342900"/>
                  <wp:effectExtent l="0" t="0" r="0" b="0"/>
                  <wp:docPr id="43" name="Graphic 43" descr="Sig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gnal.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351092" cy="351092"/>
                          </a:xfrm>
                          <a:prstGeom prst="rect">
                            <a:avLst/>
                          </a:prstGeom>
                        </pic:spPr>
                      </pic:pic>
                    </a:graphicData>
                  </a:graphic>
                </wp:inline>
              </w:drawing>
            </w:r>
          </w:p>
        </w:tc>
        <w:tc>
          <w:tcPr>
            <w:tcW w:w="3982" w:type="dxa"/>
            <w:shd w:val="clear" w:color="auto" w:fill="auto"/>
          </w:tcPr>
          <w:p w14:paraId="3AFB2162" w14:textId="21728A01" w:rsidR="003D78F9" w:rsidRPr="00611276" w:rsidRDefault="003D78F9" w:rsidP="003D78F9">
            <w:pPr>
              <w:spacing w:after="0" w:line="240" w:lineRule="auto"/>
              <w:rPr>
                <w:rFonts w:ascii="Calibri" w:eastAsia="Calibri" w:hAnsi="Calibri" w:cs="Times New Roman"/>
                <w:color w:val="auto"/>
                <w:sz w:val="20"/>
                <w:szCs w:val="22"/>
              </w:rPr>
            </w:pPr>
            <w:r w:rsidRPr="00611276">
              <w:rPr>
                <w:rFonts w:ascii="Calibri" w:eastAsia="Times New Roman" w:hAnsi="Calibri" w:cs="Times New Roman"/>
                <w:color w:val="auto"/>
                <w:sz w:val="20"/>
                <w:szCs w:val="22"/>
              </w:rPr>
              <w:t xml:space="preserve">A draft marine pest module under the Invasive Plants and Animals Policy Framework has been developed. </w:t>
            </w:r>
          </w:p>
        </w:tc>
      </w:tr>
      <w:tr w:rsidR="003D78F9" w:rsidRPr="003D78F9" w14:paraId="34C922FB" w14:textId="77777777" w:rsidTr="001A3107">
        <w:trPr>
          <w:trHeight w:hRule="exact" w:val="348"/>
          <w:jc w:val="center"/>
        </w:trPr>
        <w:tc>
          <w:tcPr>
            <w:tcW w:w="9730" w:type="dxa"/>
            <w:gridSpan w:val="4"/>
          </w:tcPr>
          <w:p w14:paraId="5F0FD975" w14:textId="77777777" w:rsidR="003D78F9" w:rsidRPr="00611276" w:rsidRDefault="003D78F9" w:rsidP="003D78F9">
            <w:pPr>
              <w:spacing w:line="276" w:lineRule="auto"/>
              <w:rPr>
                <w:rFonts w:ascii="Calibri" w:eastAsia="Times New Roman" w:hAnsi="Calibri" w:cs="Calibri"/>
                <w:b/>
                <w:color w:val="auto"/>
                <w:sz w:val="20"/>
                <w:szCs w:val="22"/>
              </w:rPr>
            </w:pPr>
            <w:r w:rsidRPr="00611276">
              <w:rPr>
                <w:rFonts w:ascii="Calibri" w:eastAsia="Times New Roman" w:hAnsi="Calibri" w:cs="Calibri"/>
                <w:b/>
                <w:color w:val="auto"/>
                <w:sz w:val="20"/>
                <w:szCs w:val="22"/>
              </w:rPr>
              <w:t xml:space="preserve">Ministerial Expectation Criteria 3: Compliance related assistance and advice </w:t>
            </w:r>
          </w:p>
          <w:p w14:paraId="7E1633AB" w14:textId="77777777" w:rsidR="003D78F9" w:rsidRPr="00611276" w:rsidRDefault="003D78F9" w:rsidP="003D78F9">
            <w:pPr>
              <w:spacing w:after="0" w:line="240" w:lineRule="auto"/>
              <w:rPr>
                <w:rFonts w:ascii="Calibri" w:eastAsia="Calibri" w:hAnsi="Calibri" w:cs="Times New Roman"/>
                <w:color w:val="auto"/>
                <w:sz w:val="20"/>
                <w:szCs w:val="22"/>
              </w:rPr>
            </w:pPr>
          </w:p>
        </w:tc>
      </w:tr>
      <w:tr w:rsidR="003D78F9" w:rsidRPr="003D78F9" w14:paraId="061B5344" w14:textId="77777777" w:rsidTr="001A3107">
        <w:trPr>
          <w:trHeight w:hRule="exact" w:val="345"/>
          <w:jc w:val="center"/>
        </w:trPr>
        <w:tc>
          <w:tcPr>
            <w:tcW w:w="4957" w:type="dxa"/>
            <w:gridSpan w:val="2"/>
            <w:shd w:val="clear" w:color="auto" w:fill="D9E2F3"/>
          </w:tcPr>
          <w:p w14:paraId="234FB467" w14:textId="77777777" w:rsidR="003D78F9" w:rsidRPr="00611276" w:rsidRDefault="003D78F9" w:rsidP="003D78F9">
            <w:pPr>
              <w:spacing w:after="0" w:line="240" w:lineRule="auto"/>
              <w:rPr>
                <w:rFonts w:ascii="Calibri" w:eastAsia="Calibri" w:hAnsi="Calibri" w:cs="Times New Roman"/>
                <w:color w:val="auto"/>
                <w:sz w:val="20"/>
                <w:szCs w:val="22"/>
              </w:rPr>
            </w:pPr>
            <w:r w:rsidRPr="00611276">
              <w:rPr>
                <w:rFonts w:ascii="Calibri" w:eastAsia="Calibri" w:hAnsi="Calibri" w:cs="Times New Roman"/>
                <w:color w:val="auto"/>
                <w:sz w:val="20"/>
                <w:szCs w:val="22"/>
              </w:rPr>
              <w:t>Improvement Target</w:t>
            </w:r>
          </w:p>
        </w:tc>
        <w:tc>
          <w:tcPr>
            <w:tcW w:w="791" w:type="dxa"/>
            <w:shd w:val="clear" w:color="auto" w:fill="D9E2F3"/>
          </w:tcPr>
          <w:p w14:paraId="43C89641" w14:textId="77777777" w:rsidR="003D78F9" w:rsidRPr="00611276" w:rsidRDefault="003D78F9" w:rsidP="003D78F9">
            <w:pPr>
              <w:spacing w:after="0" w:line="240" w:lineRule="auto"/>
              <w:rPr>
                <w:rFonts w:ascii="Calibri" w:eastAsia="Calibri" w:hAnsi="Calibri" w:cs="Times New Roman"/>
                <w:color w:val="auto"/>
                <w:sz w:val="20"/>
                <w:szCs w:val="22"/>
              </w:rPr>
            </w:pPr>
            <w:r w:rsidRPr="00611276">
              <w:rPr>
                <w:rFonts w:ascii="Calibri" w:eastAsia="Calibri" w:hAnsi="Calibri" w:cs="Times New Roman"/>
                <w:color w:val="auto"/>
                <w:sz w:val="20"/>
                <w:szCs w:val="22"/>
              </w:rPr>
              <w:t>Status</w:t>
            </w:r>
          </w:p>
        </w:tc>
        <w:tc>
          <w:tcPr>
            <w:tcW w:w="3982" w:type="dxa"/>
            <w:shd w:val="clear" w:color="auto" w:fill="D9E2F3"/>
          </w:tcPr>
          <w:p w14:paraId="0139165B" w14:textId="77777777" w:rsidR="003D78F9" w:rsidRPr="00611276" w:rsidRDefault="003D78F9" w:rsidP="003D78F9">
            <w:pPr>
              <w:spacing w:after="0" w:line="240" w:lineRule="auto"/>
              <w:rPr>
                <w:rFonts w:ascii="Calibri" w:eastAsia="Calibri" w:hAnsi="Calibri" w:cs="Times New Roman"/>
                <w:color w:val="auto"/>
                <w:sz w:val="20"/>
                <w:szCs w:val="22"/>
              </w:rPr>
            </w:pPr>
            <w:r w:rsidRPr="00611276">
              <w:rPr>
                <w:rFonts w:ascii="Calibri" w:eastAsia="Calibri" w:hAnsi="Calibri" w:cs="Times New Roman"/>
                <w:color w:val="auto"/>
                <w:sz w:val="20"/>
                <w:szCs w:val="22"/>
              </w:rPr>
              <w:t>Status Detail</w:t>
            </w:r>
          </w:p>
        </w:tc>
      </w:tr>
      <w:tr w:rsidR="003D78F9" w:rsidRPr="003D78F9" w14:paraId="0999C529" w14:textId="77777777" w:rsidTr="00C91A6C">
        <w:trPr>
          <w:trHeight w:hRule="exact" w:val="1114"/>
          <w:jc w:val="center"/>
        </w:trPr>
        <w:tc>
          <w:tcPr>
            <w:tcW w:w="470" w:type="dxa"/>
          </w:tcPr>
          <w:p w14:paraId="6155FFA4" w14:textId="77777777" w:rsidR="003D78F9" w:rsidRPr="00611276" w:rsidRDefault="003D78F9" w:rsidP="003D78F9">
            <w:pPr>
              <w:spacing w:after="0" w:line="240" w:lineRule="auto"/>
              <w:rPr>
                <w:rFonts w:ascii="Calibri" w:eastAsia="Calibri" w:hAnsi="Calibri" w:cs="Times New Roman"/>
                <w:color w:val="auto"/>
                <w:sz w:val="20"/>
                <w:szCs w:val="22"/>
              </w:rPr>
            </w:pPr>
            <w:r w:rsidRPr="00611276">
              <w:rPr>
                <w:rFonts w:ascii="Calibri" w:eastAsia="Calibri" w:hAnsi="Calibri" w:cs="Times New Roman"/>
                <w:color w:val="auto"/>
                <w:sz w:val="20"/>
                <w:szCs w:val="22"/>
              </w:rPr>
              <w:t>3.1</w:t>
            </w:r>
          </w:p>
        </w:tc>
        <w:tc>
          <w:tcPr>
            <w:tcW w:w="4487" w:type="dxa"/>
            <w:shd w:val="clear" w:color="auto" w:fill="auto"/>
          </w:tcPr>
          <w:p w14:paraId="3B3D14CC" w14:textId="77777777" w:rsidR="003D78F9" w:rsidRPr="00611276" w:rsidRDefault="003D78F9" w:rsidP="003D78F9">
            <w:pPr>
              <w:spacing w:after="113" w:line="276" w:lineRule="auto"/>
              <w:rPr>
                <w:rFonts w:ascii="Calibri" w:eastAsia="Times New Roman" w:hAnsi="Calibri" w:cs="Calibri"/>
                <w:color w:val="auto"/>
                <w:sz w:val="20"/>
                <w:szCs w:val="22"/>
              </w:rPr>
            </w:pPr>
            <w:r w:rsidRPr="00611276">
              <w:rPr>
                <w:rFonts w:ascii="Calibri" w:eastAsia="Times New Roman" w:hAnsi="Calibri" w:cs="Calibri"/>
                <w:color w:val="auto"/>
                <w:sz w:val="20"/>
                <w:szCs w:val="22"/>
              </w:rPr>
              <w:t xml:space="preserve">Prepare a plan to review current website content to ensure advisory material for regulated parties is current, relevant and accessible. </w:t>
            </w:r>
          </w:p>
          <w:p w14:paraId="3153A503" w14:textId="77777777" w:rsidR="003D78F9" w:rsidRPr="00611276" w:rsidRDefault="003D78F9" w:rsidP="003D78F9">
            <w:pPr>
              <w:spacing w:after="113" w:line="276" w:lineRule="auto"/>
              <w:rPr>
                <w:rFonts w:ascii="Calibri" w:eastAsia="Times New Roman" w:hAnsi="Calibri" w:cs="Calibri"/>
                <w:color w:val="auto"/>
                <w:sz w:val="20"/>
                <w:szCs w:val="22"/>
              </w:rPr>
            </w:pPr>
          </w:p>
        </w:tc>
        <w:tc>
          <w:tcPr>
            <w:tcW w:w="791" w:type="dxa"/>
          </w:tcPr>
          <w:p w14:paraId="70EE21D4" w14:textId="0C6225A7" w:rsidR="003D78F9" w:rsidRPr="00611276" w:rsidRDefault="00C91A6C" w:rsidP="003D78F9">
            <w:pPr>
              <w:spacing w:after="0" w:line="240" w:lineRule="auto"/>
              <w:rPr>
                <w:rFonts w:ascii="Calibri" w:eastAsia="Calibri" w:hAnsi="Calibri" w:cs="Times New Roman"/>
                <w:color w:val="auto"/>
                <w:sz w:val="20"/>
                <w:szCs w:val="22"/>
              </w:rPr>
            </w:pPr>
            <w:r w:rsidRPr="00611276">
              <w:rPr>
                <w:rFonts w:ascii="Calibri" w:eastAsia="Calibri" w:hAnsi="Calibri" w:cs="Times New Roman"/>
                <w:noProof/>
                <w:color w:val="auto"/>
                <w:sz w:val="20"/>
                <w:szCs w:val="22"/>
                <w:lang w:eastAsia="en-AU"/>
              </w:rPr>
              <w:drawing>
                <wp:inline distT="0" distB="0" distL="0" distR="0" wp14:anchorId="2C4B241A" wp14:editId="59B4C845">
                  <wp:extent cx="342900" cy="342900"/>
                  <wp:effectExtent l="0" t="0" r="0" b="0"/>
                  <wp:docPr id="48" name="Graphic 48" descr="Sig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gnal.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351092" cy="351092"/>
                          </a:xfrm>
                          <a:prstGeom prst="rect">
                            <a:avLst/>
                          </a:prstGeom>
                        </pic:spPr>
                      </pic:pic>
                    </a:graphicData>
                  </a:graphic>
                </wp:inline>
              </w:drawing>
            </w:r>
          </w:p>
        </w:tc>
        <w:tc>
          <w:tcPr>
            <w:tcW w:w="3982" w:type="dxa"/>
          </w:tcPr>
          <w:p w14:paraId="7A94B5A0" w14:textId="42250608" w:rsidR="003D78F9" w:rsidRPr="00611276" w:rsidRDefault="003D78F9" w:rsidP="003D78F9">
            <w:pPr>
              <w:spacing w:after="0" w:line="240" w:lineRule="auto"/>
              <w:rPr>
                <w:rFonts w:ascii="Calibri" w:eastAsia="Calibri" w:hAnsi="Calibri" w:cs="Calibri"/>
                <w:color w:val="auto"/>
                <w:sz w:val="20"/>
                <w:szCs w:val="22"/>
              </w:rPr>
            </w:pPr>
            <w:r w:rsidRPr="00611276">
              <w:rPr>
                <w:rFonts w:ascii="Calibri" w:eastAsia="Calibri" w:hAnsi="Calibri" w:cs="Calibri"/>
                <w:color w:val="auto"/>
                <w:sz w:val="20"/>
                <w:szCs w:val="22"/>
              </w:rPr>
              <w:t xml:space="preserve">Audit, review and assigning of web content to authors within the current website platform. </w:t>
            </w:r>
            <w:r w:rsidR="008B1685">
              <w:rPr>
                <w:rFonts w:ascii="Calibri" w:eastAsia="Calibri" w:hAnsi="Calibri" w:cs="Calibri"/>
                <w:color w:val="auto"/>
                <w:sz w:val="20"/>
                <w:szCs w:val="22"/>
              </w:rPr>
              <w:t>I</w:t>
            </w:r>
            <w:r w:rsidRPr="00611276">
              <w:rPr>
                <w:rFonts w:ascii="Calibri" w:eastAsia="Calibri" w:hAnsi="Calibri" w:cs="Calibri"/>
                <w:color w:val="auto"/>
                <w:sz w:val="20"/>
                <w:szCs w:val="22"/>
              </w:rPr>
              <w:t>nitial focus is on 2,500 pages of biosecurity-related content.</w:t>
            </w:r>
          </w:p>
          <w:p w14:paraId="3608C5D1" w14:textId="77777777" w:rsidR="003D78F9" w:rsidRPr="00611276" w:rsidRDefault="003D78F9" w:rsidP="003D78F9">
            <w:pPr>
              <w:spacing w:after="0" w:line="240" w:lineRule="auto"/>
              <w:rPr>
                <w:rFonts w:ascii="Calibri" w:eastAsia="Calibri" w:hAnsi="Calibri" w:cs="Times New Roman"/>
                <w:color w:val="auto"/>
                <w:sz w:val="20"/>
                <w:szCs w:val="22"/>
              </w:rPr>
            </w:pPr>
          </w:p>
        </w:tc>
      </w:tr>
      <w:tr w:rsidR="003D78F9" w:rsidRPr="003D78F9" w14:paraId="538B55DE" w14:textId="77777777" w:rsidTr="00C91A6C">
        <w:trPr>
          <w:trHeight w:hRule="exact" w:val="1001"/>
          <w:jc w:val="center"/>
        </w:trPr>
        <w:tc>
          <w:tcPr>
            <w:tcW w:w="470" w:type="dxa"/>
          </w:tcPr>
          <w:p w14:paraId="6B2D6E63" w14:textId="77777777" w:rsidR="003D78F9" w:rsidRPr="00611276" w:rsidRDefault="003D78F9" w:rsidP="003D78F9">
            <w:pPr>
              <w:spacing w:after="0" w:line="240" w:lineRule="auto"/>
              <w:rPr>
                <w:rFonts w:ascii="Calibri" w:eastAsia="Calibri" w:hAnsi="Calibri" w:cs="Times New Roman"/>
                <w:color w:val="auto"/>
                <w:sz w:val="20"/>
                <w:szCs w:val="22"/>
              </w:rPr>
            </w:pPr>
            <w:r w:rsidRPr="00611276">
              <w:rPr>
                <w:rFonts w:ascii="Calibri" w:eastAsia="Calibri" w:hAnsi="Calibri" w:cs="Times New Roman"/>
                <w:color w:val="auto"/>
                <w:sz w:val="20"/>
                <w:szCs w:val="22"/>
              </w:rPr>
              <w:lastRenderedPageBreak/>
              <w:t>3.2</w:t>
            </w:r>
          </w:p>
        </w:tc>
        <w:tc>
          <w:tcPr>
            <w:tcW w:w="4487" w:type="dxa"/>
            <w:shd w:val="clear" w:color="auto" w:fill="auto"/>
          </w:tcPr>
          <w:p w14:paraId="48F0CA85" w14:textId="77777777" w:rsidR="003D78F9" w:rsidRPr="00611276" w:rsidRDefault="003D78F9" w:rsidP="003D78F9">
            <w:pPr>
              <w:spacing w:line="276" w:lineRule="auto"/>
              <w:rPr>
                <w:rFonts w:ascii="Calibri" w:eastAsia="Times New Roman" w:hAnsi="Calibri" w:cs="Calibri"/>
                <w:color w:val="auto"/>
                <w:sz w:val="20"/>
                <w:szCs w:val="22"/>
              </w:rPr>
            </w:pPr>
            <w:r w:rsidRPr="00611276">
              <w:rPr>
                <w:rFonts w:ascii="Calibri" w:eastAsia="Times New Roman" w:hAnsi="Calibri" w:cs="Calibri"/>
                <w:color w:val="auto"/>
                <w:sz w:val="20"/>
                <w:szCs w:val="22"/>
              </w:rPr>
              <w:t>Implement first stage of website content review.</w:t>
            </w:r>
          </w:p>
        </w:tc>
        <w:tc>
          <w:tcPr>
            <w:tcW w:w="791" w:type="dxa"/>
          </w:tcPr>
          <w:p w14:paraId="58962236" w14:textId="27CC8F15" w:rsidR="003D78F9" w:rsidRPr="00611276" w:rsidRDefault="00C91A6C" w:rsidP="003D78F9">
            <w:pPr>
              <w:spacing w:after="0" w:line="240" w:lineRule="auto"/>
              <w:rPr>
                <w:rFonts w:ascii="Calibri" w:eastAsia="Calibri" w:hAnsi="Calibri" w:cs="Times New Roman"/>
                <w:color w:val="auto"/>
                <w:sz w:val="20"/>
                <w:szCs w:val="22"/>
              </w:rPr>
            </w:pPr>
            <w:r w:rsidRPr="003D78F9">
              <w:rPr>
                <w:rFonts w:ascii="Calibri" w:eastAsia="Calibri" w:hAnsi="Calibri" w:cs="Times New Roman"/>
                <w:noProof/>
                <w:color w:val="auto"/>
                <w:sz w:val="22"/>
                <w:szCs w:val="22"/>
                <w:lang w:eastAsia="en-AU"/>
              </w:rPr>
              <w:drawing>
                <wp:inline distT="0" distB="0" distL="0" distR="0" wp14:anchorId="6D99DD43" wp14:editId="42CA3BDD">
                  <wp:extent cx="304800" cy="304800"/>
                  <wp:effectExtent l="0" t="0" r="0" b="0"/>
                  <wp:docPr id="54" name="Graphic 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311132" cy="311132"/>
                          </a:xfrm>
                          <a:prstGeom prst="rect">
                            <a:avLst/>
                          </a:prstGeom>
                        </pic:spPr>
                      </pic:pic>
                    </a:graphicData>
                  </a:graphic>
                </wp:inline>
              </w:drawing>
            </w:r>
          </w:p>
        </w:tc>
        <w:tc>
          <w:tcPr>
            <w:tcW w:w="3982" w:type="dxa"/>
          </w:tcPr>
          <w:p w14:paraId="12AB5FEA" w14:textId="409D44D0" w:rsidR="003D78F9" w:rsidRPr="00611276" w:rsidRDefault="008B1685" w:rsidP="003D78F9">
            <w:pPr>
              <w:spacing w:after="0" w:line="240" w:lineRule="auto"/>
              <w:rPr>
                <w:rFonts w:ascii="Calibri" w:eastAsia="Calibri" w:hAnsi="Calibri" w:cs="Times New Roman"/>
                <w:color w:val="auto"/>
                <w:sz w:val="20"/>
                <w:szCs w:val="22"/>
              </w:rPr>
            </w:pPr>
            <w:r>
              <w:rPr>
                <w:rFonts w:ascii="Calibri" w:eastAsia="Calibri" w:hAnsi="Calibri" w:cs="Calibri"/>
                <w:color w:val="auto"/>
                <w:sz w:val="20"/>
                <w:szCs w:val="22"/>
              </w:rPr>
              <w:t>An</w:t>
            </w:r>
            <w:r w:rsidRPr="00611276">
              <w:rPr>
                <w:rFonts w:ascii="Calibri" w:eastAsia="Calibri" w:hAnsi="Calibri" w:cs="Calibri"/>
                <w:color w:val="auto"/>
                <w:sz w:val="20"/>
                <w:szCs w:val="22"/>
              </w:rPr>
              <w:t xml:space="preserve"> </w:t>
            </w:r>
            <w:r w:rsidR="003D78F9" w:rsidRPr="00611276">
              <w:rPr>
                <w:rFonts w:ascii="Calibri" w:eastAsia="Calibri" w:hAnsi="Calibri" w:cs="Calibri"/>
                <w:color w:val="auto"/>
                <w:sz w:val="20"/>
                <w:szCs w:val="22"/>
              </w:rPr>
              <w:t>initial audit of biosecurity</w:t>
            </w:r>
            <w:r>
              <w:rPr>
                <w:rFonts w:ascii="Calibri" w:eastAsia="Calibri" w:hAnsi="Calibri" w:cs="Calibri"/>
                <w:color w:val="auto"/>
                <w:sz w:val="20"/>
                <w:szCs w:val="22"/>
              </w:rPr>
              <w:t>-</w:t>
            </w:r>
            <w:r w:rsidR="003D78F9" w:rsidRPr="00611276">
              <w:rPr>
                <w:rFonts w:ascii="Calibri" w:eastAsia="Calibri" w:hAnsi="Calibri" w:cs="Calibri"/>
                <w:color w:val="auto"/>
                <w:sz w:val="20"/>
                <w:szCs w:val="22"/>
              </w:rPr>
              <w:t xml:space="preserve">related web content identified opportunities to make improvements to ensure content is regularly reviewed and updated. </w:t>
            </w:r>
          </w:p>
        </w:tc>
      </w:tr>
      <w:tr w:rsidR="003D78F9" w:rsidRPr="003D78F9" w14:paraId="4180C0E2" w14:textId="77777777" w:rsidTr="00C91A6C">
        <w:trPr>
          <w:trHeight w:hRule="exact" w:val="1712"/>
          <w:jc w:val="center"/>
        </w:trPr>
        <w:tc>
          <w:tcPr>
            <w:tcW w:w="470" w:type="dxa"/>
          </w:tcPr>
          <w:p w14:paraId="236A18E4" w14:textId="77777777" w:rsidR="003D78F9" w:rsidRPr="00611276" w:rsidRDefault="003D78F9" w:rsidP="003D78F9">
            <w:pPr>
              <w:spacing w:after="0" w:line="240" w:lineRule="auto"/>
              <w:rPr>
                <w:rFonts w:ascii="Calibri" w:eastAsia="Calibri" w:hAnsi="Calibri" w:cs="Times New Roman"/>
                <w:color w:val="auto"/>
                <w:sz w:val="20"/>
                <w:szCs w:val="22"/>
              </w:rPr>
            </w:pPr>
            <w:r w:rsidRPr="00611276">
              <w:rPr>
                <w:rFonts w:ascii="Calibri" w:eastAsia="Calibri" w:hAnsi="Calibri" w:cs="Times New Roman"/>
                <w:color w:val="auto"/>
                <w:sz w:val="20"/>
                <w:szCs w:val="22"/>
              </w:rPr>
              <w:t>3.3</w:t>
            </w:r>
          </w:p>
        </w:tc>
        <w:tc>
          <w:tcPr>
            <w:tcW w:w="4487" w:type="dxa"/>
            <w:shd w:val="clear" w:color="auto" w:fill="auto"/>
          </w:tcPr>
          <w:p w14:paraId="3849A43E" w14:textId="77777777" w:rsidR="003D78F9" w:rsidRPr="00611276" w:rsidRDefault="003D78F9" w:rsidP="003D78F9">
            <w:pPr>
              <w:spacing w:after="113" w:line="276" w:lineRule="auto"/>
              <w:rPr>
                <w:rFonts w:ascii="Calibri" w:eastAsia="Times New Roman" w:hAnsi="Calibri" w:cs="Calibri"/>
                <w:color w:val="auto"/>
                <w:sz w:val="20"/>
                <w:szCs w:val="22"/>
              </w:rPr>
            </w:pPr>
            <w:r w:rsidRPr="00611276">
              <w:rPr>
                <w:rFonts w:ascii="Calibri" w:eastAsia="Times New Roman" w:hAnsi="Calibri" w:cs="Calibri"/>
                <w:color w:val="auto"/>
                <w:sz w:val="20"/>
                <w:szCs w:val="22"/>
              </w:rPr>
              <w:t>Introduce an ongoing monitoring program of website content to ensure information remains contemporary to legislative requirements and appropriate for use. This will include engagement with end-users to determine their ongoing information requirements as appropriate.</w:t>
            </w:r>
          </w:p>
          <w:p w14:paraId="7C2EA7F3" w14:textId="77777777" w:rsidR="003D78F9" w:rsidRPr="00611276" w:rsidRDefault="003D78F9" w:rsidP="003D78F9">
            <w:pPr>
              <w:spacing w:line="276" w:lineRule="auto"/>
              <w:rPr>
                <w:rFonts w:ascii="Calibri" w:eastAsia="Times New Roman" w:hAnsi="Calibri" w:cs="Calibri"/>
                <w:color w:val="auto"/>
                <w:sz w:val="20"/>
                <w:szCs w:val="22"/>
              </w:rPr>
            </w:pPr>
          </w:p>
        </w:tc>
        <w:tc>
          <w:tcPr>
            <w:tcW w:w="791" w:type="dxa"/>
          </w:tcPr>
          <w:p w14:paraId="24EE15C8" w14:textId="6367761C" w:rsidR="003D78F9" w:rsidRPr="00611276" w:rsidRDefault="00C91A6C" w:rsidP="003D78F9">
            <w:pPr>
              <w:spacing w:after="0" w:line="240" w:lineRule="auto"/>
              <w:rPr>
                <w:rFonts w:ascii="Calibri" w:eastAsia="Calibri" w:hAnsi="Calibri" w:cs="Times New Roman"/>
                <w:color w:val="auto"/>
                <w:sz w:val="20"/>
                <w:szCs w:val="22"/>
              </w:rPr>
            </w:pPr>
            <w:r w:rsidRPr="003D78F9">
              <w:rPr>
                <w:rFonts w:ascii="Calibri" w:eastAsia="Calibri" w:hAnsi="Calibri" w:cs="Times New Roman"/>
                <w:noProof/>
                <w:color w:val="auto"/>
                <w:sz w:val="22"/>
                <w:szCs w:val="22"/>
                <w:lang w:eastAsia="en-AU"/>
              </w:rPr>
              <w:drawing>
                <wp:inline distT="0" distB="0" distL="0" distR="0" wp14:anchorId="132AEE6F" wp14:editId="7109DF21">
                  <wp:extent cx="304800" cy="304800"/>
                  <wp:effectExtent l="0" t="0" r="0" b="0"/>
                  <wp:docPr id="55" name="Graphic 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311132" cy="311132"/>
                          </a:xfrm>
                          <a:prstGeom prst="rect">
                            <a:avLst/>
                          </a:prstGeom>
                        </pic:spPr>
                      </pic:pic>
                    </a:graphicData>
                  </a:graphic>
                </wp:inline>
              </w:drawing>
            </w:r>
          </w:p>
        </w:tc>
        <w:tc>
          <w:tcPr>
            <w:tcW w:w="3982" w:type="dxa"/>
          </w:tcPr>
          <w:p w14:paraId="5CC660E9" w14:textId="3BCA451E" w:rsidR="003D78F9" w:rsidRPr="00611276" w:rsidRDefault="008B1685" w:rsidP="003D78F9">
            <w:pPr>
              <w:spacing w:after="0" w:line="240" w:lineRule="auto"/>
              <w:rPr>
                <w:rFonts w:ascii="Calibri" w:eastAsia="Calibri" w:hAnsi="Calibri" w:cs="Times New Roman"/>
                <w:color w:val="auto"/>
                <w:sz w:val="20"/>
                <w:szCs w:val="22"/>
              </w:rPr>
            </w:pPr>
            <w:r>
              <w:rPr>
                <w:rFonts w:ascii="Calibri" w:eastAsia="Calibri" w:hAnsi="Calibri" w:cs="Calibri"/>
                <w:color w:val="auto"/>
                <w:sz w:val="20"/>
                <w:szCs w:val="22"/>
              </w:rPr>
              <w:t>I</w:t>
            </w:r>
            <w:r w:rsidR="003D78F9" w:rsidRPr="00611276">
              <w:rPr>
                <w:rFonts w:ascii="Calibri" w:eastAsia="Calibri" w:hAnsi="Calibri" w:cs="Calibri"/>
                <w:color w:val="auto"/>
                <w:sz w:val="20"/>
                <w:szCs w:val="22"/>
              </w:rPr>
              <w:t xml:space="preserve">nitial focus is on 2,500 pages </w:t>
            </w:r>
            <w:r>
              <w:rPr>
                <w:rFonts w:ascii="Calibri" w:eastAsia="Calibri" w:hAnsi="Calibri" w:cs="Calibri"/>
                <w:color w:val="auto"/>
                <w:sz w:val="20"/>
                <w:szCs w:val="22"/>
              </w:rPr>
              <w:t>of</w:t>
            </w:r>
            <w:r w:rsidRPr="00611276">
              <w:rPr>
                <w:rFonts w:ascii="Calibri" w:eastAsia="Calibri" w:hAnsi="Calibri" w:cs="Calibri"/>
                <w:color w:val="auto"/>
                <w:sz w:val="20"/>
                <w:szCs w:val="22"/>
              </w:rPr>
              <w:t xml:space="preserve"> </w:t>
            </w:r>
            <w:r w:rsidR="003D78F9" w:rsidRPr="00611276">
              <w:rPr>
                <w:rFonts w:ascii="Calibri" w:eastAsia="Calibri" w:hAnsi="Calibri" w:cs="Calibri"/>
                <w:color w:val="auto"/>
                <w:sz w:val="20"/>
                <w:szCs w:val="22"/>
              </w:rPr>
              <w:t>biosecurity-related content</w:t>
            </w:r>
            <w:r>
              <w:rPr>
                <w:rFonts w:ascii="Calibri" w:eastAsia="Calibri" w:hAnsi="Calibri" w:cs="Calibri"/>
                <w:color w:val="auto"/>
                <w:sz w:val="20"/>
                <w:szCs w:val="22"/>
              </w:rPr>
              <w:t>. A</w:t>
            </w:r>
            <w:r w:rsidR="003D78F9" w:rsidRPr="00611276">
              <w:rPr>
                <w:rFonts w:ascii="Calibri" w:eastAsia="Calibri" w:hAnsi="Calibri" w:cs="Calibri"/>
                <w:color w:val="auto"/>
                <w:sz w:val="20"/>
                <w:szCs w:val="22"/>
              </w:rPr>
              <w:t xml:space="preserve">uthors </w:t>
            </w:r>
            <w:r>
              <w:rPr>
                <w:rFonts w:ascii="Calibri" w:eastAsia="Calibri" w:hAnsi="Calibri" w:cs="Calibri"/>
                <w:color w:val="auto"/>
                <w:sz w:val="20"/>
                <w:szCs w:val="22"/>
              </w:rPr>
              <w:t xml:space="preserve">have been </w:t>
            </w:r>
            <w:r w:rsidR="003D78F9" w:rsidRPr="00611276">
              <w:rPr>
                <w:rFonts w:ascii="Calibri" w:eastAsia="Calibri" w:hAnsi="Calibri" w:cs="Calibri"/>
                <w:color w:val="auto"/>
                <w:sz w:val="20"/>
                <w:szCs w:val="22"/>
              </w:rPr>
              <w:t xml:space="preserve">tasked with the responsibility for periodic review. </w:t>
            </w:r>
          </w:p>
        </w:tc>
      </w:tr>
      <w:tr w:rsidR="003D78F9" w:rsidRPr="003D78F9" w14:paraId="132C52E6" w14:textId="77777777" w:rsidTr="00C91A6C">
        <w:trPr>
          <w:trHeight w:hRule="exact" w:val="1424"/>
          <w:jc w:val="center"/>
        </w:trPr>
        <w:tc>
          <w:tcPr>
            <w:tcW w:w="470" w:type="dxa"/>
          </w:tcPr>
          <w:p w14:paraId="037469B5" w14:textId="77777777" w:rsidR="003D78F9" w:rsidRPr="00611276" w:rsidRDefault="003D78F9" w:rsidP="003D78F9">
            <w:pPr>
              <w:spacing w:after="0" w:line="240" w:lineRule="auto"/>
              <w:rPr>
                <w:rFonts w:ascii="Calibri" w:eastAsia="Calibri" w:hAnsi="Calibri" w:cs="Times New Roman"/>
                <w:color w:val="auto"/>
                <w:sz w:val="20"/>
                <w:szCs w:val="22"/>
              </w:rPr>
            </w:pPr>
            <w:r w:rsidRPr="00611276">
              <w:rPr>
                <w:rFonts w:ascii="Calibri" w:eastAsia="Calibri" w:hAnsi="Calibri" w:cs="Times New Roman"/>
                <w:color w:val="auto"/>
                <w:sz w:val="20"/>
                <w:szCs w:val="22"/>
              </w:rPr>
              <w:t>3.4</w:t>
            </w:r>
          </w:p>
        </w:tc>
        <w:tc>
          <w:tcPr>
            <w:tcW w:w="4487" w:type="dxa"/>
            <w:shd w:val="clear" w:color="auto" w:fill="auto"/>
          </w:tcPr>
          <w:p w14:paraId="240802CC" w14:textId="77777777" w:rsidR="003D78F9" w:rsidRPr="00611276" w:rsidRDefault="003D78F9" w:rsidP="003D78F9">
            <w:pPr>
              <w:spacing w:line="276" w:lineRule="auto"/>
              <w:rPr>
                <w:rFonts w:ascii="Calibri" w:eastAsia="Times New Roman" w:hAnsi="Calibri" w:cs="Calibri"/>
                <w:color w:val="auto"/>
                <w:sz w:val="20"/>
                <w:szCs w:val="22"/>
              </w:rPr>
            </w:pPr>
            <w:r w:rsidRPr="00611276">
              <w:rPr>
                <w:rFonts w:ascii="Calibri" w:eastAsia="Times New Roman" w:hAnsi="Calibri" w:cs="Calibri"/>
                <w:color w:val="auto"/>
                <w:sz w:val="20"/>
                <w:szCs w:val="22"/>
              </w:rPr>
              <w:t>Collect stakeholder information and report on the accessibility and effectiveness of available advisory information relating to EID of sheep and goats in Victoria. Report responses to any recommended improvements.</w:t>
            </w:r>
          </w:p>
        </w:tc>
        <w:tc>
          <w:tcPr>
            <w:tcW w:w="791" w:type="dxa"/>
          </w:tcPr>
          <w:p w14:paraId="62600EDE" w14:textId="02D38844" w:rsidR="003D78F9" w:rsidRPr="00611276" w:rsidRDefault="00C91A6C" w:rsidP="003D78F9">
            <w:pPr>
              <w:spacing w:after="0" w:line="240" w:lineRule="auto"/>
              <w:rPr>
                <w:rFonts w:ascii="Calibri" w:eastAsia="Calibri" w:hAnsi="Calibri" w:cs="Times New Roman"/>
                <w:color w:val="auto"/>
                <w:sz w:val="20"/>
                <w:szCs w:val="22"/>
              </w:rPr>
            </w:pPr>
            <w:r w:rsidRPr="00611276">
              <w:rPr>
                <w:rFonts w:ascii="Calibri" w:eastAsia="Calibri" w:hAnsi="Calibri" w:cs="Times New Roman"/>
                <w:noProof/>
                <w:color w:val="auto"/>
                <w:sz w:val="20"/>
                <w:szCs w:val="22"/>
                <w:lang w:eastAsia="en-AU"/>
              </w:rPr>
              <w:drawing>
                <wp:inline distT="0" distB="0" distL="0" distR="0" wp14:anchorId="081F5639" wp14:editId="353B810E">
                  <wp:extent cx="342900" cy="342900"/>
                  <wp:effectExtent l="0" t="0" r="0" b="0"/>
                  <wp:docPr id="49" name="Graphic 49" descr="Sig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gnal.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351092" cy="351092"/>
                          </a:xfrm>
                          <a:prstGeom prst="rect">
                            <a:avLst/>
                          </a:prstGeom>
                        </pic:spPr>
                      </pic:pic>
                    </a:graphicData>
                  </a:graphic>
                </wp:inline>
              </w:drawing>
            </w:r>
          </w:p>
        </w:tc>
        <w:tc>
          <w:tcPr>
            <w:tcW w:w="3982" w:type="dxa"/>
          </w:tcPr>
          <w:p w14:paraId="1A2754C9" w14:textId="59CA76A0" w:rsidR="003D78F9" w:rsidRPr="00611276" w:rsidRDefault="003D78F9" w:rsidP="003D78F9">
            <w:pPr>
              <w:spacing w:after="0" w:line="240" w:lineRule="auto"/>
              <w:rPr>
                <w:rFonts w:ascii="Calibri" w:eastAsia="Calibri" w:hAnsi="Calibri" w:cs="Calibri"/>
                <w:color w:val="auto"/>
                <w:sz w:val="20"/>
                <w:szCs w:val="22"/>
              </w:rPr>
            </w:pPr>
            <w:r w:rsidRPr="00611276">
              <w:rPr>
                <w:rFonts w:ascii="Calibri" w:eastAsia="Calibri" w:hAnsi="Calibri" w:cs="Calibri"/>
                <w:color w:val="auto"/>
                <w:sz w:val="20"/>
                <w:szCs w:val="22"/>
              </w:rPr>
              <w:t xml:space="preserve">The process to appoint an external evaluator to conduct a mid-term project evaluation is </w:t>
            </w:r>
            <w:r w:rsidR="008B1685">
              <w:rPr>
                <w:rFonts w:ascii="Calibri" w:eastAsia="Calibri" w:hAnsi="Calibri" w:cs="Calibri"/>
                <w:color w:val="auto"/>
                <w:sz w:val="20"/>
                <w:szCs w:val="22"/>
              </w:rPr>
              <w:t>being implemented.</w:t>
            </w:r>
            <w:r w:rsidRPr="00611276">
              <w:rPr>
                <w:rFonts w:ascii="Calibri" w:eastAsia="Calibri" w:hAnsi="Calibri" w:cs="Calibri"/>
                <w:color w:val="auto"/>
                <w:sz w:val="20"/>
                <w:szCs w:val="22"/>
              </w:rPr>
              <w:t xml:space="preserve"> </w:t>
            </w:r>
          </w:p>
          <w:p w14:paraId="71EC5957" w14:textId="77777777" w:rsidR="003D78F9" w:rsidRPr="00611276" w:rsidRDefault="003D78F9" w:rsidP="003D78F9">
            <w:pPr>
              <w:spacing w:after="0" w:line="240" w:lineRule="auto"/>
              <w:rPr>
                <w:rFonts w:ascii="Calibri" w:eastAsia="Calibri" w:hAnsi="Calibri" w:cs="Times New Roman"/>
                <w:color w:val="auto"/>
                <w:sz w:val="20"/>
                <w:szCs w:val="22"/>
              </w:rPr>
            </w:pPr>
          </w:p>
        </w:tc>
      </w:tr>
      <w:tr w:rsidR="003D78F9" w:rsidRPr="003D78F9" w14:paraId="2C53FD68" w14:textId="77777777" w:rsidTr="001A3107">
        <w:trPr>
          <w:trHeight w:hRule="exact" w:val="283"/>
          <w:jc w:val="center"/>
        </w:trPr>
        <w:tc>
          <w:tcPr>
            <w:tcW w:w="9730" w:type="dxa"/>
            <w:gridSpan w:val="4"/>
          </w:tcPr>
          <w:p w14:paraId="6F5F0BC8" w14:textId="04E1E559" w:rsidR="003D78F9" w:rsidRPr="00611276" w:rsidRDefault="003D78F9" w:rsidP="001A3107">
            <w:pPr>
              <w:spacing w:line="276" w:lineRule="auto"/>
              <w:rPr>
                <w:rFonts w:ascii="Calibri" w:eastAsia="Calibri" w:hAnsi="Calibri" w:cs="Times New Roman"/>
                <w:color w:val="auto"/>
                <w:sz w:val="20"/>
                <w:szCs w:val="22"/>
              </w:rPr>
            </w:pPr>
            <w:r w:rsidRPr="00611276">
              <w:rPr>
                <w:rFonts w:ascii="Calibri" w:eastAsia="Times New Roman" w:hAnsi="Calibri" w:cs="Calibri"/>
                <w:b/>
                <w:color w:val="auto"/>
                <w:sz w:val="20"/>
                <w:szCs w:val="22"/>
              </w:rPr>
              <w:t xml:space="preserve">Ministerial Expectation Criteria 4: Role Clarity </w:t>
            </w:r>
          </w:p>
        </w:tc>
      </w:tr>
      <w:tr w:rsidR="003D78F9" w:rsidRPr="003D78F9" w14:paraId="10E5BED2" w14:textId="77777777" w:rsidTr="001A3107">
        <w:trPr>
          <w:trHeight w:hRule="exact" w:val="256"/>
          <w:jc w:val="center"/>
        </w:trPr>
        <w:tc>
          <w:tcPr>
            <w:tcW w:w="4957" w:type="dxa"/>
            <w:gridSpan w:val="2"/>
            <w:shd w:val="clear" w:color="auto" w:fill="D9E2F3"/>
          </w:tcPr>
          <w:p w14:paraId="2D2D3B1A" w14:textId="77777777" w:rsidR="003D78F9" w:rsidRPr="00611276" w:rsidRDefault="003D78F9" w:rsidP="003D78F9">
            <w:pPr>
              <w:spacing w:after="0" w:line="240" w:lineRule="auto"/>
              <w:rPr>
                <w:rFonts w:ascii="Calibri" w:eastAsia="Calibri" w:hAnsi="Calibri" w:cs="Times New Roman"/>
                <w:color w:val="auto"/>
                <w:sz w:val="20"/>
                <w:szCs w:val="22"/>
              </w:rPr>
            </w:pPr>
            <w:r w:rsidRPr="00611276">
              <w:rPr>
                <w:rFonts w:ascii="Calibri" w:eastAsia="Calibri" w:hAnsi="Calibri" w:cs="Times New Roman"/>
                <w:color w:val="auto"/>
                <w:sz w:val="20"/>
                <w:szCs w:val="22"/>
              </w:rPr>
              <w:t>Improvement Target</w:t>
            </w:r>
          </w:p>
        </w:tc>
        <w:tc>
          <w:tcPr>
            <w:tcW w:w="791" w:type="dxa"/>
            <w:shd w:val="clear" w:color="auto" w:fill="D9E2F3"/>
          </w:tcPr>
          <w:p w14:paraId="3B411063" w14:textId="77777777" w:rsidR="003D78F9" w:rsidRPr="00611276" w:rsidRDefault="003D78F9" w:rsidP="003D78F9">
            <w:pPr>
              <w:spacing w:after="0" w:line="240" w:lineRule="auto"/>
              <w:rPr>
                <w:rFonts w:ascii="Calibri" w:eastAsia="Calibri" w:hAnsi="Calibri" w:cs="Times New Roman"/>
                <w:color w:val="auto"/>
                <w:sz w:val="20"/>
                <w:szCs w:val="22"/>
              </w:rPr>
            </w:pPr>
            <w:r w:rsidRPr="00611276">
              <w:rPr>
                <w:rFonts w:ascii="Calibri" w:eastAsia="Calibri" w:hAnsi="Calibri" w:cs="Times New Roman"/>
                <w:color w:val="auto"/>
                <w:sz w:val="20"/>
                <w:szCs w:val="22"/>
              </w:rPr>
              <w:t>Status</w:t>
            </w:r>
          </w:p>
        </w:tc>
        <w:tc>
          <w:tcPr>
            <w:tcW w:w="3982" w:type="dxa"/>
            <w:shd w:val="clear" w:color="auto" w:fill="D9E2F3"/>
          </w:tcPr>
          <w:p w14:paraId="4A1E8BCB" w14:textId="77777777" w:rsidR="003D78F9" w:rsidRPr="00611276" w:rsidRDefault="003D78F9" w:rsidP="003D78F9">
            <w:pPr>
              <w:spacing w:after="0" w:line="240" w:lineRule="auto"/>
              <w:rPr>
                <w:rFonts w:ascii="Calibri" w:eastAsia="Calibri" w:hAnsi="Calibri" w:cs="Times New Roman"/>
                <w:color w:val="auto"/>
                <w:sz w:val="20"/>
                <w:szCs w:val="22"/>
              </w:rPr>
            </w:pPr>
            <w:r w:rsidRPr="00611276">
              <w:rPr>
                <w:rFonts w:ascii="Calibri" w:eastAsia="Calibri" w:hAnsi="Calibri" w:cs="Times New Roman"/>
                <w:color w:val="auto"/>
                <w:sz w:val="20"/>
                <w:szCs w:val="22"/>
              </w:rPr>
              <w:t>Status Detail</w:t>
            </w:r>
          </w:p>
        </w:tc>
      </w:tr>
      <w:tr w:rsidR="003D78F9" w:rsidRPr="003D78F9" w14:paraId="61BC94A1" w14:textId="77777777" w:rsidTr="00C91A6C">
        <w:trPr>
          <w:trHeight w:hRule="exact" w:val="1003"/>
          <w:jc w:val="center"/>
        </w:trPr>
        <w:tc>
          <w:tcPr>
            <w:tcW w:w="470" w:type="dxa"/>
          </w:tcPr>
          <w:p w14:paraId="58D62A1F" w14:textId="77777777" w:rsidR="003D78F9" w:rsidRPr="00611276" w:rsidRDefault="003D78F9" w:rsidP="003D78F9">
            <w:pPr>
              <w:spacing w:after="0" w:line="240" w:lineRule="auto"/>
              <w:rPr>
                <w:rFonts w:ascii="Calibri" w:eastAsia="Calibri" w:hAnsi="Calibri" w:cs="Times New Roman"/>
                <w:color w:val="auto"/>
                <w:sz w:val="20"/>
                <w:szCs w:val="22"/>
              </w:rPr>
            </w:pPr>
            <w:r w:rsidRPr="00611276">
              <w:rPr>
                <w:rFonts w:ascii="Calibri" w:eastAsia="Calibri" w:hAnsi="Calibri" w:cs="Times New Roman"/>
                <w:color w:val="auto"/>
                <w:sz w:val="20"/>
                <w:szCs w:val="22"/>
              </w:rPr>
              <w:t>4.1</w:t>
            </w:r>
          </w:p>
        </w:tc>
        <w:tc>
          <w:tcPr>
            <w:tcW w:w="4487" w:type="dxa"/>
            <w:shd w:val="clear" w:color="auto" w:fill="auto"/>
          </w:tcPr>
          <w:p w14:paraId="2B1ACB11" w14:textId="1FBF5301" w:rsidR="003D78F9" w:rsidRPr="00611276" w:rsidRDefault="003D78F9" w:rsidP="003D78F9">
            <w:pPr>
              <w:spacing w:after="113" w:line="276" w:lineRule="auto"/>
              <w:rPr>
                <w:rFonts w:ascii="Calibri" w:eastAsia="Times New Roman" w:hAnsi="Calibri" w:cs="Calibri"/>
                <w:color w:val="auto"/>
                <w:sz w:val="20"/>
                <w:szCs w:val="22"/>
              </w:rPr>
            </w:pPr>
            <w:r w:rsidRPr="00611276">
              <w:rPr>
                <w:rFonts w:ascii="Calibri" w:eastAsia="Times New Roman" w:hAnsi="Calibri" w:cs="Calibri"/>
                <w:color w:val="auto"/>
                <w:sz w:val="20"/>
                <w:szCs w:val="22"/>
              </w:rPr>
              <w:t>Review current agreement on operational arrangements between DEDJTR and Victoria Police for regulating poppy and hemp production.</w:t>
            </w:r>
          </w:p>
          <w:p w14:paraId="3DED22EB" w14:textId="77777777" w:rsidR="003D78F9" w:rsidRPr="00611276" w:rsidRDefault="003D78F9" w:rsidP="003D78F9">
            <w:pPr>
              <w:spacing w:after="113" w:line="276" w:lineRule="auto"/>
              <w:rPr>
                <w:rFonts w:ascii="Calibri" w:eastAsia="Times New Roman" w:hAnsi="Calibri" w:cs="Calibri"/>
                <w:color w:val="auto"/>
                <w:sz w:val="20"/>
                <w:szCs w:val="22"/>
              </w:rPr>
            </w:pPr>
          </w:p>
        </w:tc>
        <w:tc>
          <w:tcPr>
            <w:tcW w:w="791" w:type="dxa"/>
          </w:tcPr>
          <w:p w14:paraId="4D615FBF" w14:textId="208C3944" w:rsidR="003D78F9" w:rsidRPr="00611276" w:rsidRDefault="00C91A6C" w:rsidP="003D78F9">
            <w:pPr>
              <w:spacing w:after="0" w:line="240" w:lineRule="auto"/>
              <w:rPr>
                <w:rFonts w:ascii="Calibri" w:eastAsia="Calibri" w:hAnsi="Calibri" w:cs="Times New Roman"/>
                <w:color w:val="auto"/>
                <w:sz w:val="20"/>
                <w:szCs w:val="22"/>
              </w:rPr>
            </w:pPr>
            <w:r w:rsidRPr="003D78F9">
              <w:rPr>
                <w:rFonts w:ascii="Calibri" w:eastAsia="Calibri" w:hAnsi="Calibri" w:cs="Times New Roman"/>
                <w:noProof/>
                <w:color w:val="auto"/>
                <w:sz w:val="22"/>
                <w:szCs w:val="22"/>
                <w:lang w:eastAsia="en-AU"/>
              </w:rPr>
              <w:drawing>
                <wp:inline distT="0" distB="0" distL="0" distR="0" wp14:anchorId="3E7D9BA7" wp14:editId="73C9271D">
                  <wp:extent cx="304800" cy="304800"/>
                  <wp:effectExtent l="0" t="0" r="0" b="0"/>
                  <wp:docPr id="56" name="Graphic 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311132" cy="311132"/>
                          </a:xfrm>
                          <a:prstGeom prst="rect">
                            <a:avLst/>
                          </a:prstGeom>
                        </pic:spPr>
                      </pic:pic>
                    </a:graphicData>
                  </a:graphic>
                </wp:inline>
              </w:drawing>
            </w:r>
          </w:p>
        </w:tc>
        <w:tc>
          <w:tcPr>
            <w:tcW w:w="3982" w:type="dxa"/>
          </w:tcPr>
          <w:p w14:paraId="2BA2FC14" w14:textId="72244076" w:rsidR="003D78F9" w:rsidRPr="00611276" w:rsidRDefault="003D78F9" w:rsidP="003D78F9">
            <w:pPr>
              <w:spacing w:after="0" w:line="240" w:lineRule="auto"/>
              <w:rPr>
                <w:rFonts w:ascii="Calibri" w:eastAsia="Times New Roman" w:hAnsi="Calibri" w:cs="Times New Roman"/>
                <w:color w:val="auto"/>
                <w:sz w:val="20"/>
                <w:szCs w:val="22"/>
              </w:rPr>
            </w:pPr>
            <w:r w:rsidRPr="00611276">
              <w:rPr>
                <w:rFonts w:ascii="Calibri" w:eastAsia="Times New Roman" w:hAnsi="Calibri" w:cs="Times New Roman"/>
                <w:color w:val="auto"/>
                <w:sz w:val="20"/>
                <w:szCs w:val="22"/>
              </w:rPr>
              <w:t xml:space="preserve">Hemp and </w:t>
            </w:r>
            <w:r w:rsidR="008B1685">
              <w:rPr>
                <w:rFonts w:ascii="Calibri" w:eastAsia="Times New Roman" w:hAnsi="Calibri" w:cs="Times New Roman"/>
                <w:color w:val="auto"/>
                <w:sz w:val="20"/>
                <w:szCs w:val="22"/>
              </w:rPr>
              <w:t>p</w:t>
            </w:r>
            <w:r w:rsidRPr="00611276">
              <w:rPr>
                <w:rFonts w:ascii="Calibri" w:eastAsia="Times New Roman" w:hAnsi="Calibri" w:cs="Times New Roman"/>
                <w:color w:val="auto"/>
                <w:sz w:val="20"/>
                <w:szCs w:val="22"/>
              </w:rPr>
              <w:t xml:space="preserve">oppy production agreements </w:t>
            </w:r>
            <w:r w:rsidR="008B1685">
              <w:rPr>
                <w:rFonts w:ascii="Calibri" w:eastAsia="Times New Roman" w:hAnsi="Calibri" w:cs="Times New Roman"/>
                <w:color w:val="auto"/>
                <w:sz w:val="20"/>
                <w:szCs w:val="22"/>
              </w:rPr>
              <w:t>have been</w:t>
            </w:r>
            <w:r w:rsidR="008B1685" w:rsidRPr="00611276">
              <w:rPr>
                <w:rFonts w:ascii="Calibri" w:eastAsia="Times New Roman" w:hAnsi="Calibri" w:cs="Times New Roman"/>
                <w:color w:val="auto"/>
                <w:sz w:val="20"/>
                <w:szCs w:val="22"/>
              </w:rPr>
              <w:t xml:space="preserve"> </w:t>
            </w:r>
            <w:r w:rsidRPr="00611276">
              <w:rPr>
                <w:rFonts w:ascii="Calibri" w:eastAsia="Times New Roman" w:hAnsi="Calibri" w:cs="Times New Roman"/>
                <w:color w:val="auto"/>
                <w:sz w:val="20"/>
                <w:szCs w:val="22"/>
              </w:rPr>
              <w:t xml:space="preserve">reviewed and the ongoing arrangements between DEDJTR and VicPol have been confirmed.  </w:t>
            </w:r>
          </w:p>
          <w:p w14:paraId="26AD4F01" w14:textId="77777777" w:rsidR="003D78F9" w:rsidRPr="00611276" w:rsidRDefault="003D78F9" w:rsidP="003D78F9">
            <w:pPr>
              <w:spacing w:after="0" w:line="240" w:lineRule="auto"/>
              <w:rPr>
                <w:rFonts w:ascii="Calibri" w:eastAsia="Calibri" w:hAnsi="Calibri" w:cs="Times New Roman"/>
                <w:color w:val="auto"/>
                <w:sz w:val="20"/>
                <w:szCs w:val="22"/>
              </w:rPr>
            </w:pPr>
          </w:p>
        </w:tc>
      </w:tr>
      <w:tr w:rsidR="003D78F9" w:rsidRPr="003D78F9" w14:paraId="0B056A52" w14:textId="77777777" w:rsidTr="00C91A6C">
        <w:trPr>
          <w:trHeight w:hRule="exact" w:val="1273"/>
          <w:jc w:val="center"/>
        </w:trPr>
        <w:tc>
          <w:tcPr>
            <w:tcW w:w="470" w:type="dxa"/>
          </w:tcPr>
          <w:p w14:paraId="1A9ED854" w14:textId="77777777" w:rsidR="003D78F9" w:rsidRPr="00611276" w:rsidRDefault="003D78F9" w:rsidP="003D78F9">
            <w:pPr>
              <w:spacing w:after="0" w:line="240" w:lineRule="auto"/>
              <w:rPr>
                <w:rFonts w:ascii="Calibri" w:eastAsia="Calibri" w:hAnsi="Calibri" w:cs="Times New Roman"/>
                <w:color w:val="auto"/>
                <w:sz w:val="20"/>
                <w:szCs w:val="22"/>
              </w:rPr>
            </w:pPr>
            <w:r w:rsidRPr="00611276">
              <w:rPr>
                <w:rFonts w:ascii="Calibri" w:eastAsia="Calibri" w:hAnsi="Calibri" w:cs="Times New Roman"/>
                <w:color w:val="auto"/>
                <w:sz w:val="20"/>
                <w:szCs w:val="22"/>
              </w:rPr>
              <w:t>4.2</w:t>
            </w:r>
          </w:p>
        </w:tc>
        <w:tc>
          <w:tcPr>
            <w:tcW w:w="4487" w:type="dxa"/>
            <w:shd w:val="clear" w:color="auto" w:fill="auto"/>
          </w:tcPr>
          <w:p w14:paraId="5ADDE14F" w14:textId="77777777" w:rsidR="003D78F9" w:rsidRPr="00611276" w:rsidRDefault="003D78F9" w:rsidP="003D78F9">
            <w:pPr>
              <w:spacing w:line="276" w:lineRule="auto"/>
              <w:rPr>
                <w:rFonts w:ascii="Calibri" w:eastAsia="Times New Roman" w:hAnsi="Calibri" w:cs="Calibri"/>
                <w:color w:val="auto"/>
                <w:sz w:val="20"/>
                <w:szCs w:val="22"/>
              </w:rPr>
            </w:pPr>
            <w:r w:rsidRPr="00611276">
              <w:rPr>
                <w:rFonts w:ascii="Calibri" w:eastAsia="Times New Roman" w:hAnsi="Calibri" w:cs="Calibri"/>
                <w:color w:val="auto"/>
                <w:sz w:val="20"/>
                <w:szCs w:val="22"/>
              </w:rPr>
              <w:t>Develop an agreement with Department of Health and Human Services for Agriculture Victoria staff to be authorised under the Drugs Poisons and Controlled Substances Act 1981.</w:t>
            </w:r>
          </w:p>
        </w:tc>
        <w:tc>
          <w:tcPr>
            <w:tcW w:w="791" w:type="dxa"/>
          </w:tcPr>
          <w:p w14:paraId="0D1988E4" w14:textId="06EE6E63" w:rsidR="003D78F9" w:rsidRPr="00611276" w:rsidRDefault="00C91A6C" w:rsidP="003D78F9">
            <w:pPr>
              <w:spacing w:after="0" w:line="240" w:lineRule="auto"/>
              <w:rPr>
                <w:rFonts w:ascii="Calibri" w:eastAsia="Calibri" w:hAnsi="Calibri" w:cs="Times New Roman"/>
                <w:color w:val="auto"/>
                <w:sz w:val="20"/>
                <w:szCs w:val="22"/>
              </w:rPr>
            </w:pPr>
            <w:r w:rsidRPr="003D78F9">
              <w:rPr>
                <w:rFonts w:ascii="Calibri" w:eastAsia="Calibri" w:hAnsi="Calibri" w:cs="Times New Roman"/>
                <w:noProof/>
                <w:color w:val="auto"/>
                <w:sz w:val="22"/>
                <w:szCs w:val="22"/>
                <w:lang w:eastAsia="en-AU"/>
              </w:rPr>
              <w:drawing>
                <wp:inline distT="0" distB="0" distL="0" distR="0" wp14:anchorId="040D8058" wp14:editId="1501622C">
                  <wp:extent cx="304800" cy="304800"/>
                  <wp:effectExtent l="0" t="0" r="0" b="0"/>
                  <wp:docPr id="57" name="Graphic 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311132" cy="311132"/>
                          </a:xfrm>
                          <a:prstGeom prst="rect">
                            <a:avLst/>
                          </a:prstGeom>
                        </pic:spPr>
                      </pic:pic>
                    </a:graphicData>
                  </a:graphic>
                </wp:inline>
              </w:drawing>
            </w:r>
          </w:p>
        </w:tc>
        <w:tc>
          <w:tcPr>
            <w:tcW w:w="3982" w:type="dxa"/>
          </w:tcPr>
          <w:p w14:paraId="27A5499A" w14:textId="0BAF056C" w:rsidR="003D78F9" w:rsidRPr="00611276" w:rsidRDefault="00C91A6C" w:rsidP="003D78F9">
            <w:pPr>
              <w:spacing w:after="0" w:line="240" w:lineRule="auto"/>
              <w:rPr>
                <w:rFonts w:ascii="Calibri" w:eastAsia="Calibri" w:hAnsi="Calibri" w:cs="Times New Roman"/>
                <w:color w:val="auto"/>
                <w:sz w:val="20"/>
                <w:szCs w:val="22"/>
              </w:rPr>
            </w:pPr>
            <w:r>
              <w:rPr>
                <w:rFonts w:ascii="Calibri" w:eastAsia="Times New Roman" w:hAnsi="Calibri" w:cs="Times New Roman"/>
                <w:color w:val="auto"/>
                <w:sz w:val="20"/>
                <w:szCs w:val="22"/>
              </w:rPr>
              <w:t>A</w:t>
            </w:r>
            <w:r w:rsidR="003D78F9" w:rsidRPr="00611276">
              <w:rPr>
                <w:rFonts w:ascii="Calibri" w:eastAsia="Times New Roman" w:hAnsi="Calibri" w:cs="Times New Roman"/>
                <w:color w:val="auto"/>
                <w:sz w:val="20"/>
                <w:szCs w:val="22"/>
              </w:rPr>
              <w:t xml:space="preserve"> Memorandum of Understanding was signed between DEDJTR and DHHS for Agriculture Victoria staff to be appointed as authorised officers under the </w:t>
            </w:r>
            <w:r w:rsidR="003D78F9" w:rsidRPr="00611276">
              <w:rPr>
                <w:rFonts w:ascii="Calibri" w:eastAsia="Times New Roman" w:hAnsi="Calibri" w:cs="Times New Roman"/>
                <w:i/>
                <w:iCs/>
                <w:color w:val="auto"/>
                <w:sz w:val="20"/>
                <w:szCs w:val="22"/>
              </w:rPr>
              <w:t>Drugs, Poisons and Controlled Substances Act 1981</w:t>
            </w:r>
            <w:r w:rsidR="003D78F9" w:rsidRPr="00611276">
              <w:rPr>
                <w:rFonts w:ascii="Calibri" w:eastAsia="Times New Roman" w:hAnsi="Calibri" w:cs="Times New Roman"/>
                <w:color w:val="auto"/>
                <w:sz w:val="20"/>
                <w:szCs w:val="22"/>
              </w:rPr>
              <w:t xml:space="preserve">. </w:t>
            </w:r>
          </w:p>
        </w:tc>
      </w:tr>
      <w:tr w:rsidR="003D78F9" w:rsidRPr="003D78F9" w14:paraId="26E2BC7F" w14:textId="77777777" w:rsidTr="00C91A6C">
        <w:trPr>
          <w:trHeight w:hRule="exact" w:val="1135"/>
          <w:jc w:val="center"/>
        </w:trPr>
        <w:tc>
          <w:tcPr>
            <w:tcW w:w="470" w:type="dxa"/>
          </w:tcPr>
          <w:p w14:paraId="69CC894E" w14:textId="77777777" w:rsidR="003D78F9" w:rsidRPr="00611276" w:rsidRDefault="003D78F9" w:rsidP="003D78F9">
            <w:pPr>
              <w:spacing w:after="0" w:line="240" w:lineRule="auto"/>
              <w:rPr>
                <w:rFonts w:ascii="Calibri" w:eastAsia="Calibri" w:hAnsi="Calibri" w:cs="Times New Roman"/>
                <w:color w:val="auto"/>
                <w:sz w:val="20"/>
                <w:szCs w:val="22"/>
              </w:rPr>
            </w:pPr>
            <w:r w:rsidRPr="00611276">
              <w:rPr>
                <w:rFonts w:ascii="Calibri" w:eastAsia="Calibri" w:hAnsi="Calibri" w:cs="Times New Roman"/>
                <w:color w:val="auto"/>
                <w:sz w:val="20"/>
                <w:szCs w:val="22"/>
              </w:rPr>
              <w:t>4.3</w:t>
            </w:r>
          </w:p>
        </w:tc>
        <w:tc>
          <w:tcPr>
            <w:tcW w:w="4487" w:type="dxa"/>
            <w:shd w:val="clear" w:color="auto" w:fill="auto"/>
          </w:tcPr>
          <w:p w14:paraId="61F11A9D" w14:textId="5CD584CF" w:rsidR="003D78F9" w:rsidRPr="00611276" w:rsidRDefault="003D78F9" w:rsidP="004D59A9">
            <w:pPr>
              <w:spacing w:after="113" w:line="276" w:lineRule="auto"/>
              <w:rPr>
                <w:rFonts w:ascii="Calibri" w:eastAsia="Times New Roman" w:hAnsi="Calibri" w:cs="Calibri"/>
                <w:color w:val="auto"/>
                <w:sz w:val="20"/>
                <w:szCs w:val="22"/>
              </w:rPr>
            </w:pPr>
            <w:r w:rsidRPr="00611276">
              <w:rPr>
                <w:rFonts w:ascii="Calibri" w:eastAsia="Times New Roman" w:hAnsi="Calibri" w:cs="Calibri"/>
                <w:color w:val="auto"/>
                <w:sz w:val="20"/>
                <w:szCs w:val="22"/>
              </w:rPr>
              <w:t>Clarify roles and responsibilities between DEDJTR and Department of Health and Human Services for primary production related food safety incident management under</w:t>
            </w:r>
            <w:r w:rsidR="00C91A6C">
              <w:rPr>
                <w:rFonts w:ascii="Calibri" w:eastAsia="Times New Roman" w:hAnsi="Calibri" w:cs="Calibri"/>
                <w:color w:val="auto"/>
                <w:sz w:val="20"/>
                <w:szCs w:val="22"/>
              </w:rPr>
              <w:t xml:space="preserve"> the </w:t>
            </w:r>
            <w:r w:rsidRPr="00C91A6C">
              <w:rPr>
                <w:rFonts w:ascii="Calibri" w:eastAsia="Times New Roman" w:hAnsi="Calibri" w:cs="Calibri"/>
                <w:i/>
                <w:color w:val="auto"/>
                <w:sz w:val="20"/>
                <w:szCs w:val="22"/>
              </w:rPr>
              <w:t>Victorian Food Act 1984.</w:t>
            </w:r>
          </w:p>
        </w:tc>
        <w:tc>
          <w:tcPr>
            <w:tcW w:w="791" w:type="dxa"/>
          </w:tcPr>
          <w:p w14:paraId="7996D319" w14:textId="71200048" w:rsidR="003D78F9" w:rsidRPr="00611276" w:rsidRDefault="00C91A6C" w:rsidP="003D78F9">
            <w:pPr>
              <w:spacing w:after="0" w:line="240" w:lineRule="auto"/>
              <w:rPr>
                <w:rFonts w:ascii="Calibri" w:eastAsia="Calibri" w:hAnsi="Calibri" w:cs="Times New Roman"/>
                <w:color w:val="auto"/>
                <w:sz w:val="20"/>
                <w:szCs w:val="22"/>
              </w:rPr>
            </w:pPr>
            <w:r w:rsidRPr="003D78F9">
              <w:rPr>
                <w:rFonts w:ascii="Calibri" w:eastAsia="Calibri" w:hAnsi="Calibri" w:cs="Times New Roman"/>
                <w:noProof/>
                <w:color w:val="auto"/>
                <w:sz w:val="22"/>
                <w:szCs w:val="22"/>
                <w:lang w:eastAsia="en-AU"/>
              </w:rPr>
              <w:drawing>
                <wp:inline distT="0" distB="0" distL="0" distR="0" wp14:anchorId="73B7C33D" wp14:editId="6BC9E961">
                  <wp:extent cx="304800" cy="304800"/>
                  <wp:effectExtent l="0" t="0" r="0" b="0"/>
                  <wp:docPr id="58" name="Graphic 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311132" cy="311132"/>
                          </a:xfrm>
                          <a:prstGeom prst="rect">
                            <a:avLst/>
                          </a:prstGeom>
                        </pic:spPr>
                      </pic:pic>
                    </a:graphicData>
                  </a:graphic>
                </wp:inline>
              </w:drawing>
            </w:r>
          </w:p>
        </w:tc>
        <w:tc>
          <w:tcPr>
            <w:tcW w:w="3982" w:type="dxa"/>
          </w:tcPr>
          <w:p w14:paraId="2A2D4CA9" w14:textId="61AEBE8E" w:rsidR="003D78F9" w:rsidRPr="00611276" w:rsidRDefault="003D78F9" w:rsidP="003D78F9">
            <w:pPr>
              <w:spacing w:after="0" w:line="240" w:lineRule="auto"/>
              <w:rPr>
                <w:rFonts w:ascii="Calibri" w:eastAsia="Calibri" w:hAnsi="Calibri" w:cs="Times New Roman"/>
                <w:color w:val="auto"/>
                <w:sz w:val="20"/>
                <w:szCs w:val="22"/>
              </w:rPr>
            </w:pPr>
            <w:r w:rsidRPr="00611276">
              <w:rPr>
                <w:rFonts w:ascii="Calibri" w:eastAsia="Times New Roman" w:hAnsi="Calibri" w:cs="Times New Roman"/>
                <w:color w:val="auto"/>
                <w:sz w:val="20"/>
                <w:szCs w:val="22"/>
              </w:rPr>
              <w:t>DEDJTR</w:t>
            </w:r>
            <w:r w:rsidRPr="00611276" w:rsidDel="00106E84">
              <w:rPr>
                <w:rFonts w:ascii="Calibri" w:eastAsia="Times New Roman" w:hAnsi="Calibri" w:cs="Times New Roman"/>
                <w:color w:val="auto"/>
                <w:sz w:val="20"/>
                <w:szCs w:val="22"/>
              </w:rPr>
              <w:t xml:space="preserve"> </w:t>
            </w:r>
            <w:r w:rsidRPr="00611276">
              <w:rPr>
                <w:rFonts w:ascii="Calibri" w:eastAsia="Times New Roman" w:hAnsi="Calibri" w:cs="Times New Roman"/>
                <w:color w:val="auto"/>
                <w:sz w:val="20"/>
                <w:szCs w:val="22"/>
              </w:rPr>
              <w:t>and DHHS have agreed to a protocol for the management of food borne illness outbreaks for on-farm investigations.</w:t>
            </w:r>
          </w:p>
        </w:tc>
      </w:tr>
      <w:tr w:rsidR="003D78F9" w:rsidRPr="003D78F9" w14:paraId="5BDDD4D9" w14:textId="77777777" w:rsidTr="00C91A6C">
        <w:trPr>
          <w:trHeight w:hRule="exact" w:val="1694"/>
          <w:jc w:val="center"/>
        </w:trPr>
        <w:tc>
          <w:tcPr>
            <w:tcW w:w="470" w:type="dxa"/>
          </w:tcPr>
          <w:p w14:paraId="63662A74" w14:textId="77777777" w:rsidR="003D78F9" w:rsidRPr="00611276" w:rsidRDefault="003D78F9" w:rsidP="003D78F9">
            <w:pPr>
              <w:spacing w:after="0" w:line="240" w:lineRule="auto"/>
              <w:rPr>
                <w:rFonts w:ascii="Calibri" w:eastAsia="Calibri" w:hAnsi="Calibri" w:cs="Times New Roman"/>
                <w:color w:val="auto"/>
                <w:sz w:val="20"/>
                <w:szCs w:val="22"/>
              </w:rPr>
            </w:pPr>
            <w:r w:rsidRPr="00611276">
              <w:rPr>
                <w:rFonts w:ascii="Calibri" w:eastAsia="Calibri" w:hAnsi="Calibri" w:cs="Times New Roman"/>
                <w:color w:val="auto"/>
                <w:sz w:val="20"/>
                <w:szCs w:val="22"/>
              </w:rPr>
              <w:t>4.4</w:t>
            </w:r>
          </w:p>
        </w:tc>
        <w:tc>
          <w:tcPr>
            <w:tcW w:w="4487" w:type="dxa"/>
            <w:shd w:val="clear" w:color="auto" w:fill="auto"/>
          </w:tcPr>
          <w:p w14:paraId="61778792" w14:textId="3B6B5597" w:rsidR="003D78F9" w:rsidRPr="00611276" w:rsidRDefault="003D78F9" w:rsidP="003D78F9">
            <w:pPr>
              <w:spacing w:after="113" w:line="276" w:lineRule="auto"/>
              <w:rPr>
                <w:rFonts w:ascii="Calibri" w:eastAsia="Times New Roman" w:hAnsi="Calibri" w:cs="Calibri"/>
                <w:color w:val="auto"/>
                <w:sz w:val="20"/>
                <w:szCs w:val="22"/>
              </w:rPr>
            </w:pPr>
            <w:r w:rsidRPr="00611276">
              <w:rPr>
                <w:rFonts w:ascii="Calibri" w:eastAsia="Times New Roman" w:hAnsi="Calibri" w:cs="Calibri"/>
                <w:color w:val="auto"/>
                <w:sz w:val="20"/>
                <w:szCs w:val="22"/>
              </w:rPr>
              <w:t>Publish a statement clarifying the arrangement between the RSPCA Victoria and DEDJTR in relation to animal welfare on the Agriculture Victoria website to provide the public community with an overview of the different roles and responsibilities of the respective organisations.</w:t>
            </w:r>
          </w:p>
          <w:p w14:paraId="4198C74D" w14:textId="77777777" w:rsidR="003D78F9" w:rsidRPr="00611276" w:rsidRDefault="003D78F9" w:rsidP="003D78F9">
            <w:pPr>
              <w:spacing w:line="276" w:lineRule="auto"/>
              <w:rPr>
                <w:rFonts w:ascii="Calibri" w:eastAsia="Times New Roman" w:hAnsi="Calibri" w:cs="Calibri"/>
                <w:color w:val="auto"/>
                <w:sz w:val="20"/>
                <w:szCs w:val="22"/>
              </w:rPr>
            </w:pPr>
          </w:p>
        </w:tc>
        <w:tc>
          <w:tcPr>
            <w:tcW w:w="791" w:type="dxa"/>
          </w:tcPr>
          <w:p w14:paraId="1D22B7F5" w14:textId="219BBFFE" w:rsidR="003D78F9" w:rsidRPr="00611276" w:rsidRDefault="00C91A6C" w:rsidP="003D78F9">
            <w:pPr>
              <w:spacing w:after="0" w:line="240" w:lineRule="auto"/>
              <w:rPr>
                <w:rFonts w:ascii="Calibri" w:eastAsia="Calibri" w:hAnsi="Calibri" w:cs="Times New Roman"/>
                <w:color w:val="auto"/>
                <w:sz w:val="20"/>
                <w:szCs w:val="22"/>
              </w:rPr>
            </w:pPr>
            <w:r w:rsidRPr="00611276">
              <w:rPr>
                <w:rFonts w:ascii="Calibri" w:eastAsia="Calibri" w:hAnsi="Calibri" w:cs="Times New Roman"/>
                <w:noProof/>
                <w:color w:val="auto"/>
                <w:sz w:val="20"/>
                <w:szCs w:val="22"/>
                <w:lang w:eastAsia="en-AU"/>
              </w:rPr>
              <w:drawing>
                <wp:inline distT="0" distB="0" distL="0" distR="0" wp14:anchorId="6F2148D7" wp14:editId="6AF44A94">
                  <wp:extent cx="342900" cy="342900"/>
                  <wp:effectExtent l="0" t="0" r="0" b="0"/>
                  <wp:docPr id="50" name="Graphic 50" descr="Sig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gnal.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351092" cy="351092"/>
                          </a:xfrm>
                          <a:prstGeom prst="rect">
                            <a:avLst/>
                          </a:prstGeom>
                        </pic:spPr>
                      </pic:pic>
                    </a:graphicData>
                  </a:graphic>
                </wp:inline>
              </w:drawing>
            </w:r>
          </w:p>
        </w:tc>
        <w:tc>
          <w:tcPr>
            <w:tcW w:w="3982" w:type="dxa"/>
          </w:tcPr>
          <w:p w14:paraId="57F7E375" w14:textId="21506078" w:rsidR="003D78F9" w:rsidRPr="00611276" w:rsidRDefault="003D78F9" w:rsidP="003D78F9">
            <w:pPr>
              <w:spacing w:after="0" w:line="240" w:lineRule="auto"/>
              <w:rPr>
                <w:rFonts w:ascii="Calibri" w:eastAsia="Calibri" w:hAnsi="Calibri" w:cs="Times New Roman"/>
                <w:color w:val="auto"/>
                <w:sz w:val="20"/>
                <w:szCs w:val="22"/>
              </w:rPr>
            </w:pPr>
            <w:r w:rsidRPr="00611276">
              <w:rPr>
                <w:rFonts w:ascii="Calibri" w:eastAsia="Calibri" w:hAnsi="Calibri" w:cs="Times New Roman"/>
                <w:color w:val="auto"/>
                <w:sz w:val="20"/>
                <w:szCs w:val="22"/>
              </w:rPr>
              <w:t xml:space="preserve">Animal Welfare Victoria </w:t>
            </w:r>
            <w:r w:rsidR="00A96D38">
              <w:rPr>
                <w:rFonts w:ascii="Calibri" w:eastAsia="Calibri" w:hAnsi="Calibri" w:cs="Times New Roman"/>
                <w:color w:val="auto"/>
                <w:sz w:val="20"/>
                <w:szCs w:val="22"/>
              </w:rPr>
              <w:t>is</w:t>
            </w:r>
            <w:r w:rsidRPr="00611276">
              <w:rPr>
                <w:rFonts w:ascii="Calibri" w:eastAsia="Calibri" w:hAnsi="Calibri" w:cs="Times New Roman"/>
                <w:color w:val="auto"/>
                <w:sz w:val="20"/>
                <w:szCs w:val="22"/>
              </w:rPr>
              <w:t xml:space="preserve"> working to publish the new M</w:t>
            </w:r>
            <w:r w:rsidR="008B1685">
              <w:rPr>
                <w:rFonts w:ascii="Calibri" w:eastAsia="Calibri" w:hAnsi="Calibri" w:cs="Times New Roman"/>
                <w:color w:val="auto"/>
                <w:sz w:val="20"/>
                <w:szCs w:val="22"/>
              </w:rPr>
              <w:t xml:space="preserve">emorandum of </w:t>
            </w:r>
            <w:r w:rsidRPr="00611276">
              <w:rPr>
                <w:rFonts w:ascii="Calibri" w:eastAsia="Calibri" w:hAnsi="Calibri" w:cs="Times New Roman"/>
                <w:color w:val="auto"/>
                <w:sz w:val="20"/>
                <w:szCs w:val="22"/>
              </w:rPr>
              <w:t>U</w:t>
            </w:r>
            <w:r w:rsidR="008B1685">
              <w:rPr>
                <w:rFonts w:ascii="Calibri" w:eastAsia="Calibri" w:hAnsi="Calibri" w:cs="Times New Roman"/>
                <w:color w:val="auto"/>
                <w:sz w:val="20"/>
                <w:szCs w:val="22"/>
              </w:rPr>
              <w:t>nderstanding</w:t>
            </w:r>
            <w:r w:rsidRPr="00611276">
              <w:rPr>
                <w:rFonts w:ascii="Calibri" w:eastAsia="Calibri" w:hAnsi="Calibri" w:cs="Times New Roman"/>
                <w:color w:val="auto"/>
                <w:sz w:val="20"/>
                <w:szCs w:val="22"/>
              </w:rPr>
              <w:t xml:space="preserve"> on the website in 2019</w:t>
            </w:r>
            <w:r w:rsidR="00A96D38">
              <w:rPr>
                <w:rFonts w:ascii="Calibri" w:eastAsia="Calibri" w:hAnsi="Calibri" w:cs="Times New Roman"/>
                <w:color w:val="auto"/>
                <w:sz w:val="20"/>
                <w:szCs w:val="22"/>
              </w:rPr>
              <w:t>.</w:t>
            </w:r>
          </w:p>
        </w:tc>
      </w:tr>
      <w:tr w:rsidR="003D78F9" w:rsidRPr="003D78F9" w14:paraId="6F331D29" w14:textId="77777777" w:rsidTr="00C91A6C">
        <w:trPr>
          <w:trHeight w:hRule="exact" w:val="854"/>
          <w:jc w:val="center"/>
        </w:trPr>
        <w:tc>
          <w:tcPr>
            <w:tcW w:w="470" w:type="dxa"/>
          </w:tcPr>
          <w:p w14:paraId="683B5E66" w14:textId="77777777" w:rsidR="003D78F9" w:rsidRPr="00611276" w:rsidRDefault="003D78F9" w:rsidP="003D78F9">
            <w:pPr>
              <w:spacing w:after="0" w:line="240" w:lineRule="auto"/>
              <w:rPr>
                <w:rFonts w:ascii="Calibri" w:eastAsia="Calibri" w:hAnsi="Calibri" w:cs="Times New Roman"/>
                <w:color w:val="auto"/>
                <w:sz w:val="20"/>
                <w:szCs w:val="22"/>
              </w:rPr>
            </w:pPr>
            <w:r w:rsidRPr="00611276">
              <w:rPr>
                <w:rFonts w:ascii="Calibri" w:eastAsia="Calibri" w:hAnsi="Calibri" w:cs="Times New Roman"/>
                <w:color w:val="auto"/>
                <w:sz w:val="20"/>
                <w:szCs w:val="22"/>
              </w:rPr>
              <w:t>4.5</w:t>
            </w:r>
          </w:p>
        </w:tc>
        <w:tc>
          <w:tcPr>
            <w:tcW w:w="4487" w:type="dxa"/>
            <w:shd w:val="clear" w:color="auto" w:fill="auto"/>
          </w:tcPr>
          <w:p w14:paraId="48A15987" w14:textId="77777777" w:rsidR="003D78F9" w:rsidRPr="00611276" w:rsidRDefault="003D78F9" w:rsidP="003D78F9">
            <w:pPr>
              <w:spacing w:line="276" w:lineRule="auto"/>
              <w:rPr>
                <w:rFonts w:ascii="Calibri" w:eastAsia="Times New Roman" w:hAnsi="Calibri" w:cs="Calibri"/>
                <w:color w:val="auto"/>
                <w:sz w:val="20"/>
                <w:szCs w:val="22"/>
              </w:rPr>
            </w:pPr>
            <w:r w:rsidRPr="00611276">
              <w:rPr>
                <w:rFonts w:ascii="Calibri" w:eastAsia="Times New Roman" w:hAnsi="Calibri" w:cs="Calibri"/>
                <w:color w:val="auto"/>
                <w:sz w:val="20"/>
                <w:szCs w:val="22"/>
              </w:rPr>
              <w:t>Document the Victorian enforcement framework for animal welfare in Victoria and identify where greater clarity is required.</w:t>
            </w:r>
          </w:p>
        </w:tc>
        <w:tc>
          <w:tcPr>
            <w:tcW w:w="791" w:type="dxa"/>
          </w:tcPr>
          <w:p w14:paraId="70F46E26" w14:textId="34FE698E" w:rsidR="003D78F9" w:rsidRPr="00611276" w:rsidRDefault="00C91A6C" w:rsidP="003D78F9">
            <w:pPr>
              <w:spacing w:after="0" w:line="240" w:lineRule="auto"/>
              <w:rPr>
                <w:rFonts w:ascii="Calibri" w:eastAsia="Calibri" w:hAnsi="Calibri" w:cs="Times New Roman"/>
                <w:color w:val="auto"/>
                <w:sz w:val="20"/>
                <w:szCs w:val="22"/>
              </w:rPr>
            </w:pPr>
            <w:r w:rsidRPr="00611276">
              <w:rPr>
                <w:rFonts w:ascii="Calibri" w:eastAsia="Calibri" w:hAnsi="Calibri" w:cs="Times New Roman"/>
                <w:noProof/>
                <w:color w:val="auto"/>
                <w:sz w:val="20"/>
                <w:szCs w:val="22"/>
                <w:lang w:eastAsia="en-AU"/>
              </w:rPr>
              <w:drawing>
                <wp:inline distT="0" distB="0" distL="0" distR="0" wp14:anchorId="1F24441B" wp14:editId="4D557947">
                  <wp:extent cx="342900" cy="342900"/>
                  <wp:effectExtent l="0" t="0" r="0" b="0"/>
                  <wp:docPr id="51" name="Graphic 51" descr="Sig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gnal.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351092" cy="351092"/>
                          </a:xfrm>
                          <a:prstGeom prst="rect">
                            <a:avLst/>
                          </a:prstGeom>
                        </pic:spPr>
                      </pic:pic>
                    </a:graphicData>
                  </a:graphic>
                </wp:inline>
              </w:drawing>
            </w:r>
          </w:p>
        </w:tc>
        <w:tc>
          <w:tcPr>
            <w:tcW w:w="3982" w:type="dxa"/>
          </w:tcPr>
          <w:p w14:paraId="6C32AD66" w14:textId="77777777" w:rsidR="003D78F9" w:rsidRPr="00611276" w:rsidRDefault="003D78F9" w:rsidP="003D78F9">
            <w:pPr>
              <w:spacing w:after="0" w:line="240" w:lineRule="auto"/>
              <w:rPr>
                <w:rFonts w:ascii="Calibri" w:eastAsia="Calibri" w:hAnsi="Calibri" w:cs="Times New Roman"/>
                <w:color w:val="auto"/>
                <w:sz w:val="20"/>
                <w:szCs w:val="22"/>
              </w:rPr>
            </w:pPr>
            <w:r w:rsidRPr="00611276">
              <w:rPr>
                <w:rFonts w:ascii="Calibri" w:eastAsia="Times New Roman" w:hAnsi="Calibri" w:cs="Times New Roman"/>
                <w:color w:val="auto"/>
                <w:sz w:val="20"/>
                <w:szCs w:val="22"/>
              </w:rPr>
              <w:t xml:space="preserve">Agriculture Victoria engaged an independent consultant to review the Victorian enforcement framework for animal welfare. </w:t>
            </w:r>
          </w:p>
        </w:tc>
      </w:tr>
      <w:tr w:rsidR="003D78F9" w:rsidRPr="003D78F9" w14:paraId="575A72DD" w14:textId="77777777" w:rsidTr="001A3107">
        <w:trPr>
          <w:trHeight w:hRule="exact" w:val="288"/>
          <w:jc w:val="center"/>
        </w:trPr>
        <w:tc>
          <w:tcPr>
            <w:tcW w:w="9730" w:type="dxa"/>
            <w:gridSpan w:val="4"/>
          </w:tcPr>
          <w:p w14:paraId="16F29885" w14:textId="77777777" w:rsidR="003D78F9" w:rsidRPr="00611276" w:rsidRDefault="003D78F9" w:rsidP="003D78F9">
            <w:pPr>
              <w:spacing w:line="276" w:lineRule="auto"/>
              <w:rPr>
                <w:rFonts w:ascii="Calibri" w:eastAsia="Times New Roman" w:hAnsi="Calibri" w:cs="Calibri"/>
                <w:b/>
                <w:color w:val="auto"/>
                <w:sz w:val="20"/>
                <w:szCs w:val="22"/>
              </w:rPr>
            </w:pPr>
            <w:r w:rsidRPr="00611276">
              <w:rPr>
                <w:rFonts w:ascii="Calibri" w:eastAsia="Times New Roman" w:hAnsi="Calibri" w:cs="Calibri"/>
                <w:b/>
                <w:color w:val="auto"/>
                <w:sz w:val="20"/>
                <w:szCs w:val="22"/>
              </w:rPr>
              <w:t>Ministerial Expectation Criteria 5: Cooperation amongst regulators</w:t>
            </w:r>
          </w:p>
          <w:p w14:paraId="73D1EC12" w14:textId="77777777" w:rsidR="003D78F9" w:rsidRPr="00611276" w:rsidRDefault="003D78F9" w:rsidP="003D78F9">
            <w:pPr>
              <w:spacing w:after="0" w:line="240" w:lineRule="auto"/>
              <w:rPr>
                <w:rFonts w:ascii="Calibri" w:eastAsia="Calibri" w:hAnsi="Calibri" w:cs="Times New Roman"/>
                <w:color w:val="auto"/>
                <w:sz w:val="20"/>
                <w:szCs w:val="22"/>
              </w:rPr>
            </w:pPr>
          </w:p>
        </w:tc>
      </w:tr>
      <w:tr w:rsidR="003D78F9" w:rsidRPr="003D78F9" w14:paraId="4D9E0F84" w14:textId="77777777" w:rsidTr="001A3107">
        <w:trPr>
          <w:trHeight w:hRule="exact" w:val="279"/>
          <w:jc w:val="center"/>
        </w:trPr>
        <w:tc>
          <w:tcPr>
            <w:tcW w:w="4957" w:type="dxa"/>
            <w:gridSpan w:val="2"/>
            <w:shd w:val="clear" w:color="auto" w:fill="D9E2F3"/>
          </w:tcPr>
          <w:p w14:paraId="43F559BB" w14:textId="77777777" w:rsidR="003D78F9" w:rsidRPr="00611276" w:rsidRDefault="003D78F9" w:rsidP="003D78F9">
            <w:pPr>
              <w:spacing w:after="0" w:line="240" w:lineRule="auto"/>
              <w:rPr>
                <w:rFonts w:ascii="Calibri" w:eastAsia="Calibri" w:hAnsi="Calibri" w:cs="Times New Roman"/>
                <w:color w:val="auto"/>
                <w:sz w:val="20"/>
                <w:szCs w:val="22"/>
              </w:rPr>
            </w:pPr>
            <w:r w:rsidRPr="00611276">
              <w:rPr>
                <w:rFonts w:ascii="Calibri" w:eastAsia="Calibri" w:hAnsi="Calibri" w:cs="Times New Roman"/>
                <w:color w:val="auto"/>
                <w:sz w:val="20"/>
                <w:szCs w:val="22"/>
              </w:rPr>
              <w:t>Improvement Target</w:t>
            </w:r>
          </w:p>
        </w:tc>
        <w:tc>
          <w:tcPr>
            <w:tcW w:w="791" w:type="dxa"/>
            <w:shd w:val="clear" w:color="auto" w:fill="D9E2F3"/>
          </w:tcPr>
          <w:p w14:paraId="368045C8" w14:textId="77777777" w:rsidR="003D78F9" w:rsidRPr="00611276" w:rsidRDefault="003D78F9" w:rsidP="003D78F9">
            <w:pPr>
              <w:spacing w:after="0" w:line="240" w:lineRule="auto"/>
              <w:rPr>
                <w:rFonts w:ascii="Calibri" w:eastAsia="Calibri" w:hAnsi="Calibri" w:cs="Times New Roman"/>
                <w:color w:val="auto"/>
                <w:sz w:val="20"/>
                <w:szCs w:val="22"/>
              </w:rPr>
            </w:pPr>
            <w:r w:rsidRPr="00611276">
              <w:rPr>
                <w:rFonts w:ascii="Calibri" w:eastAsia="Calibri" w:hAnsi="Calibri" w:cs="Times New Roman"/>
                <w:color w:val="auto"/>
                <w:sz w:val="20"/>
                <w:szCs w:val="22"/>
              </w:rPr>
              <w:t>Status</w:t>
            </w:r>
          </w:p>
        </w:tc>
        <w:tc>
          <w:tcPr>
            <w:tcW w:w="3982" w:type="dxa"/>
            <w:shd w:val="clear" w:color="auto" w:fill="D9E2F3"/>
          </w:tcPr>
          <w:p w14:paraId="7201E43E" w14:textId="77777777" w:rsidR="003D78F9" w:rsidRPr="00611276" w:rsidRDefault="003D78F9" w:rsidP="003D78F9">
            <w:pPr>
              <w:spacing w:after="0" w:line="240" w:lineRule="auto"/>
              <w:rPr>
                <w:rFonts w:ascii="Calibri" w:eastAsia="Calibri" w:hAnsi="Calibri" w:cs="Times New Roman"/>
                <w:color w:val="auto"/>
                <w:sz w:val="20"/>
                <w:szCs w:val="22"/>
              </w:rPr>
            </w:pPr>
            <w:r w:rsidRPr="00611276">
              <w:rPr>
                <w:rFonts w:ascii="Calibri" w:eastAsia="Calibri" w:hAnsi="Calibri" w:cs="Times New Roman"/>
                <w:color w:val="auto"/>
                <w:sz w:val="20"/>
                <w:szCs w:val="22"/>
              </w:rPr>
              <w:t>Status Detail</w:t>
            </w:r>
          </w:p>
        </w:tc>
      </w:tr>
      <w:tr w:rsidR="003D78F9" w:rsidRPr="003D78F9" w14:paraId="4E68C921" w14:textId="77777777" w:rsidTr="00C91A6C">
        <w:trPr>
          <w:trHeight w:hRule="exact" w:val="1298"/>
          <w:jc w:val="center"/>
        </w:trPr>
        <w:tc>
          <w:tcPr>
            <w:tcW w:w="470" w:type="dxa"/>
          </w:tcPr>
          <w:p w14:paraId="43C6117F" w14:textId="77777777" w:rsidR="003D78F9" w:rsidRPr="00611276" w:rsidRDefault="003D78F9" w:rsidP="003D78F9">
            <w:pPr>
              <w:spacing w:after="0" w:line="240" w:lineRule="auto"/>
              <w:rPr>
                <w:rFonts w:ascii="Calibri" w:eastAsia="Calibri" w:hAnsi="Calibri" w:cs="Times New Roman"/>
                <w:color w:val="auto"/>
                <w:sz w:val="20"/>
                <w:szCs w:val="22"/>
              </w:rPr>
            </w:pPr>
            <w:r w:rsidRPr="00611276">
              <w:rPr>
                <w:rFonts w:ascii="Calibri" w:eastAsia="Calibri" w:hAnsi="Calibri" w:cs="Times New Roman"/>
                <w:color w:val="auto"/>
                <w:sz w:val="20"/>
                <w:szCs w:val="22"/>
              </w:rPr>
              <w:t>5.1</w:t>
            </w:r>
          </w:p>
        </w:tc>
        <w:tc>
          <w:tcPr>
            <w:tcW w:w="4487" w:type="dxa"/>
            <w:shd w:val="clear" w:color="auto" w:fill="auto"/>
          </w:tcPr>
          <w:p w14:paraId="209A071C" w14:textId="77777777" w:rsidR="003D78F9" w:rsidRPr="00611276" w:rsidRDefault="003D78F9" w:rsidP="003D78F9">
            <w:pPr>
              <w:spacing w:after="113" w:line="276" w:lineRule="auto"/>
              <w:rPr>
                <w:rFonts w:ascii="Calibri" w:eastAsia="Times New Roman" w:hAnsi="Calibri" w:cs="Calibri"/>
                <w:color w:val="auto"/>
                <w:sz w:val="20"/>
                <w:szCs w:val="22"/>
              </w:rPr>
            </w:pPr>
            <w:r w:rsidRPr="00611276">
              <w:rPr>
                <w:rFonts w:ascii="Calibri" w:eastAsia="Times New Roman" w:hAnsi="Calibri" w:cs="Calibri"/>
                <w:color w:val="auto"/>
                <w:sz w:val="20"/>
                <w:szCs w:val="22"/>
              </w:rPr>
              <w:t>Conduct at least one disease emergency exercise per year in consultation with other state and federal departments as required.</w:t>
            </w:r>
          </w:p>
        </w:tc>
        <w:tc>
          <w:tcPr>
            <w:tcW w:w="791" w:type="dxa"/>
          </w:tcPr>
          <w:p w14:paraId="500F8C12" w14:textId="6DAC1988" w:rsidR="003D78F9" w:rsidRPr="00611276" w:rsidRDefault="00C91A6C" w:rsidP="003D78F9">
            <w:pPr>
              <w:spacing w:after="0" w:line="240" w:lineRule="auto"/>
              <w:rPr>
                <w:rFonts w:ascii="Calibri" w:eastAsia="Calibri" w:hAnsi="Calibri" w:cs="Times New Roman"/>
                <w:color w:val="auto"/>
                <w:sz w:val="20"/>
                <w:szCs w:val="22"/>
              </w:rPr>
            </w:pPr>
            <w:r w:rsidRPr="003D78F9">
              <w:rPr>
                <w:rFonts w:ascii="Calibri" w:eastAsia="Calibri" w:hAnsi="Calibri" w:cs="Times New Roman"/>
                <w:noProof/>
                <w:color w:val="auto"/>
                <w:sz w:val="22"/>
                <w:szCs w:val="22"/>
                <w:lang w:eastAsia="en-AU"/>
              </w:rPr>
              <w:drawing>
                <wp:inline distT="0" distB="0" distL="0" distR="0" wp14:anchorId="7E5C648C" wp14:editId="398A4FA9">
                  <wp:extent cx="304800" cy="304800"/>
                  <wp:effectExtent l="0" t="0" r="0" b="0"/>
                  <wp:docPr id="59" name="Graphic 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311132" cy="311132"/>
                          </a:xfrm>
                          <a:prstGeom prst="rect">
                            <a:avLst/>
                          </a:prstGeom>
                        </pic:spPr>
                      </pic:pic>
                    </a:graphicData>
                  </a:graphic>
                </wp:inline>
              </w:drawing>
            </w:r>
          </w:p>
        </w:tc>
        <w:tc>
          <w:tcPr>
            <w:tcW w:w="3982" w:type="dxa"/>
          </w:tcPr>
          <w:p w14:paraId="7F7D72A4" w14:textId="77777777" w:rsidR="003D78F9" w:rsidRPr="00611276" w:rsidRDefault="003D78F9" w:rsidP="003D78F9">
            <w:pPr>
              <w:spacing w:after="0" w:line="240" w:lineRule="auto"/>
              <w:rPr>
                <w:rFonts w:ascii="Calibri" w:eastAsia="Times New Roman" w:hAnsi="Calibri" w:cs="Times New Roman"/>
                <w:color w:val="auto"/>
                <w:sz w:val="20"/>
                <w:szCs w:val="22"/>
              </w:rPr>
            </w:pPr>
            <w:r w:rsidRPr="00611276">
              <w:rPr>
                <w:rFonts w:ascii="Calibri" w:eastAsia="Times New Roman" w:hAnsi="Calibri" w:cs="Times New Roman"/>
                <w:color w:val="auto"/>
                <w:sz w:val="20"/>
                <w:szCs w:val="22"/>
              </w:rPr>
              <w:t>Exercise Coombes was conducted over two days in May and June 2018 with a scenario based on an incursion of the tarnished plant bug (</w:t>
            </w:r>
            <w:r w:rsidRPr="00611276">
              <w:rPr>
                <w:rFonts w:ascii="Calibri" w:eastAsia="Times New Roman" w:hAnsi="Calibri" w:cs="Times New Roman"/>
                <w:i/>
                <w:color w:val="auto"/>
                <w:sz w:val="20"/>
                <w:szCs w:val="22"/>
              </w:rPr>
              <w:t>Lygus lineolaris</w:t>
            </w:r>
            <w:r w:rsidRPr="00611276">
              <w:rPr>
                <w:rFonts w:ascii="Calibri" w:eastAsia="Times New Roman" w:hAnsi="Calibri" w:cs="Times New Roman"/>
                <w:color w:val="auto"/>
                <w:sz w:val="20"/>
                <w:szCs w:val="22"/>
              </w:rPr>
              <w:t xml:space="preserve">), a pest insect with a wide range of commercial host species. </w:t>
            </w:r>
          </w:p>
          <w:p w14:paraId="0AA3F132" w14:textId="77777777" w:rsidR="003D78F9" w:rsidRPr="00611276" w:rsidRDefault="003D78F9" w:rsidP="003D78F9">
            <w:pPr>
              <w:spacing w:after="0" w:line="240" w:lineRule="auto"/>
              <w:rPr>
                <w:rFonts w:ascii="Calibri" w:eastAsia="Calibri" w:hAnsi="Calibri" w:cs="Times New Roman"/>
                <w:color w:val="auto"/>
                <w:sz w:val="20"/>
                <w:szCs w:val="22"/>
              </w:rPr>
            </w:pPr>
          </w:p>
        </w:tc>
      </w:tr>
      <w:tr w:rsidR="003D78F9" w:rsidRPr="003D78F9" w14:paraId="2FB979BC" w14:textId="77777777" w:rsidTr="00C91A6C">
        <w:trPr>
          <w:trHeight w:hRule="exact" w:val="1106"/>
          <w:jc w:val="center"/>
        </w:trPr>
        <w:tc>
          <w:tcPr>
            <w:tcW w:w="470" w:type="dxa"/>
          </w:tcPr>
          <w:p w14:paraId="24F8D925" w14:textId="77777777" w:rsidR="003D78F9" w:rsidRPr="00611276" w:rsidRDefault="003D78F9" w:rsidP="003D78F9">
            <w:pPr>
              <w:spacing w:after="0" w:line="240" w:lineRule="auto"/>
              <w:rPr>
                <w:rFonts w:ascii="Calibri" w:eastAsia="Calibri" w:hAnsi="Calibri" w:cs="Times New Roman"/>
                <w:color w:val="auto"/>
                <w:sz w:val="20"/>
                <w:szCs w:val="22"/>
              </w:rPr>
            </w:pPr>
            <w:r w:rsidRPr="00611276">
              <w:rPr>
                <w:rFonts w:ascii="Calibri" w:eastAsia="Calibri" w:hAnsi="Calibri" w:cs="Times New Roman"/>
                <w:color w:val="auto"/>
                <w:sz w:val="20"/>
                <w:szCs w:val="22"/>
              </w:rPr>
              <w:t>5.2</w:t>
            </w:r>
          </w:p>
        </w:tc>
        <w:tc>
          <w:tcPr>
            <w:tcW w:w="4487" w:type="dxa"/>
            <w:shd w:val="clear" w:color="auto" w:fill="auto"/>
          </w:tcPr>
          <w:p w14:paraId="79AF3854" w14:textId="79A09E14" w:rsidR="003D78F9" w:rsidRPr="00611276" w:rsidRDefault="003D78F9" w:rsidP="003D78F9">
            <w:pPr>
              <w:spacing w:line="276" w:lineRule="auto"/>
              <w:rPr>
                <w:rFonts w:ascii="Calibri" w:eastAsia="Times New Roman" w:hAnsi="Calibri" w:cs="Calibri"/>
                <w:color w:val="auto"/>
                <w:sz w:val="20"/>
                <w:szCs w:val="22"/>
              </w:rPr>
            </w:pPr>
            <w:r w:rsidRPr="00611276">
              <w:rPr>
                <w:rFonts w:ascii="Calibri" w:eastAsia="Times New Roman" w:hAnsi="Calibri" w:cs="Calibri"/>
                <w:color w:val="auto"/>
                <w:sz w:val="20"/>
                <w:szCs w:val="22"/>
              </w:rPr>
              <w:t xml:space="preserve">Undertake a monitoring and reporting program in association with at least one other regulator to increase community reporting of </w:t>
            </w:r>
            <w:r w:rsidR="00C1114D" w:rsidRPr="00611276">
              <w:rPr>
                <w:rFonts w:ascii="Calibri" w:eastAsia="Times New Roman" w:hAnsi="Calibri" w:cs="Calibri"/>
                <w:color w:val="auto"/>
                <w:sz w:val="20"/>
                <w:szCs w:val="22"/>
              </w:rPr>
              <w:t>high-risk</w:t>
            </w:r>
            <w:r w:rsidRPr="00611276">
              <w:rPr>
                <w:rFonts w:ascii="Calibri" w:eastAsia="Times New Roman" w:hAnsi="Calibri" w:cs="Calibri"/>
                <w:color w:val="auto"/>
                <w:sz w:val="20"/>
                <w:szCs w:val="22"/>
              </w:rPr>
              <w:t xml:space="preserve"> invasive animal activity in Victoria.</w:t>
            </w:r>
          </w:p>
        </w:tc>
        <w:tc>
          <w:tcPr>
            <w:tcW w:w="791" w:type="dxa"/>
          </w:tcPr>
          <w:p w14:paraId="5210F131" w14:textId="0A1EE987" w:rsidR="003D78F9" w:rsidRPr="00611276" w:rsidRDefault="00C91A6C" w:rsidP="003D78F9">
            <w:pPr>
              <w:spacing w:after="0" w:line="240" w:lineRule="auto"/>
              <w:rPr>
                <w:rFonts w:ascii="Calibri" w:eastAsia="Calibri" w:hAnsi="Calibri" w:cs="Times New Roman"/>
                <w:color w:val="auto"/>
                <w:sz w:val="20"/>
                <w:szCs w:val="22"/>
              </w:rPr>
            </w:pPr>
            <w:r w:rsidRPr="003D78F9">
              <w:rPr>
                <w:rFonts w:ascii="Calibri" w:eastAsia="Calibri" w:hAnsi="Calibri" w:cs="Times New Roman"/>
                <w:noProof/>
                <w:color w:val="auto"/>
                <w:sz w:val="22"/>
                <w:szCs w:val="22"/>
                <w:lang w:eastAsia="en-AU"/>
              </w:rPr>
              <w:drawing>
                <wp:inline distT="0" distB="0" distL="0" distR="0" wp14:anchorId="5EF19F6E" wp14:editId="767E326C">
                  <wp:extent cx="304800" cy="304800"/>
                  <wp:effectExtent l="0" t="0" r="0" b="0"/>
                  <wp:docPr id="60" name="Graphic 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311132" cy="311132"/>
                          </a:xfrm>
                          <a:prstGeom prst="rect">
                            <a:avLst/>
                          </a:prstGeom>
                        </pic:spPr>
                      </pic:pic>
                    </a:graphicData>
                  </a:graphic>
                </wp:inline>
              </w:drawing>
            </w:r>
          </w:p>
        </w:tc>
        <w:tc>
          <w:tcPr>
            <w:tcW w:w="3982" w:type="dxa"/>
          </w:tcPr>
          <w:p w14:paraId="6F01B63F" w14:textId="239198F6" w:rsidR="003D78F9" w:rsidRPr="00611276" w:rsidRDefault="003D78F9" w:rsidP="003D78F9">
            <w:pPr>
              <w:spacing w:after="0" w:line="240" w:lineRule="auto"/>
              <w:rPr>
                <w:rFonts w:ascii="Calibri" w:eastAsia="Calibri" w:hAnsi="Calibri" w:cs="Times New Roman"/>
                <w:color w:val="auto"/>
                <w:sz w:val="20"/>
                <w:szCs w:val="22"/>
              </w:rPr>
            </w:pPr>
            <w:r w:rsidRPr="00611276">
              <w:rPr>
                <w:rFonts w:ascii="Calibri" w:eastAsia="Times New Roman" w:hAnsi="Calibri" w:cs="Times New Roman"/>
                <w:color w:val="auto"/>
                <w:sz w:val="20"/>
                <w:szCs w:val="22"/>
              </w:rPr>
              <w:t xml:space="preserve">From July to December 2017, Agriculture Victoria partnered with DELWP and Crime Stoppers Victoria to run the ‘Trafficked, Traded, and Traumatised’ campaign. </w:t>
            </w:r>
          </w:p>
        </w:tc>
      </w:tr>
      <w:tr w:rsidR="003D78F9" w:rsidRPr="003D78F9" w14:paraId="71238930" w14:textId="77777777" w:rsidTr="001A3107">
        <w:trPr>
          <w:trHeight w:hRule="exact" w:val="293"/>
          <w:jc w:val="center"/>
        </w:trPr>
        <w:tc>
          <w:tcPr>
            <w:tcW w:w="9730" w:type="dxa"/>
            <w:gridSpan w:val="4"/>
          </w:tcPr>
          <w:p w14:paraId="797FFC08" w14:textId="77777777" w:rsidR="003D78F9" w:rsidRPr="00611276" w:rsidRDefault="003D78F9" w:rsidP="003D78F9">
            <w:pPr>
              <w:spacing w:line="276" w:lineRule="auto"/>
              <w:rPr>
                <w:rFonts w:ascii="Calibri" w:eastAsia="Times New Roman" w:hAnsi="Calibri" w:cs="Calibri"/>
                <w:b/>
                <w:color w:val="auto"/>
                <w:sz w:val="20"/>
                <w:szCs w:val="22"/>
              </w:rPr>
            </w:pPr>
            <w:r w:rsidRPr="00611276">
              <w:rPr>
                <w:rFonts w:ascii="Calibri" w:eastAsia="Times New Roman" w:hAnsi="Calibri" w:cs="Calibri"/>
                <w:b/>
                <w:color w:val="auto"/>
                <w:sz w:val="20"/>
                <w:szCs w:val="22"/>
              </w:rPr>
              <w:lastRenderedPageBreak/>
              <w:t xml:space="preserve">Ministerial Expectation Criteria 6: Stakeholder Consultation and engagement </w:t>
            </w:r>
          </w:p>
          <w:p w14:paraId="3DF4BDD6" w14:textId="77777777" w:rsidR="003D78F9" w:rsidRPr="00611276" w:rsidRDefault="003D78F9" w:rsidP="003D78F9">
            <w:pPr>
              <w:spacing w:after="0" w:line="240" w:lineRule="auto"/>
              <w:rPr>
                <w:rFonts w:ascii="Calibri" w:eastAsia="Calibri" w:hAnsi="Calibri" w:cs="Times New Roman"/>
                <w:color w:val="auto"/>
                <w:sz w:val="20"/>
                <w:szCs w:val="22"/>
              </w:rPr>
            </w:pPr>
          </w:p>
        </w:tc>
      </w:tr>
      <w:tr w:rsidR="003D78F9" w:rsidRPr="003D78F9" w14:paraId="115862E9" w14:textId="77777777" w:rsidTr="001A3107">
        <w:trPr>
          <w:trHeight w:hRule="exact" w:val="269"/>
          <w:jc w:val="center"/>
        </w:trPr>
        <w:tc>
          <w:tcPr>
            <w:tcW w:w="4957" w:type="dxa"/>
            <w:gridSpan w:val="2"/>
            <w:shd w:val="clear" w:color="auto" w:fill="D9E2F3"/>
          </w:tcPr>
          <w:p w14:paraId="7B52FD74" w14:textId="77777777" w:rsidR="003D78F9" w:rsidRPr="00611276" w:rsidRDefault="003D78F9" w:rsidP="003D78F9">
            <w:pPr>
              <w:spacing w:after="0" w:line="240" w:lineRule="auto"/>
              <w:rPr>
                <w:rFonts w:ascii="Calibri" w:eastAsia="Calibri" w:hAnsi="Calibri" w:cs="Times New Roman"/>
                <w:color w:val="auto"/>
                <w:sz w:val="20"/>
                <w:szCs w:val="22"/>
              </w:rPr>
            </w:pPr>
            <w:r w:rsidRPr="00611276">
              <w:rPr>
                <w:rFonts w:ascii="Calibri" w:eastAsia="Calibri" w:hAnsi="Calibri" w:cs="Times New Roman"/>
                <w:color w:val="auto"/>
                <w:sz w:val="20"/>
                <w:szCs w:val="22"/>
              </w:rPr>
              <w:t>Improvement Target</w:t>
            </w:r>
          </w:p>
        </w:tc>
        <w:tc>
          <w:tcPr>
            <w:tcW w:w="791" w:type="dxa"/>
            <w:shd w:val="clear" w:color="auto" w:fill="D9E2F3"/>
          </w:tcPr>
          <w:p w14:paraId="39D257A2" w14:textId="77777777" w:rsidR="003D78F9" w:rsidRPr="00611276" w:rsidRDefault="003D78F9" w:rsidP="003D78F9">
            <w:pPr>
              <w:spacing w:after="0" w:line="240" w:lineRule="auto"/>
              <w:rPr>
                <w:rFonts w:ascii="Calibri" w:eastAsia="Calibri" w:hAnsi="Calibri" w:cs="Times New Roman"/>
                <w:color w:val="auto"/>
                <w:sz w:val="20"/>
                <w:szCs w:val="22"/>
              </w:rPr>
            </w:pPr>
            <w:r w:rsidRPr="00611276">
              <w:rPr>
                <w:rFonts w:ascii="Calibri" w:eastAsia="Calibri" w:hAnsi="Calibri" w:cs="Times New Roman"/>
                <w:color w:val="auto"/>
                <w:sz w:val="20"/>
                <w:szCs w:val="22"/>
              </w:rPr>
              <w:t>Status</w:t>
            </w:r>
          </w:p>
        </w:tc>
        <w:tc>
          <w:tcPr>
            <w:tcW w:w="3982" w:type="dxa"/>
            <w:shd w:val="clear" w:color="auto" w:fill="D9E2F3"/>
          </w:tcPr>
          <w:p w14:paraId="5578AB81" w14:textId="77777777" w:rsidR="003D78F9" w:rsidRPr="00611276" w:rsidRDefault="003D78F9" w:rsidP="003D78F9">
            <w:pPr>
              <w:spacing w:after="0" w:line="240" w:lineRule="auto"/>
              <w:rPr>
                <w:rFonts w:ascii="Calibri" w:eastAsia="Calibri" w:hAnsi="Calibri" w:cs="Times New Roman"/>
                <w:color w:val="auto"/>
                <w:sz w:val="20"/>
                <w:szCs w:val="22"/>
              </w:rPr>
            </w:pPr>
            <w:r w:rsidRPr="00611276">
              <w:rPr>
                <w:rFonts w:ascii="Calibri" w:eastAsia="Calibri" w:hAnsi="Calibri" w:cs="Times New Roman"/>
                <w:color w:val="auto"/>
                <w:sz w:val="20"/>
                <w:szCs w:val="22"/>
              </w:rPr>
              <w:t>Status Detail</w:t>
            </w:r>
          </w:p>
        </w:tc>
      </w:tr>
      <w:tr w:rsidR="003D78F9" w:rsidRPr="003D78F9" w14:paraId="2E7D4269" w14:textId="77777777" w:rsidTr="00C91A6C">
        <w:trPr>
          <w:trHeight w:hRule="exact" w:val="1758"/>
          <w:jc w:val="center"/>
        </w:trPr>
        <w:tc>
          <w:tcPr>
            <w:tcW w:w="470" w:type="dxa"/>
          </w:tcPr>
          <w:p w14:paraId="06D73F78" w14:textId="77777777" w:rsidR="003D78F9" w:rsidRPr="00611276" w:rsidRDefault="003D78F9" w:rsidP="003D78F9">
            <w:pPr>
              <w:spacing w:after="0" w:line="240" w:lineRule="auto"/>
              <w:rPr>
                <w:rFonts w:ascii="Calibri" w:eastAsia="Calibri" w:hAnsi="Calibri" w:cs="Times New Roman"/>
                <w:color w:val="auto"/>
                <w:sz w:val="20"/>
                <w:szCs w:val="22"/>
              </w:rPr>
            </w:pPr>
            <w:r w:rsidRPr="00611276">
              <w:rPr>
                <w:rFonts w:ascii="Calibri" w:eastAsia="Calibri" w:hAnsi="Calibri" w:cs="Times New Roman"/>
                <w:color w:val="auto"/>
                <w:sz w:val="20"/>
                <w:szCs w:val="22"/>
              </w:rPr>
              <w:t>6.1</w:t>
            </w:r>
          </w:p>
        </w:tc>
        <w:tc>
          <w:tcPr>
            <w:tcW w:w="4487" w:type="dxa"/>
            <w:shd w:val="clear" w:color="auto" w:fill="auto"/>
          </w:tcPr>
          <w:p w14:paraId="0AAA8243" w14:textId="77777777" w:rsidR="003D78F9" w:rsidRPr="00611276" w:rsidRDefault="003D78F9" w:rsidP="003D78F9">
            <w:pPr>
              <w:spacing w:after="113" w:line="276" w:lineRule="auto"/>
              <w:rPr>
                <w:rFonts w:ascii="Calibri" w:eastAsia="Times New Roman" w:hAnsi="Calibri" w:cs="Calibri"/>
                <w:color w:val="auto"/>
                <w:sz w:val="20"/>
                <w:szCs w:val="22"/>
              </w:rPr>
            </w:pPr>
            <w:r w:rsidRPr="00611276">
              <w:rPr>
                <w:rFonts w:ascii="Calibri" w:eastAsia="Times New Roman" w:hAnsi="Calibri" w:cs="Calibri"/>
                <w:color w:val="auto"/>
                <w:sz w:val="20"/>
                <w:szCs w:val="22"/>
              </w:rPr>
              <w:t>Identify and plan opportunities to increase consultation and engagement with key stakeholders (including but not limited to consultative committees, representative bodies, product manufacturers, producers, and exporters) regarding new regulatory reforms.</w:t>
            </w:r>
          </w:p>
          <w:p w14:paraId="4A540980" w14:textId="77777777" w:rsidR="003D78F9" w:rsidRPr="00611276" w:rsidRDefault="003D78F9" w:rsidP="003D78F9">
            <w:pPr>
              <w:spacing w:after="113" w:line="276" w:lineRule="auto"/>
              <w:ind w:left="720"/>
              <w:rPr>
                <w:rFonts w:ascii="Calibri" w:eastAsia="Times New Roman" w:hAnsi="Calibri" w:cs="Calibri"/>
                <w:color w:val="auto"/>
                <w:sz w:val="20"/>
                <w:szCs w:val="22"/>
              </w:rPr>
            </w:pPr>
          </w:p>
        </w:tc>
        <w:tc>
          <w:tcPr>
            <w:tcW w:w="791" w:type="dxa"/>
          </w:tcPr>
          <w:p w14:paraId="14FD4014" w14:textId="626155EA" w:rsidR="003D78F9" w:rsidRPr="00611276" w:rsidRDefault="00C91A6C" w:rsidP="003D78F9">
            <w:pPr>
              <w:spacing w:after="0" w:line="240" w:lineRule="auto"/>
              <w:rPr>
                <w:rFonts w:ascii="Calibri" w:eastAsia="Calibri" w:hAnsi="Calibri" w:cs="Times New Roman"/>
                <w:color w:val="auto"/>
                <w:sz w:val="20"/>
                <w:szCs w:val="22"/>
              </w:rPr>
            </w:pPr>
            <w:r w:rsidRPr="003D78F9">
              <w:rPr>
                <w:rFonts w:ascii="Calibri" w:eastAsia="Calibri" w:hAnsi="Calibri" w:cs="Times New Roman"/>
                <w:noProof/>
                <w:color w:val="auto"/>
                <w:sz w:val="22"/>
                <w:szCs w:val="22"/>
                <w:lang w:eastAsia="en-AU"/>
              </w:rPr>
              <w:drawing>
                <wp:inline distT="0" distB="0" distL="0" distR="0" wp14:anchorId="4B29D570" wp14:editId="1EEE04F4">
                  <wp:extent cx="304800" cy="304800"/>
                  <wp:effectExtent l="0" t="0" r="0" b="0"/>
                  <wp:docPr id="61" name="Graphic 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311132" cy="311132"/>
                          </a:xfrm>
                          <a:prstGeom prst="rect">
                            <a:avLst/>
                          </a:prstGeom>
                        </pic:spPr>
                      </pic:pic>
                    </a:graphicData>
                  </a:graphic>
                </wp:inline>
              </w:drawing>
            </w:r>
          </w:p>
        </w:tc>
        <w:tc>
          <w:tcPr>
            <w:tcW w:w="3982" w:type="dxa"/>
          </w:tcPr>
          <w:p w14:paraId="52900B2B" w14:textId="23A5E624" w:rsidR="003D78F9" w:rsidRPr="00611276" w:rsidRDefault="003D78F9" w:rsidP="003D78F9">
            <w:pPr>
              <w:spacing w:after="0" w:line="240" w:lineRule="auto"/>
              <w:rPr>
                <w:rFonts w:ascii="Calibri" w:eastAsia="Times New Roman" w:hAnsi="Calibri" w:cs="Times New Roman"/>
                <w:color w:val="auto"/>
                <w:sz w:val="20"/>
                <w:szCs w:val="22"/>
              </w:rPr>
            </w:pPr>
            <w:r w:rsidRPr="00611276">
              <w:rPr>
                <w:rFonts w:ascii="Calibri" w:eastAsia="Times New Roman" w:hAnsi="Calibri" w:cs="Times New Roman"/>
                <w:color w:val="auto"/>
                <w:sz w:val="20"/>
                <w:szCs w:val="22"/>
              </w:rPr>
              <w:t>During 2017-18, Agriculture Victoria increased consultation and engagement with key stakeholders for various regulatory reforms.</w:t>
            </w:r>
          </w:p>
          <w:p w14:paraId="7B094A88" w14:textId="77777777" w:rsidR="003D78F9" w:rsidRPr="00611276" w:rsidRDefault="003D78F9" w:rsidP="003D78F9">
            <w:pPr>
              <w:spacing w:after="0" w:line="240" w:lineRule="auto"/>
              <w:rPr>
                <w:rFonts w:ascii="Calibri" w:eastAsia="Calibri" w:hAnsi="Calibri" w:cs="Times New Roman"/>
                <w:color w:val="auto"/>
                <w:sz w:val="20"/>
                <w:szCs w:val="22"/>
              </w:rPr>
            </w:pPr>
          </w:p>
        </w:tc>
      </w:tr>
      <w:tr w:rsidR="003D78F9" w:rsidRPr="003D78F9" w14:paraId="753EC54A" w14:textId="77777777" w:rsidTr="00C91A6C">
        <w:trPr>
          <w:trHeight w:hRule="exact" w:val="686"/>
          <w:jc w:val="center"/>
        </w:trPr>
        <w:tc>
          <w:tcPr>
            <w:tcW w:w="470" w:type="dxa"/>
          </w:tcPr>
          <w:p w14:paraId="16698B7E" w14:textId="77777777" w:rsidR="003D78F9" w:rsidRPr="00611276" w:rsidRDefault="003D78F9" w:rsidP="003D78F9">
            <w:pPr>
              <w:spacing w:after="0" w:line="240" w:lineRule="auto"/>
              <w:rPr>
                <w:rFonts w:ascii="Calibri" w:eastAsia="Calibri" w:hAnsi="Calibri" w:cs="Times New Roman"/>
                <w:color w:val="auto"/>
                <w:sz w:val="20"/>
                <w:szCs w:val="22"/>
              </w:rPr>
            </w:pPr>
            <w:r w:rsidRPr="00611276">
              <w:rPr>
                <w:rFonts w:ascii="Calibri" w:eastAsia="Calibri" w:hAnsi="Calibri" w:cs="Times New Roman"/>
                <w:color w:val="auto"/>
                <w:sz w:val="20"/>
                <w:szCs w:val="22"/>
              </w:rPr>
              <w:t>6.2</w:t>
            </w:r>
          </w:p>
        </w:tc>
        <w:tc>
          <w:tcPr>
            <w:tcW w:w="4487" w:type="dxa"/>
            <w:shd w:val="clear" w:color="auto" w:fill="auto"/>
          </w:tcPr>
          <w:p w14:paraId="6A190FFA" w14:textId="77777777" w:rsidR="003D78F9" w:rsidRPr="00611276" w:rsidRDefault="003D78F9" w:rsidP="003D78F9">
            <w:pPr>
              <w:spacing w:line="276" w:lineRule="auto"/>
              <w:rPr>
                <w:rFonts w:ascii="Calibri" w:eastAsia="Times New Roman" w:hAnsi="Calibri" w:cs="Calibri"/>
                <w:color w:val="auto"/>
                <w:sz w:val="20"/>
                <w:szCs w:val="22"/>
              </w:rPr>
            </w:pPr>
            <w:r w:rsidRPr="00611276">
              <w:rPr>
                <w:rFonts w:ascii="Calibri" w:eastAsia="Times New Roman" w:hAnsi="Calibri" w:cs="Calibri"/>
                <w:color w:val="auto"/>
                <w:sz w:val="20"/>
                <w:szCs w:val="22"/>
              </w:rPr>
              <w:t>Undertake stakeholder consultation on 100% of regulatory reviews.</w:t>
            </w:r>
          </w:p>
        </w:tc>
        <w:tc>
          <w:tcPr>
            <w:tcW w:w="791" w:type="dxa"/>
          </w:tcPr>
          <w:p w14:paraId="5E86D44B" w14:textId="2C40C142" w:rsidR="003D78F9" w:rsidRPr="00611276" w:rsidRDefault="00C91A6C" w:rsidP="003D78F9">
            <w:pPr>
              <w:spacing w:after="0" w:line="240" w:lineRule="auto"/>
              <w:rPr>
                <w:rFonts w:ascii="Calibri" w:eastAsia="Calibri" w:hAnsi="Calibri" w:cs="Times New Roman"/>
                <w:color w:val="auto"/>
                <w:sz w:val="20"/>
                <w:szCs w:val="22"/>
              </w:rPr>
            </w:pPr>
            <w:r w:rsidRPr="003D78F9">
              <w:rPr>
                <w:rFonts w:ascii="Calibri" w:eastAsia="Calibri" w:hAnsi="Calibri" w:cs="Times New Roman"/>
                <w:noProof/>
                <w:color w:val="auto"/>
                <w:sz w:val="22"/>
                <w:szCs w:val="22"/>
                <w:lang w:eastAsia="en-AU"/>
              </w:rPr>
              <w:drawing>
                <wp:inline distT="0" distB="0" distL="0" distR="0" wp14:anchorId="4B42D8CB" wp14:editId="5E83B916">
                  <wp:extent cx="304800" cy="304800"/>
                  <wp:effectExtent l="0" t="0" r="0" b="0"/>
                  <wp:docPr id="62" name="Graphic 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311132" cy="311132"/>
                          </a:xfrm>
                          <a:prstGeom prst="rect">
                            <a:avLst/>
                          </a:prstGeom>
                        </pic:spPr>
                      </pic:pic>
                    </a:graphicData>
                  </a:graphic>
                </wp:inline>
              </w:drawing>
            </w:r>
          </w:p>
        </w:tc>
        <w:tc>
          <w:tcPr>
            <w:tcW w:w="3982" w:type="dxa"/>
          </w:tcPr>
          <w:p w14:paraId="758B1F5A" w14:textId="77777777" w:rsidR="003D78F9" w:rsidRPr="00611276" w:rsidRDefault="003D78F9" w:rsidP="003D78F9">
            <w:pPr>
              <w:spacing w:after="0" w:line="240" w:lineRule="auto"/>
              <w:rPr>
                <w:rFonts w:ascii="Calibri" w:eastAsia="Calibri" w:hAnsi="Calibri" w:cs="Times New Roman"/>
                <w:color w:val="auto"/>
                <w:sz w:val="20"/>
                <w:szCs w:val="22"/>
              </w:rPr>
            </w:pPr>
            <w:r w:rsidRPr="00611276">
              <w:rPr>
                <w:rFonts w:ascii="Calibri" w:eastAsia="Times New Roman" w:hAnsi="Calibri" w:cs="Times New Roman"/>
                <w:color w:val="auto"/>
                <w:sz w:val="20"/>
                <w:szCs w:val="22"/>
              </w:rPr>
              <w:t xml:space="preserve">During 2017-18, Agriculture Victoria consulted on all regulatory reviews. </w:t>
            </w:r>
          </w:p>
        </w:tc>
      </w:tr>
      <w:tr w:rsidR="003D78F9" w:rsidRPr="003D78F9" w14:paraId="38647DD8" w14:textId="77777777" w:rsidTr="00C91A6C">
        <w:trPr>
          <w:trHeight w:hRule="exact" w:val="872"/>
          <w:jc w:val="center"/>
        </w:trPr>
        <w:tc>
          <w:tcPr>
            <w:tcW w:w="470" w:type="dxa"/>
          </w:tcPr>
          <w:p w14:paraId="0423A2FE" w14:textId="77777777" w:rsidR="003D78F9" w:rsidRPr="00611276" w:rsidRDefault="003D78F9" w:rsidP="003D78F9">
            <w:pPr>
              <w:spacing w:after="0" w:line="240" w:lineRule="auto"/>
              <w:rPr>
                <w:rFonts w:ascii="Calibri" w:eastAsia="Calibri" w:hAnsi="Calibri" w:cs="Times New Roman"/>
                <w:color w:val="auto"/>
                <w:sz w:val="20"/>
                <w:szCs w:val="22"/>
              </w:rPr>
            </w:pPr>
            <w:r w:rsidRPr="00611276">
              <w:rPr>
                <w:rFonts w:ascii="Calibri" w:eastAsia="Calibri" w:hAnsi="Calibri" w:cs="Times New Roman"/>
                <w:color w:val="auto"/>
                <w:sz w:val="20"/>
                <w:szCs w:val="22"/>
              </w:rPr>
              <w:t>6.3</w:t>
            </w:r>
          </w:p>
        </w:tc>
        <w:tc>
          <w:tcPr>
            <w:tcW w:w="4487" w:type="dxa"/>
            <w:shd w:val="clear" w:color="auto" w:fill="auto"/>
          </w:tcPr>
          <w:p w14:paraId="6630AE88" w14:textId="77777777" w:rsidR="003D78F9" w:rsidRPr="00611276" w:rsidRDefault="003D78F9" w:rsidP="003D78F9">
            <w:pPr>
              <w:spacing w:after="113" w:line="276" w:lineRule="auto"/>
              <w:rPr>
                <w:rFonts w:ascii="Calibri" w:eastAsia="Times New Roman" w:hAnsi="Calibri" w:cs="Calibri"/>
                <w:color w:val="auto"/>
                <w:sz w:val="20"/>
                <w:szCs w:val="22"/>
              </w:rPr>
            </w:pPr>
            <w:r w:rsidRPr="00611276">
              <w:rPr>
                <w:rFonts w:ascii="Calibri" w:eastAsia="Times New Roman" w:hAnsi="Calibri" w:cs="Calibri"/>
                <w:color w:val="auto"/>
                <w:sz w:val="20"/>
                <w:szCs w:val="22"/>
              </w:rPr>
              <w:t xml:space="preserve">Provide feedback to all parties making submissions on proposed regulatory reviews within two months of the comment period closing. </w:t>
            </w:r>
          </w:p>
        </w:tc>
        <w:tc>
          <w:tcPr>
            <w:tcW w:w="791" w:type="dxa"/>
          </w:tcPr>
          <w:p w14:paraId="74A48373" w14:textId="7E607CEC" w:rsidR="003D78F9" w:rsidRPr="00611276" w:rsidRDefault="00C91A6C" w:rsidP="003D78F9">
            <w:pPr>
              <w:spacing w:after="0" w:line="240" w:lineRule="auto"/>
              <w:rPr>
                <w:rFonts w:ascii="Calibri" w:eastAsia="Calibri" w:hAnsi="Calibri" w:cs="Times New Roman"/>
                <w:color w:val="auto"/>
                <w:sz w:val="20"/>
                <w:szCs w:val="22"/>
              </w:rPr>
            </w:pPr>
            <w:r w:rsidRPr="003D78F9">
              <w:rPr>
                <w:rFonts w:ascii="Calibri" w:eastAsia="Calibri" w:hAnsi="Calibri" w:cs="Times New Roman"/>
                <w:noProof/>
                <w:color w:val="auto"/>
                <w:sz w:val="22"/>
                <w:szCs w:val="22"/>
                <w:lang w:eastAsia="en-AU"/>
              </w:rPr>
              <w:drawing>
                <wp:inline distT="0" distB="0" distL="0" distR="0" wp14:anchorId="56A55435" wp14:editId="1F9C5371">
                  <wp:extent cx="304800" cy="304800"/>
                  <wp:effectExtent l="0" t="0" r="0" b="0"/>
                  <wp:docPr id="63" name="Graphic 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311132" cy="311132"/>
                          </a:xfrm>
                          <a:prstGeom prst="rect">
                            <a:avLst/>
                          </a:prstGeom>
                        </pic:spPr>
                      </pic:pic>
                    </a:graphicData>
                  </a:graphic>
                </wp:inline>
              </w:drawing>
            </w:r>
          </w:p>
        </w:tc>
        <w:tc>
          <w:tcPr>
            <w:tcW w:w="3982" w:type="dxa"/>
          </w:tcPr>
          <w:p w14:paraId="6653D021" w14:textId="36FA71B8" w:rsidR="003D78F9" w:rsidRPr="00611276" w:rsidRDefault="003D78F9" w:rsidP="003D78F9">
            <w:pPr>
              <w:spacing w:after="0" w:line="240" w:lineRule="auto"/>
              <w:rPr>
                <w:rFonts w:ascii="Calibri" w:eastAsia="Calibri" w:hAnsi="Calibri" w:cs="Times New Roman"/>
                <w:color w:val="auto"/>
                <w:sz w:val="20"/>
                <w:szCs w:val="22"/>
              </w:rPr>
            </w:pPr>
            <w:r w:rsidRPr="00611276">
              <w:rPr>
                <w:rFonts w:ascii="Calibri" w:eastAsia="Times New Roman" w:hAnsi="Calibri" w:cs="Times New Roman"/>
                <w:color w:val="auto"/>
                <w:sz w:val="20"/>
                <w:szCs w:val="22"/>
              </w:rPr>
              <w:t>Agriculture Victoria provide</w:t>
            </w:r>
            <w:r w:rsidR="00A96D38">
              <w:rPr>
                <w:rFonts w:ascii="Calibri" w:eastAsia="Times New Roman" w:hAnsi="Calibri" w:cs="Times New Roman"/>
                <w:color w:val="auto"/>
                <w:sz w:val="20"/>
                <w:szCs w:val="22"/>
              </w:rPr>
              <w:t>s</w:t>
            </w:r>
            <w:r w:rsidRPr="00611276">
              <w:rPr>
                <w:rFonts w:ascii="Calibri" w:eastAsia="Times New Roman" w:hAnsi="Calibri" w:cs="Times New Roman"/>
                <w:color w:val="auto"/>
                <w:sz w:val="20"/>
                <w:szCs w:val="22"/>
              </w:rPr>
              <w:t xml:space="preserve"> feedback to all parties that make submissions on regulatory reform.</w:t>
            </w:r>
          </w:p>
        </w:tc>
      </w:tr>
      <w:tr w:rsidR="003D78F9" w:rsidRPr="003D78F9" w14:paraId="6C9CA7F6" w14:textId="77777777" w:rsidTr="00C91A6C">
        <w:trPr>
          <w:trHeight w:hRule="exact" w:val="874"/>
          <w:jc w:val="center"/>
        </w:trPr>
        <w:tc>
          <w:tcPr>
            <w:tcW w:w="470" w:type="dxa"/>
          </w:tcPr>
          <w:p w14:paraId="023CAAFA" w14:textId="77777777" w:rsidR="003D78F9" w:rsidRPr="00611276" w:rsidRDefault="003D78F9" w:rsidP="003D78F9">
            <w:pPr>
              <w:spacing w:after="0" w:line="240" w:lineRule="auto"/>
              <w:rPr>
                <w:rFonts w:ascii="Calibri" w:eastAsia="Calibri" w:hAnsi="Calibri" w:cs="Times New Roman"/>
                <w:color w:val="auto"/>
                <w:sz w:val="20"/>
                <w:szCs w:val="22"/>
              </w:rPr>
            </w:pPr>
            <w:r w:rsidRPr="00611276">
              <w:rPr>
                <w:rFonts w:ascii="Calibri" w:eastAsia="Calibri" w:hAnsi="Calibri" w:cs="Times New Roman"/>
                <w:color w:val="auto"/>
                <w:sz w:val="20"/>
                <w:szCs w:val="22"/>
              </w:rPr>
              <w:t>6.4</w:t>
            </w:r>
          </w:p>
        </w:tc>
        <w:tc>
          <w:tcPr>
            <w:tcW w:w="4487" w:type="dxa"/>
            <w:shd w:val="clear" w:color="auto" w:fill="auto"/>
          </w:tcPr>
          <w:p w14:paraId="6C77F4B0" w14:textId="77777777" w:rsidR="003D78F9" w:rsidRPr="00611276" w:rsidRDefault="003D78F9" w:rsidP="003D78F9">
            <w:pPr>
              <w:spacing w:line="276" w:lineRule="auto"/>
              <w:rPr>
                <w:rFonts w:ascii="Calibri" w:eastAsia="Times New Roman" w:hAnsi="Calibri" w:cs="Calibri"/>
                <w:color w:val="auto"/>
                <w:sz w:val="20"/>
                <w:szCs w:val="22"/>
              </w:rPr>
            </w:pPr>
            <w:r w:rsidRPr="00611276">
              <w:rPr>
                <w:rFonts w:ascii="Calibri" w:eastAsia="Times New Roman" w:hAnsi="Calibri" w:cs="Calibri"/>
                <w:color w:val="auto"/>
                <w:sz w:val="20"/>
                <w:szCs w:val="22"/>
              </w:rPr>
              <w:t>Engage with stakeholders about reform of Victoria’s animal welfare legislation through written documents and face-to-face consultation.</w:t>
            </w:r>
          </w:p>
        </w:tc>
        <w:tc>
          <w:tcPr>
            <w:tcW w:w="791" w:type="dxa"/>
          </w:tcPr>
          <w:p w14:paraId="50F2E2CC" w14:textId="0A810D72" w:rsidR="003D78F9" w:rsidRPr="00611276" w:rsidRDefault="00C91A6C" w:rsidP="003D78F9">
            <w:pPr>
              <w:spacing w:after="0" w:line="240" w:lineRule="auto"/>
              <w:rPr>
                <w:rFonts w:ascii="Calibri" w:eastAsia="Calibri" w:hAnsi="Calibri" w:cs="Times New Roman"/>
                <w:color w:val="auto"/>
                <w:sz w:val="20"/>
                <w:szCs w:val="22"/>
              </w:rPr>
            </w:pPr>
            <w:r w:rsidRPr="00611276">
              <w:rPr>
                <w:rFonts w:ascii="Calibri" w:eastAsia="Calibri" w:hAnsi="Calibri" w:cs="Times New Roman"/>
                <w:noProof/>
                <w:color w:val="auto"/>
                <w:sz w:val="20"/>
                <w:szCs w:val="22"/>
                <w:lang w:eastAsia="en-AU"/>
              </w:rPr>
              <w:drawing>
                <wp:inline distT="0" distB="0" distL="0" distR="0" wp14:anchorId="13ED9440" wp14:editId="1C5D19D1">
                  <wp:extent cx="342900" cy="342900"/>
                  <wp:effectExtent l="0" t="0" r="0" b="0"/>
                  <wp:docPr id="52" name="Graphic 52" descr="Sig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gnal.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351092" cy="351092"/>
                          </a:xfrm>
                          <a:prstGeom prst="rect">
                            <a:avLst/>
                          </a:prstGeom>
                        </pic:spPr>
                      </pic:pic>
                    </a:graphicData>
                  </a:graphic>
                </wp:inline>
              </w:drawing>
            </w:r>
          </w:p>
        </w:tc>
        <w:tc>
          <w:tcPr>
            <w:tcW w:w="3982" w:type="dxa"/>
          </w:tcPr>
          <w:p w14:paraId="10F39B62" w14:textId="77777777" w:rsidR="003D78F9" w:rsidRPr="00611276" w:rsidRDefault="003D78F9" w:rsidP="003D78F9">
            <w:pPr>
              <w:spacing w:after="0" w:line="240" w:lineRule="auto"/>
              <w:rPr>
                <w:rFonts w:ascii="Calibri" w:eastAsia="Calibri" w:hAnsi="Calibri" w:cs="Times New Roman"/>
                <w:color w:val="auto"/>
                <w:sz w:val="20"/>
                <w:szCs w:val="22"/>
              </w:rPr>
            </w:pPr>
            <w:r w:rsidRPr="00611276">
              <w:rPr>
                <w:rFonts w:ascii="Calibri" w:eastAsia="Times New Roman" w:hAnsi="Calibri" w:cs="Times New Roman"/>
                <w:color w:val="auto"/>
                <w:sz w:val="20"/>
                <w:szCs w:val="22"/>
              </w:rPr>
              <w:t xml:space="preserve">Agriculture Victoria is progressing work to engage with stakeholders to reform Victoria's animal welfare legislation. </w:t>
            </w:r>
          </w:p>
        </w:tc>
      </w:tr>
      <w:tr w:rsidR="003D78F9" w:rsidRPr="003D78F9" w14:paraId="599CEA7D" w14:textId="77777777" w:rsidTr="001A3107">
        <w:trPr>
          <w:trHeight w:hRule="exact" w:val="347"/>
          <w:jc w:val="center"/>
        </w:trPr>
        <w:tc>
          <w:tcPr>
            <w:tcW w:w="9730" w:type="dxa"/>
            <w:gridSpan w:val="4"/>
          </w:tcPr>
          <w:p w14:paraId="50E46C65" w14:textId="77777777" w:rsidR="003D78F9" w:rsidRPr="00403479" w:rsidRDefault="003D78F9" w:rsidP="003D78F9">
            <w:pPr>
              <w:spacing w:line="276" w:lineRule="auto"/>
              <w:rPr>
                <w:rFonts w:ascii="Calibri" w:eastAsia="Times New Roman" w:hAnsi="Calibri" w:cs="Calibri"/>
                <w:b/>
                <w:color w:val="auto"/>
                <w:sz w:val="20"/>
                <w:szCs w:val="22"/>
              </w:rPr>
            </w:pPr>
            <w:r w:rsidRPr="00403479">
              <w:rPr>
                <w:rFonts w:ascii="Calibri" w:eastAsia="Times New Roman" w:hAnsi="Calibri" w:cs="Calibri"/>
                <w:b/>
                <w:color w:val="auto"/>
                <w:sz w:val="20"/>
                <w:szCs w:val="22"/>
              </w:rPr>
              <w:t xml:space="preserve">Ministerial Expectation Criteria 7: Clear and consistent Regulatory activities </w:t>
            </w:r>
          </w:p>
          <w:p w14:paraId="661F4B69" w14:textId="77777777" w:rsidR="003D78F9" w:rsidRPr="003D78F9" w:rsidRDefault="003D78F9" w:rsidP="003D78F9">
            <w:pPr>
              <w:spacing w:after="0" w:line="240" w:lineRule="auto"/>
              <w:rPr>
                <w:rFonts w:ascii="Calibri" w:eastAsia="Calibri" w:hAnsi="Calibri" w:cs="Times New Roman"/>
                <w:color w:val="auto"/>
                <w:sz w:val="22"/>
                <w:szCs w:val="22"/>
              </w:rPr>
            </w:pPr>
          </w:p>
        </w:tc>
      </w:tr>
      <w:tr w:rsidR="003D78F9" w:rsidRPr="003D78F9" w14:paraId="0EE1076A" w14:textId="77777777" w:rsidTr="001A3107">
        <w:trPr>
          <w:trHeight w:hRule="exact" w:val="294"/>
          <w:jc w:val="center"/>
        </w:trPr>
        <w:tc>
          <w:tcPr>
            <w:tcW w:w="4957" w:type="dxa"/>
            <w:gridSpan w:val="2"/>
            <w:shd w:val="clear" w:color="auto" w:fill="D9E2F3"/>
          </w:tcPr>
          <w:p w14:paraId="73DC9419" w14:textId="77777777" w:rsidR="003D78F9" w:rsidRPr="00403479" w:rsidRDefault="003D78F9" w:rsidP="003D78F9">
            <w:pPr>
              <w:spacing w:after="0" w:line="240" w:lineRule="auto"/>
              <w:rPr>
                <w:rFonts w:ascii="Calibri" w:eastAsia="Calibri" w:hAnsi="Calibri" w:cs="Times New Roman"/>
                <w:color w:val="auto"/>
                <w:sz w:val="20"/>
                <w:szCs w:val="22"/>
              </w:rPr>
            </w:pPr>
            <w:r w:rsidRPr="00403479">
              <w:rPr>
                <w:rFonts w:ascii="Calibri" w:eastAsia="Calibri" w:hAnsi="Calibri" w:cs="Times New Roman"/>
                <w:color w:val="auto"/>
                <w:sz w:val="20"/>
                <w:szCs w:val="22"/>
              </w:rPr>
              <w:t>Improvement Target</w:t>
            </w:r>
          </w:p>
        </w:tc>
        <w:tc>
          <w:tcPr>
            <w:tcW w:w="791" w:type="dxa"/>
            <w:shd w:val="clear" w:color="auto" w:fill="D9E2F3"/>
          </w:tcPr>
          <w:p w14:paraId="702A895A" w14:textId="77777777" w:rsidR="003D78F9" w:rsidRPr="00403479" w:rsidRDefault="003D78F9" w:rsidP="003D78F9">
            <w:pPr>
              <w:spacing w:after="0" w:line="240" w:lineRule="auto"/>
              <w:rPr>
                <w:rFonts w:ascii="Calibri" w:eastAsia="Calibri" w:hAnsi="Calibri" w:cs="Times New Roman"/>
                <w:color w:val="auto"/>
                <w:sz w:val="20"/>
                <w:szCs w:val="22"/>
              </w:rPr>
            </w:pPr>
            <w:r w:rsidRPr="00403479">
              <w:rPr>
                <w:rFonts w:ascii="Calibri" w:eastAsia="Calibri" w:hAnsi="Calibri" w:cs="Times New Roman"/>
                <w:color w:val="auto"/>
                <w:sz w:val="20"/>
                <w:szCs w:val="22"/>
              </w:rPr>
              <w:t>Status</w:t>
            </w:r>
          </w:p>
        </w:tc>
        <w:tc>
          <w:tcPr>
            <w:tcW w:w="3982" w:type="dxa"/>
            <w:shd w:val="clear" w:color="auto" w:fill="D9E2F3"/>
          </w:tcPr>
          <w:p w14:paraId="2AE42EB8" w14:textId="77777777" w:rsidR="003D78F9" w:rsidRPr="00403479" w:rsidRDefault="003D78F9" w:rsidP="003D78F9">
            <w:pPr>
              <w:spacing w:after="0" w:line="240" w:lineRule="auto"/>
              <w:rPr>
                <w:rFonts w:ascii="Calibri" w:eastAsia="Calibri" w:hAnsi="Calibri" w:cs="Times New Roman"/>
                <w:color w:val="auto"/>
                <w:sz w:val="20"/>
                <w:szCs w:val="22"/>
              </w:rPr>
            </w:pPr>
            <w:r w:rsidRPr="00403479">
              <w:rPr>
                <w:rFonts w:ascii="Calibri" w:eastAsia="Calibri" w:hAnsi="Calibri" w:cs="Times New Roman"/>
                <w:color w:val="auto"/>
                <w:sz w:val="20"/>
                <w:szCs w:val="22"/>
              </w:rPr>
              <w:t>Status Detail</w:t>
            </w:r>
          </w:p>
        </w:tc>
      </w:tr>
      <w:tr w:rsidR="003D78F9" w:rsidRPr="003D78F9" w14:paraId="09CC7313" w14:textId="77777777" w:rsidTr="00C91A6C">
        <w:trPr>
          <w:trHeight w:hRule="exact" w:val="1285"/>
          <w:jc w:val="center"/>
        </w:trPr>
        <w:tc>
          <w:tcPr>
            <w:tcW w:w="470" w:type="dxa"/>
          </w:tcPr>
          <w:p w14:paraId="69E61452" w14:textId="77777777" w:rsidR="003D78F9" w:rsidRPr="00403479" w:rsidRDefault="003D78F9" w:rsidP="003D78F9">
            <w:pPr>
              <w:spacing w:after="0" w:line="240" w:lineRule="auto"/>
              <w:rPr>
                <w:rFonts w:ascii="Calibri" w:eastAsia="Calibri" w:hAnsi="Calibri" w:cs="Times New Roman"/>
                <w:color w:val="auto"/>
                <w:sz w:val="20"/>
                <w:szCs w:val="22"/>
              </w:rPr>
            </w:pPr>
            <w:r w:rsidRPr="00403479">
              <w:rPr>
                <w:rFonts w:ascii="Calibri" w:eastAsia="Calibri" w:hAnsi="Calibri" w:cs="Times New Roman"/>
                <w:color w:val="auto"/>
                <w:sz w:val="20"/>
                <w:szCs w:val="22"/>
              </w:rPr>
              <w:t>7.1</w:t>
            </w:r>
          </w:p>
        </w:tc>
        <w:tc>
          <w:tcPr>
            <w:tcW w:w="4487" w:type="dxa"/>
            <w:shd w:val="clear" w:color="auto" w:fill="auto"/>
          </w:tcPr>
          <w:p w14:paraId="3AA66B13" w14:textId="77777777" w:rsidR="003D78F9" w:rsidRPr="00403479" w:rsidRDefault="003D78F9" w:rsidP="003D78F9">
            <w:pPr>
              <w:spacing w:after="113" w:line="276" w:lineRule="auto"/>
              <w:rPr>
                <w:rFonts w:ascii="Calibri" w:eastAsia="Times New Roman" w:hAnsi="Calibri" w:cs="Calibri"/>
                <w:color w:val="auto"/>
                <w:sz w:val="20"/>
                <w:szCs w:val="22"/>
              </w:rPr>
            </w:pPr>
            <w:r w:rsidRPr="00403479">
              <w:rPr>
                <w:rFonts w:ascii="Calibri" w:eastAsia="Times New Roman" w:hAnsi="Calibri" w:cs="Calibri"/>
                <w:color w:val="auto"/>
                <w:sz w:val="20"/>
                <w:szCs w:val="22"/>
              </w:rPr>
              <w:t>Identify options for a new case management system for animal health and welfare to centralise compliance systems, processes, and data management.</w:t>
            </w:r>
          </w:p>
        </w:tc>
        <w:tc>
          <w:tcPr>
            <w:tcW w:w="791" w:type="dxa"/>
          </w:tcPr>
          <w:p w14:paraId="1D669737" w14:textId="2217B2D5" w:rsidR="003D78F9" w:rsidRPr="003D78F9" w:rsidRDefault="00C91A6C" w:rsidP="003D78F9">
            <w:pPr>
              <w:spacing w:after="0" w:line="240" w:lineRule="auto"/>
              <w:rPr>
                <w:rFonts w:ascii="Calibri" w:eastAsia="Calibri" w:hAnsi="Calibri" w:cs="Times New Roman"/>
                <w:color w:val="auto"/>
                <w:sz w:val="22"/>
                <w:szCs w:val="22"/>
              </w:rPr>
            </w:pPr>
            <w:r w:rsidRPr="003D78F9">
              <w:rPr>
                <w:rFonts w:ascii="Calibri" w:eastAsia="Calibri" w:hAnsi="Calibri" w:cs="Times New Roman"/>
                <w:noProof/>
                <w:color w:val="auto"/>
                <w:sz w:val="22"/>
                <w:szCs w:val="22"/>
                <w:lang w:eastAsia="en-AU"/>
              </w:rPr>
              <w:drawing>
                <wp:inline distT="0" distB="0" distL="0" distR="0" wp14:anchorId="023454B3" wp14:editId="2CA1F6CC">
                  <wp:extent cx="304800" cy="304800"/>
                  <wp:effectExtent l="0" t="0" r="0" b="0"/>
                  <wp:docPr id="64" name="Graphic 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311132" cy="311132"/>
                          </a:xfrm>
                          <a:prstGeom prst="rect">
                            <a:avLst/>
                          </a:prstGeom>
                        </pic:spPr>
                      </pic:pic>
                    </a:graphicData>
                  </a:graphic>
                </wp:inline>
              </w:drawing>
            </w:r>
          </w:p>
        </w:tc>
        <w:tc>
          <w:tcPr>
            <w:tcW w:w="3982" w:type="dxa"/>
          </w:tcPr>
          <w:p w14:paraId="03C3CE42" w14:textId="46C0F060" w:rsidR="003D78F9" w:rsidRPr="00403479" w:rsidRDefault="003D78F9" w:rsidP="003D78F9">
            <w:pPr>
              <w:spacing w:after="0" w:line="240" w:lineRule="auto"/>
              <w:rPr>
                <w:rFonts w:ascii="Calibri" w:eastAsia="Calibri" w:hAnsi="Calibri" w:cs="Times New Roman"/>
                <w:color w:val="auto"/>
                <w:sz w:val="20"/>
                <w:szCs w:val="22"/>
              </w:rPr>
            </w:pPr>
            <w:r w:rsidRPr="00403479">
              <w:rPr>
                <w:rFonts w:ascii="Calibri" w:eastAsia="Times New Roman" w:hAnsi="Calibri" w:cs="Times New Roman"/>
                <w:color w:val="auto"/>
                <w:sz w:val="20"/>
                <w:szCs w:val="22"/>
              </w:rPr>
              <w:t>Compliance MAX, a web-based case management platform, has been designed and implemented and is used by Animal Health and Welfare authorised officers for compliance case management.</w:t>
            </w:r>
          </w:p>
        </w:tc>
      </w:tr>
      <w:tr w:rsidR="003D78F9" w:rsidRPr="003D78F9" w14:paraId="1ECC1361" w14:textId="77777777" w:rsidTr="00C91A6C">
        <w:trPr>
          <w:trHeight w:hRule="exact" w:val="1545"/>
          <w:jc w:val="center"/>
        </w:trPr>
        <w:tc>
          <w:tcPr>
            <w:tcW w:w="470" w:type="dxa"/>
          </w:tcPr>
          <w:p w14:paraId="0367631E" w14:textId="77777777" w:rsidR="003D78F9" w:rsidRPr="00403479" w:rsidRDefault="003D78F9" w:rsidP="003D78F9">
            <w:pPr>
              <w:spacing w:after="0" w:line="240" w:lineRule="auto"/>
              <w:rPr>
                <w:rFonts w:ascii="Calibri" w:eastAsia="Calibri" w:hAnsi="Calibri" w:cs="Times New Roman"/>
                <w:color w:val="auto"/>
                <w:sz w:val="20"/>
                <w:szCs w:val="22"/>
              </w:rPr>
            </w:pPr>
            <w:r w:rsidRPr="00403479">
              <w:rPr>
                <w:rFonts w:ascii="Calibri" w:eastAsia="Calibri" w:hAnsi="Calibri" w:cs="Times New Roman"/>
                <w:color w:val="auto"/>
                <w:sz w:val="20"/>
                <w:szCs w:val="22"/>
              </w:rPr>
              <w:t>7.2</w:t>
            </w:r>
          </w:p>
        </w:tc>
        <w:tc>
          <w:tcPr>
            <w:tcW w:w="4487" w:type="dxa"/>
            <w:shd w:val="clear" w:color="auto" w:fill="auto"/>
          </w:tcPr>
          <w:p w14:paraId="305226C1" w14:textId="77777777" w:rsidR="003D78F9" w:rsidRPr="00403479" w:rsidRDefault="003D78F9" w:rsidP="003D78F9">
            <w:pPr>
              <w:spacing w:line="276" w:lineRule="auto"/>
              <w:rPr>
                <w:rFonts w:ascii="Calibri" w:eastAsia="Times New Roman" w:hAnsi="Calibri" w:cs="Calibri"/>
                <w:color w:val="auto"/>
                <w:sz w:val="20"/>
                <w:szCs w:val="22"/>
              </w:rPr>
            </w:pPr>
            <w:r w:rsidRPr="00403479">
              <w:rPr>
                <w:rFonts w:ascii="Calibri" w:eastAsia="Times New Roman" w:hAnsi="Calibri" w:cs="Calibri"/>
                <w:color w:val="auto"/>
                <w:sz w:val="20"/>
                <w:szCs w:val="22"/>
              </w:rPr>
              <w:t>Monitor the implementation of changes that have been made in response to evaluation of emergency responses and or exercises.</w:t>
            </w:r>
          </w:p>
        </w:tc>
        <w:tc>
          <w:tcPr>
            <w:tcW w:w="791" w:type="dxa"/>
          </w:tcPr>
          <w:p w14:paraId="5AA57E12" w14:textId="5C85CA8C" w:rsidR="003D78F9" w:rsidRPr="003D78F9" w:rsidRDefault="00C91A6C" w:rsidP="003D78F9">
            <w:pPr>
              <w:spacing w:after="0" w:line="240" w:lineRule="auto"/>
              <w:rPr>
                <w:rFonts w:ascii="Calibri" w:eastAsia="Calibri" w:hAnsi="Calibri" w:cs="Times New Roman"/>
                <w:color w:val="auto"/>
                <w:sz w:val="22"/>
                <w:szCs w:val="22"/>
              </w:rPr>
            </w:pPr>
            <w:r w:rsidRPr="003D78F9">
              <w:rPr>
                <w:rFonts w:ascii="Calibri" w:eastAsia="Calibri" w:hAnsi="Calibri" w:cs="Times New Roman"/>
                <w:noProof/>
                <w:color w:val="auto"/>
                <w:sz w:val="22"/>
                <w:szCs w:val="22"/>
                <w:lang w:eastAsia="en-AU"/>
              </w:rPr>
              <w:drawing>
                <wp:inline distT="0" distB="0" distL="0" distR="0" wp14:anchorId="13B856EC" wp14:editId="21EB4B17">
                  <wp:extent cx="304800" cy="304800"/>
                  <wp:effectExtent l="0" t="0" r="0" b="0"/>
                  <wp:docPr id="65" name="Graphic 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eckmar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311132" cy="311132"/>
                          </a:xfrm>
                          <a:prstGeom prst="rect">
                            <a:avLst/>
                          </a:prstGeom>
                        </pic:spPr>
                      </pic:pic>
                    </a:graphicData>
                  </a:graphic>
                </wp:inline>
              </w:drawing>
            </w:r>
          </w:p>
        </w:tc>
        <w:tc>
          <w:tcPr>
            <w:tcW w:w="3982" w:type="dxa"/>
          </w:tcPr>
          <w:p w14:paraId="19E26F14" w14:textId="77777777" w:rsidR="003D78F9" w:rsidRPr="00403479" w:rsidRDefault="003D78F9" w:rsidP="003D78F9">
            <w:pPr>
              <w:spacing w:after="0" w:line="240" w:lineRule="auto"/>
              <w:rPr>
                <w:rFonts w:ascii="Calibri" w:eastAsia="Calibri" w:hAnsi="Calibri" w:cs="Times New Roman"/>
                <w:color w:val="auto"/>
                <w:sz w:val="20"/>
                <w:szCs w:val="22"/>
              </w:rPr>
            </w:pPr>
            <w:r w:rsidRPr="00403479">
              <w:rPr>
                <w:rFonts w:ascii="Calibri" w:eastAsia="Times New Roman" w:hAnsi="Calibri" w:cs="Times New Roman"/>
                <w:color w:val="auto"/>
                <w:sz w:val="20"/>
                <w:szCs w:val="22"/>
              </w:rPr>
              <w:t>Evaluation reports on emergency responses and exercises are managed in a web-based platform called BioWeb. An Emergency Preparedness Committee prioritises and tracks actions on lessons learned and provides communication to Agriculture Victoria staff.</w:t>
            </w:r>
          </w:p>
        </w:tc>
      </w:tr>
      <w:tr w:rsidR="003D78F9" w:rsidRPr="003D78F9" w14:paraId="5080CD37" w14:textId="77777777" w:rsidTr="001A3107">
        <w:trPr>
          <w:trHeight w:hRule="exact" w:val="297"/>
          <w:jc w:val="center"/>
        </w:trPr>
        <w:tc>
          <w:tcPr>
            <w:tcW w:w="9730" w:type="dxa"/>
            <w:gridSpan w:val="4"/>
          </w:tcPr>
          <w:p w14:paraId="16104429" w14:textId="77777777" w:rsidR="003D78F9" w:rsidRPr="00403479" w:rsidRDefault="003D78F9" w:rsidP="003D78F9">
            <w:pPr>
              <w:spacing w:line="276" w:lineRule="auto"/>
              <w:jc w:val="both"/>
              <w:rPr>
                <w:rFonts w:ascii="Calibri" w:eastAsia="Times New Roman" w:hAnsi="Calibri" w:cs="Calibri"/>
                <w:b/>
                <w:color w:val="auto"/>
                <w:sz w:val="20"/>
                <w:szCs w:val="22"/>
              </w:rPr>
            </w:pPr>
            <w:r w:rsidRPr="00403479">
              <w:rPr>
                <w:rFonts w:ascii="Calibri" w:eastAsia="Times New Roman" w:hAnsi="Calibri" w:cs="Calibri"/>
                <w:b/>
                <w:color w:val="auto"/>
                <w:sz w:val="20"/>
                <w:szCs w:val="22"/>
              </w:rPr>
              <w:t xml:space="preserve">Ministerial Expectation Criteria 8: Reporting  </w:t>
            </w:r>
          </w:p>
          <w:p w14:paraId="09139D28" w14:textId="77777777" w:rsidR="003D78F9" w:rsidRPr="003D78F9" w:rsidRDefault="003D78F9" w:rsidP="003D78F9">
            <w:pPr>
              <w:spacing w:after="0" w:line="240" w:lineRule="auto"/>
              <w:rPr>
                <w:rFonts w:ascii="Calibri" w:eastAsia="Calibri" w:hAnsi="Calibri" w:cs="Times New Roman"/>
                <w:color w:val="auto"/>
                <w:sz w:val="22"/>
                <w:szCs w:val="22"/>
              </w:rPr>
            </w:pPr>
          </w:p>
        </w:tc>
      </w:tr>
      <w:tr w:rsidR="003D78F9" w:rsidRPr="003D78F9" w14:paraId="00973800" w14:textId="77777777" w:rsidTr="001A3107">
        <w:trPr>
          <w:trHeight w:hRule="exact" w:val="273"/>
          <w:jc w:val="center"/>
        </w:trPr>
        <w:tc>
          <w:tcPr>
            <w:tcW w:w="4957" w:type="dxa"/>
            <w:gridSpan w:val="2"/>
            <w:shd w:val="clear" w:color="auto" w:fill="D9E2F3"/>
          </w:tcPr>
          <w:p w14:paraId="784D8DF8" w14:textId="77777777" w:rsidR="003D78F9" w:rsidRPr="00403479" w:rsidRDefault="003D78F9" w:rsidP="003D78F9">
            <w:pPr>
              <w:spacing w:after="0" w:line="240" w:lineRule="auto"/>
              <w:rPr>
                <w:rFonts w:ascii="Calibri" w:eastAsia="Calibri" w:hAnsi="Calibri" w:cs="Times New Roman"/>
                <w:color w:val="auto"/>
                <w:sz w:val="20"/>
                <w:szCs w:val="20"/>
              </w:rPr>
            </w:pPr>
            <w:r w:rsidRPr="00403479">
              <w:rPr>
                <w:rFonts w:ascii="Calibri" w:eastAsia="Calibri" w:hAnsi="Calibri" w:cs="Times New Roman"/>
                <w:color w:val="auto"/>
                <w:sz w:val="20"/>
                <w:szCs w:val="20"/>
              </w:rPr>
              <w:t>Improvement Target</w:t>
            </w:r>
          </w:p>
        </w:tc>
        <w:tc>
          <w:tcPr>
            <w:tcW w:w="791" w:type="dxa"/>
            <w:shd w:val="clear" w:color="auto" w:fill="D9E2F3"/>
          </w:tcPr>
          <w:p w14:paraId="524C5EE0" w14:textId="77777777" w:rsidR="003D78F9" w:rsidRPr="00403479" w:rsidRDefault="003D78F9" w:rsidP="003D78F9">
            <w:pPr>
              <w:spacing w:after="0" w:line="240" w:lineRule="auto"/>
              <w:rPr>
                <w:rFonts w:ascii="Calibri" w:eastAsia="Calibri" w:hAnsi="Calibri" w:cs="Times New Roman"/>
                <w:color w:val="auto"/>
                <w:sz w:val="20"/>
                <w:szCs w:val="20"/>
              </w:rPr>
            </w:pPr>
            <w:r w:rsidRPr="00403479">
              <w:rPr>
                <w:rFonts w:ascii="Calibri" w:eastAsia="Calibri" w:hAnsi="Calibri" w:cs="Times New Roman"/>
                <w:color w:val="auto"/>
                <w:sz w:val="20"/>
                <w:szCs w:val="20"/>
              </w:rPr>
              <w:t>Status</w:t>
            </w:r>
          </w:p>
        </w:tc>
        <w:tc>
          <w:tcPr>
            <w:tcW w:w="3982" w:type="dxa"/>
            <w:shd w:val="clear" w:color="auto" w:fill="D9E2F3"/>
          </w:tcPr>
          <w:p w14:paraId="56E093E9" w14:textId="77777777" w:rsidR="003D78F9" w:rsidRPr="00403479" w:rsidRDefault="003D78F9" w:rsidP="003D78F9">
            <w:pPr>
              <w:spacing w:after="0" w:line="240" w:lineRule="auto"/>
              <w:rPr>
                <w:rFonts w:ascii="Calibri" w:eastAsia="Calibri" w:hAnsi="Calibri" w:cs="Times New Roman"/>
                <w:color w:val="auto"/>
                <w:sz w:val="20"/>
                <w:szCs w:val="20"/>
              </w:rPr>
            </w:pPr>
            <w:r w:rsidRPr="00403479">
              <w:rPr>
                <w:rFonts w:ascii="Calibri" w:eastAsia="Calibri" w:hAnsi="Calibri" w:cs="Times New Roman"/>
                <w:color w:val="auto"/>
                <w:sz w:val="20"/>
                <w:szCs w:val="20"/>
              </w:rPr>
              <w:t>Status Detail</w:t>
            </w:r>
          </w:p>
        </w:tc>
      </w:tr>
      <w:tr w:rsidR="003D78F9" w:rsidRPr="003D78F9" w14:paraId="387C502C" w14:textId="77777777" w:rsidTr="00C91A6C">
        <w:trPr>
          <w:trHeight w:hRule="exact" w:val="1103"/>
          <w:jc w:val="center"/>
        </w:trPr>
        <w:tc>
          <w:tcPr>
            <w:tcW w:w="470" w:type="dxa"/>
          </w:tcPr>
          <w:p w14:paraId="444C101F" w14:textId="77777777" w:rsidR="003D78F9" w:rsidRPr="00403479" w:rsidRDefault="003D78F9" w:rsidP="003D78F9">
            <w:pPr>
              <w:spacing w:after="0" w:line="240" w:lineRule="auto"/>
              <w:rPr>
                <w:rFonts w:ascii="Calibri" w:eastAsia="Calibri" w:hAnsi="Calibri" w:cs="Times New Roman"/>
                <w:color w:val="auto"/>
                <w:sz w:val="20"/>
                <w:szCs w:val="20"/>
              </w:rPr>
            </w:pPr>
            <w:r w:rsidRPr="00403479">
              <w:rPr>
                <w:rFonts w:ascii="Calibri" w:eastAsia="Calibri" w:hAnsi="Calibri" w:cs="Times New Roman"/>
                <w:color w:val="auto"/>
                <w:sz w:val="20"/>
                <w:szCs w:val="20"/>
              </w:rPr>
              <w:t>8.1</w:t>
            </w:r>
          </w:p>
        </w:tc>
        <w:tc>
          <w:tcPr>
            <w:tcW w:w="4487" w:type="dxa"/>
          </w:tcPr>
          <w:p w14:paraId="351350FA" w14:textId="77777777" w:rsidR="003D78F9" w:rsidRPr="00403479" w:rsidRDefault="003D78F9" w:rsidP="003D78F9">
            <w:pPr>
              <w:spacing w:after="0" w:line="240" w:lineRule="auto"/>
              <w:rPr>
                <w:rFonts w:ascii="Calibri" w:eastAsia="Calibri" w:hAnsi="Calibri" w:cs="Times New Roman"/>
                <w:color w:val="auto"/>
                <w:sz w:val="20"/>
                <w:szCs w:val="20"/>
              </w:rPr>
            </w:pPr>
            <w:r w:rsidRPr="00403479">
              <w:rPr>
                <w:rFonts w:ascii="Calibri" w:eastAsia="Calibri" w:hAnsi="Calibri" w:cs="Calibri"/>
                <w:color w:val="auto"/>
                <w:sz w:val="20"/>
                <w:szCs w:val="20"/>
              </w:rPr>
              <w:t>Evaluate the performance improvements and targets contained in the SOE.</w:t>
            </w:r>
          </w:p>
        </w:tc>
        <w:tc>
          <w:tcPr>
            <w:tcW w:w="791" w:type="dxa"/>
          </w:tcPr>
          <w:p w14:paraId="41165259" w14:textId="2E3FA6BC" w:rsidR="003D78F9" w:rsidRPr="00403479" w:rsidRDefault="00C91A6C" w:rsidP="003D78F9">
            <w:pPr>
              <w:spacing w:after="0" w:line="240" w:lineRule="auto"/>
              <w:rPr>
                <w:rFonts w:ascii="Calibri" w:eastAsia="Calibri" w:hAnsi="Calibri" w:cs="Times New Roman"/>
                <w:color w:val="auto"/>
                <w:sz w:val="20"/>
                <w:szCs w:val="20"/>
              </w:rPr>
            </w:pPr>
            <w:r w:rsidRPr="00611276">
              <w:rPr>
                <w:rFonts w:ascii="Calibri" w:eastAsia="Calibri" w:hAnsi="Calibri" w:cs="Times New Roman"/>
                <w:noProof/>
                <w:color w:val="auto"/>
                <w:sz w:val="20"/>
                <w:szCs w:val="22"/>
                <w:lang w:eastAsia="en-AU"/>
              </w:rPr>
              <w:drawing>
                <wp:inline distT="0" distB="0" distL="0" distR="0" wp14:anchorId="5AEC333E" wp14:editId="3276AD29">
                  <wp:extent cx="342900" cy="342900"/>
                  <wp:effectExtent l="0" t="0" r="0" b="0"/>
                  <wp:docPr id="53" name="Graphic 53" descr="Sig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gnal.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351092" cy="351092"/>
                          </a:xfrm>
                          <a:prstGeom prst="rect">
                            <a:avLst/>
                          </a:prstGeom>
                        </pic:spPr>
                      </pic:pic>
                    </a:graphicData>
                  </a:graphic>
                </wp:inline>
              </w:drawing>
            </w:r>
          </w:p>
        </w:tc>
        <w:tc>
          <w:tcPr>
            <w:tcW w:w="3982" w:type="dxa"/>
          </w:tcPr>
          <w:p w14:paraId="1A513574" w14:textId="24575CC8" w:rsidR="003D78F9" w:rsidRPr="00403479" w:rsidRDefault="003D78F9" w:rsidP="004D59A9">
            <w:pPr>
              <w:spacing w:after="0" w:line="240" w:lineRule="auto"/>
              <w:rPr>
                <w:rFonts w:ascii="Calibri" w:eastAsia="Calibri" w:hAnsi="Calibri" w:cs="Times New Roman"/>
                <w:color w:val="auto"/>
                <w:sz w:val="20"/>
                <w:szCs w:val="20"/>
              </w:rPr>
            </w:pPr>
            <w:r w:rsidRPr="00403479">
              <w:rPr>
                <w:rFonts w:ascii="Calibri" w:eastAsia="Times New Roman" w:hAnsi="Calibri" w:cs="Times New Roman"/>
                <w:color w:val="auto"/>
                <w:sz w:val="20"/>
                <w:szCs w:val="20"/>
              </w:rPr>
              <w:t>Agriculture Victoria</w:t>
            </w:r>
            <w:r w:rsidR="00A96D38">
              <w:rPr>
                <w:rFonts w:ascii="Calibri" w:eastAsia="Times New Roman" w:hAnsi="Calibri" w:cs="Times New Roman"/>
                <w:color w:val="auto"/>
                <w:sz w:val="20"/>
                <w:szCs w:val="20"/>
              </w:rPr>
              <w:t xml:space="preserve"> is evaluating its</w:t>
            </w:r>
            <w:r w:rsidRPr="00403479">
              <w:rPr>
                <w:rFonts w:ascii="Calibri" w:eastAsia="Times New Roman" w:hAnsi="Calibri" w:cs="Times New Roman"/>
                <w:color w:val="auto"/>
                <w:sz w:val="20"/>
                <w:szCs w:val="20"/>
              </w:rPr>
              <w:t xml:space="preserve"> SOE development process and its progress towards delivering the improvements and targets identified in the SOE response.</w:t>
            </w:r>
            <w:r w:rsidR="004D59A9">
              <w:rPr>
                <w:rFonts w:ascii="Calibri" w:eastAsia="Times New Roman" w:hAnsi="Calibri" w:cs="Times New Roman"/>
                <w:color w:val="auto"/>
                <w:sz w:val="20"/>
                <w:szCs w:val="20"/>
              </w:rPr>
              <w:t xml:space="preserve"> </w:t>
            </w:r>
          </w:p>
        </w:tc>
      </w:tr>
    </w:tbl>
    <w:p w14:paraId="5575F02D" w14:textId="77777777" w:rsidR="003D78F9" w:rsidRPr="003D78F9" w:rsidRDefault="003D78F9" w:rsidP="00403479">
      <w:pPr>
        <w:rPr>
          <w:lang w:val="en-AU"/>
        </w:rPr>
      </w:pPr>
    </w:p>
    <w:sectPr w:rsidR="003D78F9" w:rsidRPr="003D78F9" w:rsidSect="00EA2186">
      <w:headerReference w:type="default" r:id="rId28"/>
      <w:type w:val="continuous"/>
      <w:pgSz w:w="11900" w:h="16840"/>
      <w:pgMar w:top="1720" w:right="1080" w:bottom="1440" w:left="1080"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4C473" w14:textId="77777777" w:rsidR="00683F56" w:rsidRDefault="00683F56" w:rsidP="008954B2">
      <w:r>
        <w:separator/>
      </w:r>
    </w:p>
  </w:endnote>
  <w:endnote w:type="continuationSeparator" w:id="0">
    <w:p w14:paraId="71042B92" w14:textId="77777777" w:rsidR="00683F56" w:rsidRDefault="00683F56" w:rsidP="0089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SemiBold">
    <w:altName w:val="Times New Roman"/>
    <w:charset w:val="00"/>
    <w:family w:val="auto"/>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VIC-ExtraLight">
    <w:altName w:val="Times New Roman"/>
    <w:charset w:val="00"/>
    <w:family w:val="auto"/>
    <w:pitch w:val="variable"/>
    <w:sig w:usb0="00000001"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7A3DE" w14:textId="77777777" w:rsidR="00683F56" w:rsidRDefault="00683F56" w:rsidP="00F349E7">
    <w:pP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5678EE" w14:textId="77777777" w:rsidR="00683F56" w:rsidRDefault="00683F56" w:rsidP="00F349E7">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79B4E" w14:textId="77777777" w:rsidR="00683F56" w:rsidRDefault="00683F56" w:rsidP="00BD601F">
    <w:pPr>
      <w:tabs>
        <w:tab w:val="left" w:pos="1420"/>
      </w:tabs>
      <w:ind w:right="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172CF" w14:textId="77777777" w:rsidR="00683F56" w:rsidRDefault="00683F56" w:rsidP="00F349E7">
    <w:pP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14E40BA" w14:textId="2E6CECA4" w:rsidR="00683F56" w:rsidRDefault="00683F56" w:rsidP="005E20B5">
    <w:pPr>
      <w:ind w:right="360"/>
    </w:pPr>
    <w:r w:rsidRPr="005E20B5">
      <w:t>Evaluation of Agriculture Victoria’s Statement of Expectations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81259" w14:textId="77777777" w:rsidR="00683F56" w:rsidRDefault="00683F56" w:rsidP="00F349E7">
    <w:pP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B54ADE2" w14:textId="77777777" w:rsidR="00683F56" w:rsidRDefault="00683F56" w:rsidP="005E20B5">
    <w:pPr>
      <w:ind w:right="360"/>
    </w:pPr>
    <w:r w:rsidRPr="005E20B5">
      <w:t>Evaluation of Agriculture Victoria’s Statement of Expectations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637B8" w14:textId="77777777" w:rsidR="00683F56" w:rsidRDefault="00683F56" w:rsidP="008954B2">
      <w:r>
        <w:separator/>
      </w:r>
    </w:p>
  </w:footnote>
  <w:footnote w:type="continuationSeparator" w:id="0">
    <w:p w14:paraId="565D6CD2" w14:textId="77777777" w:rsidR="00683F56" w:rsidRDefault="00683F56" w:rsidP="008954B2">
      <w:r>
        <w:continuationSeparator/>
      </w:r>
    </w:p>
  </w:footnote>
  <w:footnote w:id="1">
    <w:p w14:paraId="541AF1A8" w14:textId="1763D04C" w:rsidR="00683F56" w:rsidRDefault="00683F56">
      <w:pPr>
        <w:pStyle w:val="FootnoteText"/>
      </w:pPr>
      <w:r>
        <w:rPr>
          <w:rStyle w:val="FootnoteReference"/>
        </w:rPr>
        <w:footnoteRef/>
      </w:r>
      <w:r>
        <w:t xml:space="preserve"> The Department of Economic Development, Jobs, Transport and Resources</w:t>
      </w:r>
      <w:r w:rsidR="001A3107">
        <w:t xml:space="preserve"> (DEDJTR)</w:t>
      </w:r>
      <w:r>
        <w:t xml:space="preserve"> transitioned to the Department of Transport and the Department of Jobs, Precincts and Regions (DJPR) as of 1 January 2019. Agriculture Victoria is part of DJPR.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B0C1B" w14:textId="77777777" w:rsidR="00683F56" w:rsidRDefault="00683F56" w:rsidP="00F349E7">
    <w:pPr>
      <w:tabs>
        <w:tab w:val="center" w:pos="5241"/>
      </w:tabs>
    </w:pPr>
    <w:r>
      <w:rPr>
        <w:noProof/>
        <w:lang w:val="en-AU" w:eastAsia="en-AU"/>
      </w:rPr>
      <w:drawing>
        <wp:anchor distT="0" distB="0" distL="114300" distR="114300" simplePos="0" relativeHeight="251656192" behindDoc="1" locked="0" layoutInCell="1" allowOverlap="1" wp14:anchorId="73683507" wp14:editId="006B8D51">
          <wp:simplePos x="0" y="0"/>
          <wp:positionH relativeFrom="page">
            <wp:align>left</wp:align>
          </wp:positionH>
          <wp:positionV relativeFrom="page">
            <wp:align>bottom</wp:align>
          </wp:positionV>
          <wp:extent cx="7560000" cy="10695600"/>
          <wp:effectExtent l="0" t="0" r="3175" b="0"/>
          <wp:wrapNone/>
          <wp:docPr id="1" name="Pictur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466 Ag Word Cover Plain Templat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35249" w14:textId="77777777" w:rsidR="00683F56" w:rsidRDefault="00683F56" w:rsidP="00202E7B">
    <w:pPr>
      <w:tabs>
        <w:tab w:val="center" w:pos="5241"/>
        <w:tab w:val="left" w:pos="5820"/>
        <w:tab w:val="left" w:pos="8980"/>
      </w:tabs>
    </w:pPr>
    <w:r w:rsidRPr="00D62D1E">
      <w:rPr>
        <w:noProof/>
        <w:lang w:val="en-AU" w:eastAsia="en-AU"/>
      </w:rPr>
      <w:drawing>
        <wp:anchor distT="0" distB="0" distL="114300" distR="114300" simplePos="0" relativeHeight="251659264" behindDoc="1" locked="0" layoutInCell="1" allowOverlap="1" wp14:anchorId="1D3D7BDB" wp14:editId="725A4B2E">
          <wp:simplePos x="0" y="0"/>
          <wp:positionH relativeFrom="page">
            <wp:posOffset>0</wp:posOffset>
          </wp:positionH>
          <wp:positionV relativeFrom="page">
            <wp:posOffset>20569</wp:posOffset>
          </wp:positionV>
          <wp:extent cx="7560000" cy="923661"/>
          <wp:effectExtent l="0" t="0" r="0" b="0"/>
          <wp:wrapNone/>
          <wp:docPr id="30" name="Picture 30"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ue 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923661"/>
                  </a:xfrm>
                  <a:prstGeom prst="rect">
                    <a:avLst/>
                  </a:prstGeom>
                </pic:spPr>
              </pic:pic>
            </a:graphicData>
          </a:graphic>
          <wp14:sizeRelH relativeFrom="margin">
            <wp14:pctWidth>0</wp14:pctWidth>
          </wp14:sizeRelH>
          <wp14:sizeRelV relativeFrom="margin">
            <wp14:pctHeight>0</wp14:pctHeight>
          </wp14:sizeRelV>
        </wp:anchor>
      </w:drawing>
    </w:r>
    <w:r>
      <w:t xml:space="preserve"> </w:t>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CD00D" w14:textId="77777777" w:rsidR="00683F56" w:rsidRDefault="00683F56" w:rsidP="00EF3DC4">
    <w:r w:rsidRPr="00D62D1E">
      <w:rPr>
        <w:noProof/>
        <w:lang w:val="en-AU" w:eastAsia="en-AU"/>
      </w:rPr>
      <w:drawing>
        <wp:anchor distT="0" distB="0" distL="114300" distR="114300" simplePos="0" relativeHeight="251655168" behindDoc="1" locked="0" layoutInCell="1" allowOverlap="1" wp14:anchorId="55325A82" wp14:editId="0D030ABE">
          <wp:simplePos x="0" y="0"/>
          <wp:positionH relativeFrom="page">
            <wp:posOffset>0</wp:posOffset>
          </wp:positionH>
          <wp:positionV relativeFrom="page">
            <wp:posOffset>20569</wp:posOffset>
          </wp:positionV>
          <wp:extent cx="7560000" cy="923661"/>
          <wp:effectExtent l="0" t="0" r="0" b="0"/>
          <wp:wrapNone/>
          <wp:docPr id="31" name="Picture 3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ue 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923661"/>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FA909" w14:textId="77777777" w:rsidR="00683F56" w:rsidRDefault="00683F56" w:rsidP="00202E7B">
    <w:pPr>
      <w:tabs>
        <w:tab w:val="center" w:pos="5241"/>
        <w:tab w:val="left" w:pos="5820"/>
        <w:tab w:val="left" w:pos="8980"/>
      </w:tabs>
    </w:pPr>
    <w:r w:rsidRPr="00D62D1E">
      <w:rPr>
        <w:noProof/>
        <w:lang w:val="en-AU" w:eastAsia="en-AU"/>
      </w:rPr>
      <w:drawing>
        <wp:anchor distT="0" distB="0" distL="114300" distR="114300" simplePos="0" relativeHeight="251662336" behindDoc="1" locked="0" layoutInCell="1" allowOverlap="1" wp14:anchorId="5DEDDD36" wp14:editId="48BFC535">
          <wp:simplePos x="0" y="0"/>
          <wp:positionH relativeFrom="page">
            <wp:posOffset>0</wp:posOffset>
          </wp:positionH>
          <wp:positionV relativeFrom="page">
            <wp:posOffset>20569</wp:posOffset>
          </wp:positionV>
          <wp:extent cx="7560000" cy="923661"/>
          <wp:effectExtent l="0" t="0" r="0" b="0"/>
          <wp:wrapNone/>
          <wp:docPr id="35" name="Picture 35"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ue 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923661"/>
                  </a:xfrm>
                  <a:prstGeom prst="rect">
                    <a:avLst/>
                  </a:prstGeom>
                </pic:spPr>
              </pic:pic>
            </a:graphicData>
          </a:graphic>
          <wp14:sizeRelH relativeFrom="margin">
            <wp14:pctWidth>0</wp14:pctWidth>
          </wp14:sizeRelH>
          <wp14:sizeRelV relativeFrom="margin">
            <wp14:pctHeight>0</wp14:pctHeight>
          </wp14:sizeRelV>
        </wp:anchor>
      </w:drawing>
    </w:r>
    <w:r>
      <w:t xml:space="preserve"> </w:t>
    </w:r>
    <w:r>
      <w:tab/>
    </w:r>
    <w:r>
      <w:tab/>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E081C" w14:textId="77777777" w:rsidR="00683F56" w:rsidRDefault="00683F56" w:rsidP="00EF3DC4">
    <w:r w:rsidRPr="00D62D1E">
      <w:rPr>
        <w:noProof/>
        <w:lang w:val="en-AU" w:eastAsia="en-AU"/>
      </w:rPr>
      <w:drawing>
        <wp:anchor distT="0" distB="0" distL="114300" distR="114300" simplePos="0" relativeHeight="251657728" behindDoc="1" locked="0" layoutInCell="1" allowOverlap="1" wp14:anchorId="23A2B615" wp14:editId="60EB615B">
          <wp:simplePos x="0" y="0"/>
          <wp:positionH relativeFrom="page">
            <wp:posOffset>0</wp:posOffset>
          </wp:positionH>
          <wp:positionV relativeFrom="page">
            <wp:posOffset>20569</wp:posOffset>
          </wp:positionV>
          <wp:extent cx="7560000" cy="923661"/>
          <wp:effectExtent l="0" t="0" r="0" b="0"/>
          <wp:wrapNone/>
          <wp:docPr id="13" name="Picture 1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ue 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92366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062BB"/>
    <w:multiLevelType w:val="hybridMultilevel"/>
    <w:tmpl w:val="F0048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2A765B"/>
    <w:multiLevelType w:val="hybridMultilevel"/>
    <w:tmpl w:val="BDD06E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2D18DD"/>
    <w:multiLevelType w:val="hybridMultilevel"/>
    <w:tmpl w:val="F3164B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EE74BC"/>
    <w:multiLevelType w:val="hybridMultilevel"/>
    <w:tmpl w:val="5B0422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1587D5F"/>
    <w:multiLevelType w:val="hybridMultilevel"/>
    <w:tmpl w:val="8C92284E"/>
    <w:lvl w:ilvl="0" w:tplc="27A2D824">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2DE0939"/>
    <w:multiLevelType w:val="hybridMultilevel"/>
    <w:tmpl w:val="EA126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CF2AA6"/>
    <w:multiLevelType w:val="hybridMultilevel"/>
    <w:tmpl w:val="B4B287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DA1710"/>
    <w:multiLevelType w:val="hybridMultilevel"/>
    <w:tmpl w:val="0DC46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C84434"/>
    <w:multiLevelType w:val="hybridMultilevel"/>
    <w:tmpl w:val="67382A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F6D44C2"/>
    <w:multiLevelType w:val="hybridMultilevel"/>
    <w:tmpl w:val="F6ACE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456FFD"/>
    <w:multiLevelType w:val="multilevel"/>
    <w:tmpl w:val="E18C6278"/>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360"/>
        </w:tabs>
        <w:ind w:left="36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66B0EA1"/>
    <w:multiLevelType w:val="hybridMultilevel"/>
    <w:tmpl w:val="D1EE2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CE18E4"/>
    <w:multiLevelType w:val="hybridMultilevel"/>
    <w:tmpl w:val="27E250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24E0795"/>
    <w:multiLevelType w:val="hybridMultilevel"/>
    <w:tmpl w:val="089EEF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394792B"/>
    <w:multiLevelType w:val="hybridMultilevel"/>
    <w:tmpl w:val="5F48E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3539F5"/>
    <w:multiLevelType w:val="hybridMultilevel"/>
    <w:tmpl w:val="6BB6C3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89E405A"/>
    <w:multiLevelType w:val="hybridMultilevel"/>
    <w:tmpl w:val="128A8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AE0D5D"/>
    <w:multiLevelType w:val="hybridMultilevel"/>
    <w:tmpl w:val="C5722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0C169F"/>
    <w:multiLevelType w:val="hybridMultilevel"/>
    <w:tmpl w:val="2424C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ADA77B2"/>
    <w:multiLevelType w:val="hybridMultilevel"/>
    <w:tmpl w:val="6D06F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960BA0"/>
    <w:multiLevelType w:val="hybridMultilevel"/>
    <w:tmpl w:val="03F8C3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0985A25"/>
    <w:multiLevelType w:val="hybridMultilevel"/>
    <w:tmpl w:val="19E25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1BE521B"/>
    <w:multiLevelType w:val="hybridMultilevel"/>
    <w:tmpl w:val="3DD69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1FE63EA"/>
    <w:multiLevelType w:val="hybridMultilevel"/>
    <w:tmpl w:val="A66AB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24920EF"/>
    <w:multiLevelType w:val="hybridMultilevel"/>
    <w:tmpl w:val="F844E0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6074319"/>
    <w:multiLevelType w:val="hybridMultilevel"/>
    <w:tmpl w:val="915ACDD0"/>
    <w:lvl w:ilvl="0" w:tplc="A0BCD666">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0867346"/>
    <w:multiLevelType w:val="hybridMultilevel"/>
    <w:tmpl w:val="A9BAF8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2A13105"/>
    <w:multiLevelType w:val="hybridMultilevel"/>
    <w:tmpl w:val="F4DAD84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58DD5BBC"/>
    <w:multiLevelType w:val="hybridMultilevel"/>
    <w:tmpl w:val="2B4A3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DB77491"/>
    <w:multiLevelType w:val="hybridMultilevel"/>
    <w:tmpl w:val="3FC0FC3E"/>
    <w:lvl w:ilvl="0" w:tplc="9B50CBB2">
      <w:start w:val="1"/>
      <w:numFmt w:val="bullet"/>
      <w:pStyle w:val="Agbulletlis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D64EDF"/>
    <w:multiLevelType w:val="hybridMultilevel"/>
    <w:tmpl w:val="14566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11E65B7"/>
    <w:multiLevelType w:val="hybridMultilevel"/>
    <w:tmpl w:val="F5C2A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224158C"/>
    <w:multiLevelType w:val="hybridMultilevel"/>
    <w:tmpl w:val="7AEAD0D4"/>
    <w:lvl w:ilvl="0" w:tplc="1EDC2346">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743D27E4"/>
    <w:multiLevelType w:val="hybridMultilevel"/>
    <w:tmpl w:val="120C9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6B9576D"/>
    <w:multiLevelType w:val="hybridMultilevel"/>
    <w:tmpl w:val="64BACB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AD54D5"/>
    <w:multiLevelType w:val="hybridMultilevel"/>
    <w:tmpl w:val="FB0A56D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B89158F"/>
    <w:multiLevelType w:val="hybridMultilevel"/>
    <w:tmpl w:val="AB5A1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C936658"/>
    <w:multiLevelType w:val="hybridMultilevel"/>
    <w:tmpl w:val="FBFA4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270490"/>
    <w:multiLevelType w:val="hybridMultilevel"/>
    <w:tmpl w:val="4EDA8874"/>
    <w:lvl w:ilvl="0" w:tplc="311209B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9"/>
  </w:num>
  <w:num w:numId="2">
    <w:abstractNumId w:val="10"/>
  </w:num>
  <w:num w:numId="3">
    <w:abstractNumId w:val="5"/>
  </w:num>
  <w:num w:numId="4">
    <w:abstractNumId w:val="3"/>
  </w:num>
  <w:num w:numId="5">
    <w:abstractNumId w:val="0"/>
  </w:num>
  <w:num w:numId="6">
    <w:abstractNumId w:val="23"/>
  </w:num>
  <w:num w:numId="7">
    <w:abstractNumId w:val="26"/>
  </w:num>
  <w:num w:numId="8">
    <w:abstractNumId w:val="20"/>
  </w:num>
  <w:num w:numId="9">
    <w:abstractNumId w:val="28"/>
  </w:num>
  <w:num w:numId="10">
    <w:abstractNumId w:val="21"/>
  </w:num>
  <w:num w:numId="11">
    <w:abstractNumId w:val="24"/>
  </w:num>
  <w:num w:numId="12">
    <w:abstractNumId w:val="31"/>
  </w:num>
  <w:num w:numId="13">
    <w:abstractNumId w:val="19"/>
  </w:num>
  <w:num w:numId="14">
    <w:abstractNumId w:val="13"/>
  </w:num>
  <w:num w:numId="15">
    <w:abstractNumId w:val="2"/>
  </w:num>
  <w:num w:numId="16">
    <w:abstractNumId w:val="8"/>
  </w:num>
  <w:num w:numId="17">
    <w:abstractNumId w:val="15"/>
  </w:num>
  <w:num w:numId="18">
    <w:abstractNumId w:val="14"/>
  </w:num>
  <w:num w:numId="19">
    <w:abstractNumId w:val="7"/>
  </w:num>
  <w:num w:numId="20">
    <w:abstractNumId w:val="12"/>
  </w:num>
  <w:num w:numId="21">
    <w:abstractNumId w:val="32"/>
  </w:num>
  <w:num w:numId="22">
    <w:abstractNumId w:val="4"/>
  </w:num>
  <w:num w:numId="23">
    <w:abstractNumId w:val="30"/>
  </w:num>
  <w:num w:numId="24">
    <w:abstractNumId w:val="34"/>
  </w:num>
  <w:num w:numId="25">
    <w:abstractNumId w:val="17"/>
  </w:num>
  <w:num w:numId="26">
    <w:abstractNumId w:val="16"/>
  </w:num>
  <w:num w:numId="27">
    <w:abstractNumId w:val="22"/>
  </w:num>
  <w:num w:numId="28">
    <w:abstractNumId w:val="1"/>
  </w:num>
  <w:num w:numId="29">
    <w:abstractNumId w:val="25"/>
  </w:num>
  <w:num w:numId="30">
    <w:abstractNumId w:val="25"/>
    <w:lvlOverride w:ilvl="0">
      <w:startOverride w:val="1"/>
    </w:lvlOverride>
  </w:num>
  <w:num w:numId="31">
    <w:abstractNumId w:val="33"/>
  </w:num>
  <w:num w:numId="32">
    <w:abstractNumId w:val="6"/>
  </w:num>
  <w:num w:numId="33">
    <w:abstractNumId w:val="18"/>
  </w:num>
  <w:num w:numId="34">
    <w:abstractNumId w:val="37"/>
  </w:num>
  <w:num w:numId="35">
    <w:abstractNumId w:val="9"/>
  </w:num>
  <w:num w:numId="36">
    <w:abstractNumId w:val="35"/>
  </w:num>
  <w:num w:numId="37">
    <w:abstractNumId w:val="36"/>
  </w:num>
  <w:num w:numId="38">
    <w:abstractNumId w:val="11"/>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AU" w:vendorID="64" w:dllVersion="6" w:nlCheck="1" w:checkStyle="0"/>
  <w:activeWritingStyle w:appName="MSWord" w:lang="en-GB" w:vendorID="64" w:dllVersion="6" w:nlCheck="1" w:checkStyle="0"/>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BBA"/>
    <w:rsid w:val="00003115"/>
    <w:rsid w:val="00012D6E"/>
    <w:rsid w:val="00014896"/>
    <w:rsid w:val="00016C58"/>
    <w:rsid w:val="0002139C"/>
    <w:rsid w:val="0002784E"/>
    <w:rsid w:val="00027BC5"/>
    <w:rsid w:val="0003367D"/>
    <w:rsid w:val="000356FF"/>
    <w:rsid w:val="00036AD5"/>
    <w:rsid w:val="00044589"/>
    <w:rsid w:val="00046AE4"/>
    <w:rsid w:val="00050580"/>
    <w:rsid w:val="00051354"/>
    <w:rsid w:val="00051E50"/>
    <w:rsid w:val="00052C72"/>
    <w:rsid w:val="000552D3"/>
    <w:rsid w:val="00055C19"/>
    <w:rsid w:val="0005632E"/>
    <w:rsid w:val="00057228"/>
    <w:rsid w:val="000606B7"/>
    <w:rsid w:val="000630B0"/>
    <w:rsid w:val="000718A2"/>
    <w:rsid w:val="00073DE7"/>
    <w:rsid w:val="00082A8C"/>
    <w:rsid w:val="00083990"/>
    <w:rsid w:val="000846B8"/>
    <w:rsid w:val="000874FA"/>
    <w:rsid w:val="00090B99"/>
    <w:rsid w:val="000A1E4C"/>
    <w:rsid w:val="000A399E"/>
    <w:rsid w:val="000A59DB"/>
    <w:rsid w:val="000B3FA6"/>
    <w:rsid w:val="000B4A86"/>
    <w:rsid w:val="000B517A"/>
    <w:rsid w:val="000C2684"/>
    <w:rsid w:val="000C35AB"/>
    <w:rsid w:val="000D6841"/>
    <w:rsid w:val="000E5BE0"/>
    <w:rsid w:val="000E778A"/>
    <w:rsid w:val="00104225"/>
    <w:rsid w:val="00105A60"/>
    <w:rsid w:val="0011597C"/>
    <w:rsid w:val="001251F3"/>
    <w:rsid w:val="001323E0"/>
    <w:rsid w:val="00133657"/>
    <w:rsid w:val="00134A89"/>
    <w:rsid w:val="001419A2"/>
    <w:rsid w:val="001508EB"/>
    <w:rsid w:val="00152232"/>
    <w:rsid w:val="001553C7"/>
    <w:rsid w:val="00155442"/>
    <w:rsid w:val="00156B05"/>
    <w:rsid w:val="00165316"/>
    <w:rsid w:val="001666BD"/>
    <w:rsid w:val="00171DBA"/>
    <w:rsid w:val="001731CD"/>
    <w:rsid w:val="00180122"/>
    <w:rsid w:val="00180AE6"/>
    <w:rsid w:val="0018330C"/>
    <w:rsid w:val="00183402"/>
    <w:rsid w:val="00183566"/>
    <w:rsid w:val="00187B6A"/>
    <w:rsid w:val="00190226"/>
    <w:rsid w:val="0019030A"/>
    <w:rsid w:val="0019645A"/>
    <w:rsid w:val="001A0AFC"/>
    <w:rsid w:val="001A3107"/>
    <w:rsid w:val="001A682A"/>
    <w:rsid w:val="001B4221"/>
    <w:rsid w:val="001B4DC1"/>
    <w:rsid w:val="001B5B71"/>
    <w:rsid w:val="001C3F77"/>
    <w:rsid w:val="001D08F1"/>
    <w:rsid w:val="001D4A7B"/>
    <w:rsid w:val="001D7E60"/>
    <w:rsid w:val="001E0075"/>
    <w:rsid w:val="001E2FB3"/>
    <w:rsid w:val="001E3A2C"/>
    <w:rsid w:val="001E5575"/>
    <w:rsid w:val="001F254A"/>
    <w:rsid w:val="001F2F2C"/>
    <w:rsid w:val="002006E7"/>
    <w:rsid w:val="00202E7B"/>
    <w:rsid w:val="002052A9"/>
    <w:rsid w:val="0021542E"/>
    <w:rsid w:val="00216223"/>
    <w:rsid w:val="00220361"/>
    <w:rsid w:val="0022131B"/>
    <w:rsid w:val="00230934"/>
    <w:rsid w:val="00234ED2"/>
    <w:rsid w:val="00236B92"/>
    <w:rsid w:val="0024024F"/>
    <w:rsid w:val="00241740"/>
    <w:rsid w:val="00245FAC"/>
    <w:rsid w:val="00246DD8"/>
    <w:rsid w:val="00252B04"/>
    <w:rsid w:val="002548D8"/>
    <w:rsid w:val="002553EB"/>
    <w:rsid w:val="00256A0C"/>
    <w:rsid w:val="00256D31"/>
    <w:rsid w:val="00257C7B"/>
    <w:rsid w:val="00275313"/>
    <w:rsid w:val="00275730"/>
    <w:rsid w:val="00292976"/>
    <w:rsid w:val="002A18BE"/>
    <w:rsid w:val="002A1E5E"/>
    <w:rsid w:val="002A23AC"/>
    <w:rsid w:val="002A7641"/>
    <w:rsid w:val="002B0C9A"/>
    <w:rsid w:val="002B4FAB"/>
    <w:rsid w:val="002C1315"/>
    <w:rsid w:val="002D078C"/>
    <w:rsid w:val="002D25FD"/>
    <w:rsid w:val="002D39CD"/>
    <w:rsid w:val="002E1FE0"/>
    <w:rsid w:val="002E3701"/>
    <w:rsid w:val="002E3D94"/>
    <w:rsid w:val="002F52EF"/>
    <w:rsid w:val="00306B4E"/>
    <w:rsid w:val="00310888"/>
    <w:rsid w:val="00314973"/>
    <w:rsid w:val="00317F49"/>
    <w:rsid w:val="00320857"/>
    <w:rsid w:val="00320B43"/>
    <w:rsid w:val="00321656"/>
    <w:rsid w:val="00321D5A"/>
    <w:rsid w:val="00321F07"/>
    <w:rsid w:val="00323B2F"/>
    <w:rsid w:val="00326A4E"/>
    <w:rsid w:val="00335A22"/>
    <w:rsid w:val="00335B30"/>
    <w:rsid w:val="00336FEF"/>
    <w:rsid w:val="00340C5D"/>
    <w:rsid w:val="00340F74"/>
    <w:rsid w:val="0034462E"/>
    <w:rsid w:val="003464EE"/>
    <w:rsid w:val="003509D8"/>
    <w:rsid w:val="00353A1E"/>
    <w:rsid w:val="00360160"/>
    <w:rsid w:val="003602B9"/>
    <w:rsid w:val="00361248"/>
    <w:rsid w:val="0036138F"/>
    <w:rsid w:val="00361C3B"/>
    <w:rsid w:val="00362A62"/>
    <w:rsid w:val="0036404E"/>
    <w:rsid w:val="00365801"/>
    <w:rsid w:val="003735E5"/>
    <w:rsid w:val="003742F4"/>
    <w:rsid w:val="00374F04"/>
    <w:rsid w:val="003765D9"/>
    <w:rsid w:val="003857DD"/>
    <w:rsid w:val="00390C50"/>
    <w:rsid w:val="00397B9B"/>
    <w:rsid w:val="003A0AFB"/>
    <w:rsid w:val="003A0C46"/>
    <w:rsid w:val="003A2768"/>
    <w:rsid w:val="003A36A6"/>
    <w:rsid w:val="003A37D3"/>
    <w:rsid w:val="003A63C5"/>
    <w:rsid w:val="003B2923"/>
    <w:rsid w:val="003B2984"/>
    <w:rsid w:val="003B6573"/>
    <w:rsid w:val="003B79F8"/>
    <w:rsid w:val="003B7E9D"/>
    <w:rsid w:val="003C2430"/>
    <w:rsid w:val="003C2E56"/>
    <w:rsid w:val="003C4A74"/>
    <w:rsid w:val="003C4AC9"/>
    <w:rsid w:val="003D032C"/>
    <w:rsid w:val="003D455A"/>
    <w:rsid w:val="003D6042"/>
    <w:rsid w:val="003D78F9"/>
    <w:rsid w:val="003E09AA"/>
    <w:rsid w:val="003E0A4E"/>
    <w:rsid w:val="003E44F2"/>
    <w:rsid w:val="003E52E2"/>
    <w:rsid w:val="003E59BC"/>
    <w:rsid w:val="003E59F9"/>
    <w:rsid w:val="003E7BC5"/>
    <w:rsid w:val="003F24C6"/>
    <w:rsid w:val="003F5177"/>
    <w:rsid w:val="003F7CC8"/>
    <w:rsid w:val="00400D2F"/>
    <w:rsid w:val="00403238"/>
    <w:rsid w:val="00403479"/>
    <w:rsid w:val="00413323"/>
    <w:rsid w:val="00416217"/>
    <w:rsid w:val="00427147"/>
    <w:rsid w:val="00427683"/>
    <w:rsid w:val="00432570"/>
    <w:rsid w:val="00435444"/>
    <w:rsid w:val="00436A65"/>
    <w:rsid w:val="00442DD4"/>
    <w:rsid w:val="00445648"/>
    <w:rsid w:val="004476CC"/>
    <w:rsid w:val="00454A9A"/>
    <w:rsid w:val="00474035"/>
    <w:rsid w:val="00474925"/>
    <w:rsid w:val="0047692D"/>
    <w:rsid w:val="00476B0A"/>
    <w:rsid w:val="0047725E"/>
    <w:rsid w:val="00480133"/>
    <w:rsid w:val="00480CAB"/>
    <w:rsid w:val="00482712"/>
    <w:rsid w:val="004934BB"/>
    <w:rsid w:val="0049408B"/>
    <w:rsid w:val="0049408D"/>
    <w:rsid w:val="00496971"/>
    <w:rsid w:val="004A2968"/>
    <w:rsid w:val="004C3FD9"/>
    <w:rsid w:val="004C5EE1"/>
    <w:rsid w:val="004D363F"/>
    <w:rsid w:val="004D59A9"/>
    <w:rsid w:val="004D72C1"/>
    <w:rsid w:val="004E080B"/>
    <w:rsid w:val="004E0ECF"/>
    <w:rsid w:val="004E1B1A"/>
    <w:rsid w:val="004E39BC"/>
    <w:rsid w:val="004E70FF"/>
    <w:rsid w:val="00502210"/>
    <w:rsid w:val="005112C2"/>
    <w:rsid w:val="00513553"/>
    <w:rsid w:val="00515FAE"/>
    <w:rsid w:val="0051693B"/>
    <w:rsid w:val="00524930"/>
    <w:rsid w:val="0053796C"/>
    <w:rsid w:val="00545C35"/>
    <w:rsid w:val="00546D79"/>
    <w:rsid w:val="00547D02"/>
    <w:rsid w:val="005536D0"/>
    <w:rsid w:val="00553BD2"/>
    <w:rsid w:val="00555C25"/>
    <w:rsid w:val="00557248"/>
    <w:rsid w:val="00561F5C"/>
    <w:rsid w:val="005715B8"/>
    <w:rsid w:val="00575A4A"/>
    <w:rsid w:val="00576501"/>
    <w:rsid w:val="005860EA"/>
    <w:rsid w:val="00590E4A"/>
    <w:rsid w:val="005A0417"/>
    <w:rsid w:val="005A7624"/>
    <w:rsid w:val="005C02FB"/>
    <w:rsid w:val="005C114F"/>
    <w:rsid w:val="005C2141"/>
    <w:rsid w:val="005C796A"/>
    <w:rsid w:val="005D03EC"/>
    <w:rsid w:val="005D35C4"/>
    <w:rsid w:val="005D37DA"/>
    <w:rsid w:val="005D54E4"/>
    <w:rsid w:val="005D6D23"/>
    <w:rsid w:val="005D735D"/>
    <w:rsid w:val="005E07E2"/>
    <w:rsid w:val="005E20B5"/>
    <w:rsid w:val="005F1030"/>
    <w:rsid w:val="005F4E8D"/>
    <w:rsid w:val="0060282C"/>
    <w:rsid w:val="0060423F"/>
    <w:rsid w:val="006109A7"/>
    <w:rsid w:val="00611276"/>
    <w:rsid w:val="00611D5A"/>
    <w:rsid w:val="00612BE6"/>
    <w:rsid w:val="00624BBC"/>
    <w:rsid w:val="006308F2"/>
    <w:rsid w:val="006311E4"/>
    <w:rsid w:val="00632C8A"/>
    <w:rsid w:val="00635104"/>
    <w:rsid w:val="006351F3"/>
    <w:rsid w:val="006356E9"/>
    <w:rsid w:val="006374C7"/>
    <w:rsid w:val="00641571"/>
    <w:rsid w:val="006428E5"/>
    <w:rsid w:val="00651678"/>
    <w:rsid w:val="006520CA"/>
    <w:rsid w:val="006522BA"/>
    <w:rsid w:val="00660651"/>
    <w:rsid w:val="0066292A"/>
    <w:rsid w:val="0066446A"/>
    <w:rsid w:val="0066480C"/>
    <w:rsid w:val="00667D31"/>
    <w:rsid w:val="00673BBA"/>
    <w:rsid w:val="00683F56"/>
    <w:rsid w:val="00685562"/>
    <w:rsid w:val="00694091"/>
    <w:rsid w:val="0069678D"/>
    <w:rsid w:val="00696867"/>
    <w:rsid w:val="00696FE6"/>
    <w:rsid w:val="006A460D"/>
    <w:rsid w:val="006A6409"/>
    <w:rsid w:val="006A6919"/>
    <w:rsid w:val="006B2EB0"/>
    <w:rsid w:val="006B48B3"/>
    <w:rsid w:val="006B72E9"/>
    <w:rsid w:val="006C4A0D"/>
    <w:rsid w:val="006C7EC4"/>
    <w:rsid w:val="006D01AB"/>
    <w:rsid w:val="006D07C3"/>
    <w:rsid w:val="006D1123"/>
    <w:rsid w:val="006D139C"/>
    <w:rsid w:val="006D34D2"/>
    <w:rsid w:val="006E15BB"/>
    <w:rsid w:val="006E276F"/>
    <w:rsid w:val="006F161D"/>
    <w:rsid w:val="006F7A74"/>
    <w:rsid w:val="007041EA"/>
    <w:rsid w:val="00705A16"/>
    <w:rsid w:val="007148AF"/>
    <w:rsid w:val="007155E2"/>
    <w:rsid w:val="00715C67"/>
    <w:rsid w:val="007211CE"/>
    <w:rsid w:val="007219EC"/>
    <w:rsid w:val="00722CED"/>
    <w:rsid w:val="0072525E"/>
    <w:rsid w:val="00727CBE"/>
    <w:rsid w:val="00735407"/>
    <w:rsid w:val="0073577E"/>
    <w:rsid w:val="00740579"/>
    <w:rsid w:val="0074385E"/>
    <w:rsid w:val="00747D9B"/>
    <w:rsid w:val="0075230C"/>
    <w:rsid w:val="0075268B"/>
    <w:rsid w:val="007548AD"/>
    <w:rsid w:val="0076002F"/>
    <w:rsid w:val="0076187E"/>
    <w:rsid w:val="00763A68"/>
    <w:rsid w:val="007644DB"/>
    <w:rsid w:val="00766B44"/>
    <w:rsid w:val="007704AA"/>
    <w:rsid w:val="0077319E"/>
    <w:rsid w:val="00775C11"/>
    <w:rsid w:val="00777883"/>
    <w:rsid w:val="00787734"/>
    <w:rsid w:val="00787BF9"/>
    <w:rsid w:val="00792085"/>
    <w:rsid w:val="00793067"/>
    <w:rsid w:val="00794AC1"/>
    <w:rsid w:val="0079590B"/>
    <w:rsid w:val="007C4BFB"/>
    <w:rsid w:val="007C7062"/>
    <w:rsid w:val="007E1011"/>
    <w:rsid w:val="007E1DBF"/>
    <w:rsid w:val="007E2546"/>
    <w:rsid w:val="007F443B"/>
    <w:rsid w:val="007F610A"/>
    <w:rsid w:val="00804434"/>
    <w:rsid w:val="008244FF"/>
    <w:rsid w:val="008272FE"/>
    <w:rsid w:val="008279BF"/>
    <w:rsid w:val="00833E2D"/>
    <w:rsid w:val="008341FC"/>
    <w:rsid w:val="00843C54"/>
    <w:rsid w:val="008449A6"/>
    <w:rsid w:val="0084725A"/>
    <w:rsid w:val="0086129D"/>
    <w:rsid w:val="00862FC4"/>
    <w:rsid w:val="00864021"/>
    <w:rsid w:val="008650FD"/>
    <w:rsid w:val="0087252A"/>
    <w:rsid w:val="00876D46"/>
    <w:rsid w:val="00880A0D"/>
    <w:rsid w:val="00884730"/>
    <w:rsid w:val="00885395"/>
    <w:rsid w:val="00886DB5"/>
    <w:rsid w:val="00887F4C"/>
    <w:rsid w:val="0089048D"/>
    <w:rsid w:val="00892E8E"/>
    <w:rsid w:val="00893465"/>
    <w:rsid w:val="00893511"/>
    <w:rsid w:val="00894728"/>
    <w:rsid w:val="008954B2"/>
    <w:rsid w:val="008A4F75"/>
    <w:rsid w:val="008B1685"/>
    <w:rsid w:val="008B5F0A"/>
    <w:rsid w:val="008B72EB"/>
    <w:rsid w:val="008B7B9E"/>
    <w:rsid w:val="008C17D4"/>
    <w:rsid w:val="008C1C75"/>
    <w:rsid w:val="008C1E1C"/>
    <w:rsid w:val="008C2CA8"/>
    <w:rsid w:val="008C3756"/>
    <w:rsid w:val="008C5966"/>
    <w:rsid w:val="008D04F6"/>
    <w:rsid w:val="008D2A20"/>
    <w:rsid w:val="008D2D19"/>
    <w:rsid w:val="008D5A4D"/>
    <w:rsid w:val="008E1C8A"/>
    <w:rsid w:val="008E46C1"/>
    <w:rsid w:val="008E7AAA"/>
    <w:rsid w:val="009033E2"/>
    <w:rsid w:val="00907CC3"/>
    <w:rsid w:val="00912C18"/>
    <w:rsid w:val="009133CC"/>
    <w:rsid w:val="00922B91"/>
    <w:rsid w:val="00931031"/>
    <w:rsid w:val="009310F4"/>
    <w:rsid w:val="009314C2"/>
    <w:rsid w:val="0093666F"/>
    <w:rsid w:val="00942203"/>
    <w:rsid w:val="00946757"/>
    <w:rsid w:val="00947BC4"/>
    <w:rsid w:val="0095365F"/>
    <w:rsid w:val="00954901"/>
    <w:rsid w:val="009558E8"/>
    <w:rsid w:val="00957B50"/>
    <w:rsid w:val="009620FD"/>
    <w:rsid w:val="009640A6"/>
    <w:rsid w:val="00965F52"/>
    <w:rsid w:val="009666E6"/>
    <w:rsid w:val="00970F06"/>
    <w:rsid w:val="00976BDB"/>
    <w:rsid w:val="00980445"/>
    <w:rsid w:val="009824D5"/>
    <w:rsid w:val="00985ECD"/>
    <w:rsid w:val="00991E4D"/>
    <w:rsid w:val="009940FD"/>
    <w:rsid w:val="00995D97"/>
    <w:rsid w:val="009A4DE5"/>
    <w:rsid w:val="009A6C18"/>
    <w:rsid w:val="009B1F87"/>
    <w:rsid w:val="009B378D"/>
    <w:rsid w:val="009B38E4"/>
    <w:rsid w:val="009B772C"/>
    <w:rsid w:val="009C32B8"/>
    <w:rsid w:val="009D12D5"/>
    <w:rsid w:val="009D2F90"/>
    <w:rsid w:val="009D4003"/>
    <w:rsid w:val="009D6336"/>
    <w:rsid w:val="009E0ABE"/>
    <w:rsid w:val="009E7D63"/>
    <w:rsid w:val="009F183A"/>
    <w:rsid w:val="009F417F"/>
    <w:rsid w:val="00A00ED9"/>
    <w:rsid w:val="00A1528A"/>
    <w:rsid w:val="00A16950"/>
    <w:rsid w:val="00A21D4D"/>
    <w:rsid w:val="00A248F8"/>
    <w:rsid w:val="00A26ED8"/>
    <w:rsid w:val="00A314C5"/>
    <w:rsid w:val="00A3413C"/>
    <w:rsid w:val="00A428E4"/>
    <w:rsid w:val="00A43B8B"/>
    <w:rsid w:val="00A446FE"/>
    <w:rsid w:val="00A45370"/>
    <w:rsid w:val="00A45FBB"/>
    <w:rsid w:val="00A464C9"/>
    <w:rsid w:val="00A47C38"/>
    <w:rsid w:val="00A57DE0"/>
    <w:rsid w:val="00A70375"/>
    <w:rsid w:val="00A81141"/>
    <w:rsid w:val="00A82BE5"/>
    <w:rsid w:val="00A93FB6"/>
    <w:rsid w:val="00A951C4"/>
    <w:rsid w:val="00A96D38"/>
    <w:rsid w:val="00A97653"/>
    <w:rsid w:val="00AA1340"/>
    <w:rsid w:val="00AA1FB5"/>
    <w:rsid w:val="00AA4FB8"/>
    <w:rsid w:val="00AB43AE"/>
    <w:rsid w:val="00AB7D71"/>
    <w:rsid w:val="00AC290B"/>
    <w:rsid w:val="00AC5C82"/>
    <w:rsid w:val="00AC6275"/>
    <w:rsid w:val="00AD238F"/>
    <w:rsid w:val="00AD4FDE"/>
    <w:rsid w:val="00AE11C4"/>
    <w:rsid w:val="00AE74A2"/>
    <w:rsid w:val="00AE78E9"/>
    <w:rsid w:val="00AF3E38"/>
    <w:rsid w:val="00AF6E70"/>
    <w:rsid w:val="00AF74C3"/>
    <w:rsid w:val="00B005F4"/>
    <w:rsid w:val="00B01201"/>
    <w:rsid w:val="00B10BAF"/>
    <w:rsid w:val="00B1294A"/>
    <w:rsid w:val="00B179B3"/>
    <w:rsid w:val="00B20BE4"/>
    <w:rsid w:val="00B216E1"/>
    <w:rsid w:val="00B22CC9"/>
    <w:rsid w:val="00B276B8"/>
    <w:rsid w:val="00B339F5"/>
    <w:rsid w:val="00B347F1"/>
    <w:rsid w:val="00B3556C"/>
    <w:rsid w:val="00B42EDF"/>
    <w:rsid w:val="00B43DB8"/>
    <w:rsid w:val="00B47936"/>
    <w:rsid w:val="00B514E1"/>
    <w:rsid w:val="00B53170"/>
    <w:rsid w:val="00B53A8D"/>
    <w:rsid w:val="00B545BF"/>
    <w:rsid w:val="00B54F13"/>
    <w:rsid w:val="00B552B0"/>
    <w:rsid w:val="00B5588E"/>
    <w:rsid w:val="00B56388"/>
    <w:rsid w:val="00B7237F"/>
    <w:rsid w:val="00B729C4"/>
    <w:rsid w:val="00B76265"/>
    <w:rsid w:val="00B84BB9"/>
    <w:rsid w:val="00B97F08"/>
    <w:rsid w:val="00BA3E0A"/>
    <w:rsid w:val="00BA574E"/>
    <w:rsid w:val="00BB2E70"/>
    <w:rsid w:val="00BB413C"/>
    <w:rsid w:val="00BB4980"/>
    <w:rsid w:val="00BB57CD"/>
    <w:rsid w:val="00BB5DE8"/>
    <w:rsid w:val="00BB6B59"/>
    <w:rsid w:val="00BC3A03"/>
    <w:rsid w:val="00BC7343"/>
    <w:rsid w:val="00BD16EE"/>
    <w:rsid w:val="00BD58AD"/>
    <w:rsid w:val="00BD601F"/>
    <w:rsid w:val="00BE3186"/>
    <w:rsid w:val="00BE5EC1"/>
    <w:rsid w:val="00BE5FC4"/>
    <w:rsid w:val="00BF211C"/>
    <w:rsid w:val="00BF224F"/>
    <w:rsid w:val="00BF5646"/>
    <w:rsid w:val="00BF6DD2"/>
    <w:rsid w:val="00C01CFE"/>
    <w:rsid w:val="00C058C4"/>
    <w:rsid w:val="00C05F27"/>
    <w:rsid w:val="00C07E26"/>
    <w:rsid w:val="00C1114D"/>
    <w:rsid w:val="00C14E78"/>
    <w:rsid w:val="00C202B4"/>
    <w:rsid w:val="00C2162B"/>
    <w:rsid w:val="00C21C0E"/>
    <w:rsid w:val="00C27F16"/>
    <w:rsid w:val="00C41178"/>
    <w:rsid w:val="00C41ADF"/>
    <w:rsid w:val="00C433B1"/>
    <w:rsid w:val="00C44299"/>
    <w:rsid w:val="00C451A2"/>
    <w:rsid w:val="00C45B22"/>
    <w:rsid w:val="00C614F7"/>
    <w:rsid w:val="00C6675C"/>
    <w:rsid w:val="00C674C2"/>
    <w:rsid w:val="00C73391"/>
    <w:rsid w:val="00C80B1B"/>
    <w:rsid w:val="00C84680"/>
    <w:rsid w:val="00C85827"/>
    <w:rsid w:val="00C86A07"/>
    <w:rsid w:val="00C917FC"/>
    <w:rsid w:val="00C91A6C"/>
    <w:rsid w:val="00C91B73"/>
    <w:rsid w:val="00C921A4"/>
    <w:rsid w:val="00C9406D"/>
    <w:rsid w:val="00C96756"/>
    <w:rsid w:val="00CA2493"/>
    <w:rsid w:val="00CA4219"/>
    <w:rsid w:val="00CA63CF"/>
    <w:rsid w:val="00CA6803"/>
    <w:rsid w:val="00CA7A6F"/>
    <w:rsid w:val="00CB09F8"/>
    <w:rsid w:val="00CB185A"/>
    <w:rsid w:val="00CB2062"/>
    <w:rsid w:val="00CB2C4C"/>
    <w:rsid w:val="00CC6379"/>
    <w:rsid w:val="00CC6E7E"/>
    <w:rsid w:val="00CD0EC4"/>
    <w:rsid w:val="00CD19AA"/>
    <w:rsid w:val="00CD42E6"/>
    <w:rsid w:val="00CD566D"/>
    <w:rsid w:val="00CD78B6"/>
    <w:rsid w:val="00CE3205"/>
    <w:rsid w:val="00CF0624"/>
    <w:rsid w:val="00CF12E5"/>
    <w:rsid w:val="00CF1FD4"/>
    <w:rsid w:val="00CF4171"/>
    <w:rsid w:val="00CF54FB"/>
    <w:rsid w:val="00CF7967"/>
    <w:rsid w:val="00D13677"/>
    <w:rsid w:val="00D14AB7"/>
    <w:rsid w:val="00D33A77"/>
    <w:rsid w:val="00D35680"/>
    <w:rsid w:val="00D35FD8"/>
    <w:rsid w:val="00D37D86"/>
    <w:rsid w:val="00D40175"/>
    <w:rsid w:val="00D40B63"/>
    <w:rsid w:val="00D41B38"/>
    <w:rsid w:val="00D452A9"/>
    <w:rsid w:val="00D46FC7"/>
    <w:rsid w:val="00D47C28"/>
    <w:rsid w:val="00D52E68"/>
    <w:rsid w:val="00D531AB"/>
    <w:rsid w:val="00D55D23"/>
    <w:rsid w:val="00D702FF"/>
    <w:rsid w:val="00D83641"/>
    <w:rsid w:val="00DA0A08"/>
    <w:rsid w:val="00DA25B5"/>
    <w:rsid w:val="00DA3A82"/>
    <w:rsid w:val="00DB2F53"/>
    <w:rsid w:val="00DB74B1"/>
    <w:rsid w:val="00DB7692"/>
    <w:rsid w:val="00DC3C90"/>
    <w:rsid w:val="00DC7BE4"/>
    <w:rsid w:val="00DD0402"/>
    <w:rsid w:val="00DD6F7B"/>
    <w:rsid w:val="00DE10E5"/>
    <w:rsid w:val="00DE1427"/>
    <w:rsid w:val="00DE18B6"/>
    <w:rsid w:val="00DE2CE3"/>
    <w:rsid w:val="00DE3092"/>
    <w:rsid w:val="00DE4095"/>
    <w:rsid w:val="00DE7F95"/>
    <w:rsid w:val="00DF00A6"/>
    <w:rsid w:val="00DF01D4"/>
    <w:rsid w:val="00DF17B4"/>
    <w:rsid w:val="00DF2FDB"/>
    <w:rsid w:val="00E01A73"/>
    <w:rsid w:val="00E04ED5"/>
    <w:rsid w:val="00E054A0"/>
    <w:rsid w:val="00E07648"/>
    <w:rsid w:val="00E104E6"/>
    <w:rsid w:val="00E1304A"/>
    <w:rsid w:val="00E176FC"/>
    <w:rsid w:val="00E17B3C"/>
    <w:rsid w:val="00E21EE4"/>
    <w:rsid w:val="00E25842"/>
    <w:rsid w:val="00E276EB"/>
    <w:rsid w:val="00E304F9"/>
    <w:rsid w:val="00E36B93"/>
    <w:rsid w:val="00E50131"/>
    <w:rsid w:val="00E55361"/>
    <w:rsid w:val="00E55A6E"/>
    <w:rsid w:val="00E55B1A"/>
    <w:rsid w:val="00E565FB"/>
    <w:rsid w:val="00E6773D"/>
    <w:rsid w:val="00E70138"/>
    <w:rsid w:val="00E713AB"/>
    <w:rsid w:val="00E71E41"/>
    <w:rsid w:val="00E756A5"/>
    <w:rsid w:val="00E77A50"/>
    <w:rsid w:val="00E833BA"/>
    <w:rsid w:val="00E836FB"/>
    <w:rsid w:val="00E86924"/>
    <w:rsid w:val="00E87876"/>
    <w:rsid w:val="00E92240"/>
    <w:rsid w:val="00E939D8"/>
    <w:rsid w:val="00E96F3D"/>
    <w:rsid w:val="00E9712D"/>
    <w:rsid w:val="00EA2186"/>
    <w:rsid w:val="00EC4025"/>
    <w:rsid w:val="00EC4DD0"/>
    <w:rsid w:val="00EC56EC"/>
    <w:rsid w:val="00ED7FA8"/>
    <w:rsid w:val="00EE1C8C"/>
    <w:rsid w:val="00EE272F"/>
    <w:rsid w:val="00EE73DA"/>
    <w:rsid w:val="00EF0A4C"/>
    <w:rsid w:val="00EF2146"/>
    <w:rsid w:val="00EF289A"/>
    <w:rsid w:val="00EF3DC4"/>
    <w:rsid w:val="00F032F5"/>
    <w:rsid w:val="00F043C4"/>
    <w:rsid w:val="00F0576B"/>
    <w:rsid w:val="00F069A0"/>
    <w:rsid w:val="00F06B3D"/>
    <w:rsid w:val="00F07D7A"/>
    <w:rsid w:val="00F100DA"/>
    <w:rsid w:val="00F1209E"/>
    <w:rsid w:val="00F12B7F"/>
    <w:rsid w:val="00F15010"/>
    <w:rsid w:val="00F21820"/>
    <w:rsid w:val="00F23444"/>
    <w:rsid w:val="00F2695F"/>
    <w:rsid w:val="00F349E7"/>
    <w:rsid w:val="00F42C67"/>
    <w:rsid w:val="00F42E65"/>
    <w:rsid w:val="00F50C94"/>
    <w:rsid w:val="00F50D74"/>
    <w:rsid w:val="00F53716"/>
    <w:rsid w:val="00F53A53"/>
    <w:rsid w:val="00F54008"/>
    <w:rsid w:val="00F564D5"/>
    <w:rsid w:val="00F60988"/>
    <w:rsid w:val="00F61504"/>
    <w:rsid w:val="00F61D13"/>
    <w:rsid w:val="00F62672"/>
    <w:rsid w:val="00F63690"/>
    <w:rsid w:val="00F6419D"/>
    <w:rsid w:val="00F7070A"/>
    <w:rsid w:val="00F7492C"/>
    <w:rsid w:val="00F80D4A"/>
    <w:rsid w:val="00F82D0C"/>
    <w:rsid w:val="00F841C6"/>
    <w:rsid w:val="00F84A40"/>
    <w:rsid w:val="00F87510"/>
    <w:rsid w:val="00F906CB"/>
    <w:rsid w:val="00FA5D66"/>
    <w:rsid w:val="00FC3B10"/>
    <w:rsid w:val="00FC7CEB"/>
    <w:rsid w:val="00FD3AD5"/>
    <w:rsid w:val="00FD4DA5"/>
    <w:rsid w:val="00FD777D"/>
    <w:rsid w:val="00FE010A"/>
    <w:rsid w:val="00FF084D"/>
    <w:rsid w:val="00FF6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78A74B64"/>
  <w15:docId w15:val="{2719EC46-571A-4919-A2D1-BB873E7C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84BB9"/>
    <w:pPr>
      <w:spacing w:after="120" w:line="220" w:lineRule="exact"/>
    </w:pPr>
    <w:rPr>
      <w:rFonts w:ascii="Arial" w:hAnsi="Arial" w:cs="VIC-SemiBold"/>
      <w:color w:val="000000" w:themeColor="text1"/>
      <w:sz w:val="18"/>
      <w:szCs w:val="52"/>
    </w:rPr>
  </w:style>
  <w:style w:type="paragraph" w:styleId="Heading1">
    <w:name w:val="heading 1"/>
    <w:basedOn w:val="Normal"/>
    <w:next w:val="Normal"/>
    <w:link w:val="Heading1Char"/>
    <w:uiPriority w:val="9"/>
    <w:qFormat/>
    <w:rsid w:val="00E01A73"/>
    <w:pPr>
      <w:spacing w:before="480" w:after="220"/>
      <w:outlineLvl w:val="0"/>
    </w:pPr>
    <w:rPr>
      <w:rFonts w:ascii="Calibri" w:hAnsi="Calibri"/>
      <w:b/>
      <w:bCs/>
      <w:caps/>
      <w:color w:val="4C7329"/>
      <w:sz w:val="28"/>
    </w:rPr>
  </w:style>
  <w:style w:type="paragraph" w:styleId="Heading2">
    <w:name w:val="heading 2"/>
    <w:basedOn w:val="Normal"/>
    <w:next w:val="Normal"/>
    <w:link w:val="Heading2Char"/>
    <w:uiPriority w:val="9"/>
    <w:unhideWhenUsed/>
    <w:qFormat/>
    <w:rsid w:val="00E01A73"/>
    <w:pPr>
      <w:numPr>
        <w:numId w:val="29"/>
      </w:numPr>
      <w:spacing w:before="360" w:after="80"/>
      <w:outlineLvl w:val="1"/>
    </w:pPr>
    <w:rPr>
      <w:b/>
      <w:color w:val="538135" w:themeColor="accent6" w:themeShade="BF"/>
      <w:sz w:val="24"/>
      <w:szCs w:val="18"/>
    </w:rPr>
  </w:style>
  <w:style w:type="paragraph" w:styleId="Heading3">
    <w:name w:val="heading 3"/>
    <w:basedOn w:val="Normal"/>
    <w:next w:val="Normal"/>
    <w:link w:val="Heading3Char"/>
    <w:uiPriority w:val="9"/>
    <w:unhideWhenUsed/>
    <w:qFormat/>
    <w:rsid w:val="00044589"/>
    <w:pPr>
      <w:spacing w:before="240" w:after="60" w:line="240" w:lineRule="auto"/>
      <w:outlineLvl w:val="2"/>
    </w:pPr>
    <w:rPr>
      <w:b/>
    </w:rPr>
  </w:style>
  <w:style w:type="paragraph" w:styleId="Heading6">
    <w:name w:val="heading 6"/>
    <w:basedOn w:val="Normal"/>
    <w:next w:val="Normal"/>
    <w:link w:val="Heading6Char"/>
    <w:uiPriority w:val="9"/>
    <w:unhideWhenUsed/>
    <w:qFormat/>
    <w:rsid w:val="00397B9B"/>
    <w:pPr>
      <w:keepNext/>
      <w:keepLines/>
      <w:spacing w:before="4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accessibilityheading">
    <w:name w:val="Ag accessibility heading"/>
    <w:basedOn w:val="Heading2"/>
    <w:qFormat/>
    <w:rsid w:val="00B84BB9"/>
    <w:pPr>
      <w:spacing w:before="120"/>
    </w:pPr>
  </w:style>
  <w:style w:type="character" w:customStyle="1" w:styleId="Heading1Char">
    <w:name w:val="Heading 1 Char"/>
    <w:basedOn w:val="DefaultParagraphFont"/>
    <w:link w:val="Heading1"/>
    <w:uiPriority w:val="9"/>
    <w:rsid w:val="00E01A73"/>
    <w:rPr>
      <w:rFonts w:ascii="Calibri" w:hAnsi="Calibri" w:cs="VIC-SemiBold"/>
      <w:b/>
      <w:bCs/>
      <w:caps/>
      <w:color w:val="4C7329"/>
      <w:sz w:val="28"/>
      <w:szCs w:val="52"/>
    </w:rPr>
  </w:style>
  <w:style w:type="character" w:customStyle="1" w:styleId="Heading9Char">
    <w:name w:val="Heading 9 Char"/>
    <w:basedOn w:val="DefaultParagraphFont"/>
    <w:link w:val="Heading9"/>
    <w:uiPriority w:val="9"/>
    <w:rsid w:val="00397B9B"/>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rsid w:val="00397B9B"/>
    <w:rPr>
      <w:rFonts w:asciiTheme="majorHAnsi" w:eastAsiaTheme="majorEastAsia" w:hAnsiTheme="majorHAnsi" w:cstheme="majorBidi"/>
      <w:color w:val="1F4D78" w:themeColor="accent1" w:themeShade="7F"/>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styleId="Hyperlink">
    <w:name w:val="Hyperlink"/>
    <w:basedOn w:val="DefaultParagraphFont"/>
    <w:uiPriority w:val="99"/>
    <w:unhideWhenUsed/>
    <w:rsid w:val="006428E5"/>
    <w:rPr>
      <w:color w:val="0563C1" w:themeColor="hyperlink"/>
      <w:u w:val="single"/>
    </w:rPr>
  </w:style>
  <w:style w:type="character" w:customStyle="1" w:styleId="Heading2Char">
    <w:name w:val="Heading 2 Char"/>
    <w:basedOn w:val="DefaultParagraphFont"/>
    <w:link w:val="Heading2"/>
    <w:uiPriority w:val="9"/>
    <w:rsid w:val="00E01A73"/>
    <w:rPr>
      <w:rFonts w:ascii="Arial" w:hAnsi="Arial" w:cs="VIC-SemiBold"/>
      <w:b/>
      <w:color w:val="538135" w:themeColor="accent6" w:themeShade="BF"/>
      <w:szCs w:val="18"/>
    </w:rPr>
  </w:style>
  <w:style w:type="paragraph" w:styleId="Header">
    <w:name w:val="header"/>
    <w:basedOn w:val="Normal"/>
    <w:link w:val="HeaderChar"/>
    <w:uiPriority w:val="99"/>
    <w:unhideWhenUsed/>
    <w:rsid w:val="008C3756"/>
    <w:pPr>
      <w:tabs>
        <w:tab w:val="center" w:pos="4513"/>
        <w:tab w:val="right" w:pos="9026"/>
      </w:tabs>
    </w:pPr>
  </w:style>
  <w:style w:type="character" w:customStyle="1" w:styleId="HeaderChar">
    <w:name w:val="Header Char"/>
    <w:basedOn w:val="DefaultParagraphFont"/>
    <w:link w:val="Header"/>
    <w:uiPriority w:val="99"/>
    <w:rsid w:val="008C3756"/>
  </w:style>
  <w:style w:type="paragraph" w:styleId="Footer">
    <w:name w:val="footer"/>
    <w:basedOn w:val="Normal"/>
    <w:link w:val="FooterChar"/>
    <w:uiPriority w:val="99"/>
    <w:unhideWhenUsed/>
    <w:rsid w:val="008C3756"/>
    <w:pPr>
      <w:tabs>
        <w:tab w:val="center" w:pos="4513"/>
        <w:tab w:val="right" w:pos="9026"/>
      </w:tabs>
    </w:pPr>
  </w:style>
  <w:style w:type="character" w:customStyle="1" w:styleId="FooterChar">
    <w:name w:val="Footer Char"/>
    <w:basedOn w:val="DefaultParagraphFont"/>
    <w:link w:val="Footer"/>
    <w:uiPriority w:val="99"/>
    <w:rsid w:val="008C3756"/>
  </w:style>
  <w:style w:type="character" w:customStyle="1" w:styleId="Heading3Char">
    <w:name w:val="Heading 3 Char"/>
    <w:basedOn w:val="DefaultParagraphFont"/>
    <w:link w:val="Heading3"/>
    <w:uiPriority w:val="9"/>
    <w:rsid w:val="00044589"/>
    <w:rPr>
      <w:rFonts w:ascii="Arial" w:hAnsi="Arial" w:cs="VIC-SemiBold"/>
      <w:b/>
      <w:color w:val="000000" w:themeColor="text1"/>
      <w:sz w:val="18"/>
      <w:szCs w:val="52"/>
    </w:rPr>
  </w:style>
  <w:style w:type="paragraph" w:customStyle="1" w:styleId="Agbulletlist">
    <w:name w:val="Ag bullet list"/>
    <w:basedOn w:val="Normal"/>
    <w:qFormat/>
    <w:rsid w:val="00B84BB9"/>
    <w:pPr>
      <w:numPr>
        <w:numId w:val="1"/>
      </w:numPr>
    </w:pPr>
  </w:style>
  <w:style w:type="paragraph" w:customStyle="1" w:styleId="Agdividertitle">
    <w:name w:val="Ag divider title"/>
    <w:basedOn w:val="Normal"/>
    <w:next w:val="Normal"/>
    <w:qFormat/>
    <w:rsid w:val="00B84BB9"/>
    <w:pPr>
      <w:spacing w:after="0" w:line="480" w:lineRule="exact"/>
      <w:ind w:left="4678"/>
    </w:pPr>
    <w:rPr>
      <w:rFonts w:cstheme="minorBidi"/>
      <w:bCs/>
      <w:color w:val="FFFFFF" w:themeColor="background1"/>
      <w:sz w:val="48"/>
      <w:szCs w:val="24"/>
      <w:lang w:val="en-AU"/>
    </w:rPr>
  </w:style>
  <w:style w:type="paragraph" w:customStyle="1" w:styleId="Agcontentsheading">
    <w:name w:val="Ag contents heading"/>
    <w:basedOn w:val="Normal"/>
    <w:qFormat/>
    <w:rsid w:val="003D6042"/>
    <w:pPr>
      <w:spacing w:before="240" w:after="240" w:line="240" w:lineRule="auto"/>
    </w:pPr>
    <w:rPr>
      <w:rFonts w:cs="Arial"/>
      <w:color w:val="4C7329"/>
      <w:sz w:val="32"/>
    </w:rPr>
  </w:style>
  <w:style w:type="character" w:styleId="PageNumber">
    <w:name w:val="page number"/>
    <w:basedOn w:val="DefaultParagraphFont"/>
    <w:uiPriority w:val="99"/>
    <w:semiHidden/>
    <w:unhideWhenUsed/>
    <w:rsid w:val="00CC6E7E"/>
  </w:style>
  <w:style w:type="paragraph" w:styleId="TOC1">
    <w:name w:val="toc 1"/>
    <w:basedOn w:val="Normal"/>
    <w:next w:val="Normal"/>
    <w:autoRedefine/>
    <w:uiPriority w:val="39"/>
    <w:unhideWhenUsed/>
    <w:rsid w:val="00FD4DA5"/>
    <w:pPr>
      <w:tabs>
        <w:tab w:val="right" w:leader="dot" w:pos="9072"/>
      </w:tabs>
      <w:spacing w:after="0" w:line="360" w:lineRule="auto"/>
      <w:ind w:right="384"/>
    </w:pPr>
    <w:rPr>
      <w:rFonts w:cstheme="minorBidi"/>
      <w:b/>
      <w:noProof/>
      <w:color w:val="auto"/>
      <w:sz w:val="20"/>
      <w:szCs w:val="24"/>
    </w:rPr>
  </w:style>
  <w:style w:type="paragraph" w:styleId="TOC2">
    <w:name w:val="toc 2"/>
    <w:basedOn w:val="TOC1"/>
    <w:next w:val="Normal"/>
    <w:autoRedefine/>
    <w:uiPriority w:val="39"/>
    <w:unhideWhenUsed/>
    <w:rsid w:val="006B2EB0"/>
    <w:rPr>
      <w:b w:val="0"/>
    </w:rPr>
  </w:style>
  <w:style w:type="paragraph" w:styleId="TOC3">
    <w:name w:val="toc 3"/>
    <w:basedOn w:val="TOC1"/>
    <w:next w:val="Normal"/>
    <w:autoRedefine/>
    <w:uiPriority w:val="39"/>
    <w:unhideWhenUsed/>
    <w:rsid w:val="003464EE"/>
    <w:rPr>
      <w:b w:val="0"/>
    </w:rPr>
  </w:style>
  <w:style w:type="paragraph" w:styleId="TOC4">
    <w:name w:val="toc 4"/>
    <w:basedOn w:val="Normal"/>
    <w:next w:val="Normal"/>
    <w:autoRedefine/>
    <w:uiPriority w:val="39"/>
    <w:unhideWhenUsed/>
    <w:rsid w:val="00E176FC"/>
    <w:pPr>
      <w:ind w:left="540"/>
    </w:pPr>
  </w:style>
  <w:style w:type="paragraph" w:styleId="TOC5">
    <w:name w:val="toc 5"/>
    <w:basedOn w:val="Normal"/>
    <w:next w:val="Normal"/>
    <w:autoRedefine/>
    <w:uiPriority w:val="39"/>
    <w:unhideWhenUsed/>
    <w:rsid w:val="00E176FC"/>
    <w:pPr>
      <w:ind w:left="720"/>
    </w:pPr>
  </w:style>
  <w:style w:type="paragraph" w:styleId="TOC6">
    <w:name w:val="toc 6"/>
    <w:basedOn w:val="Normal"/>
    <w:next w:val="Normal"/>
    <w:autoRedefine/>
    <w:uiPriority w:val="39"/>
    <w:unhideWhenUsed/>
    <w:rsid w:val="00E176FC"/>
    <w:pPr>
      <w:ind w:left="900"/>
    </w:pPr>
  </w:style>
  <w:style w:type="paragraph" w:styleId="TOC7">
    <w:name w:val="toc 7"/>
    <w:basedOn w:val="Normal"/>
    <w:next w:val="Normal"/>
    <w:autoRedefine/>
    <w:uiPriority w:val="39"/>
    <w:unhideWhenUsed/>
    <w:rsid w:val="00E176FC"/>
    <w:pPr>
      <w:ind w:left="1080"/>
    </w:pPr>
  </w:style>
  <w:style w:type="paragraph" w:styleId="TOC8">
    <w:name w:val="toc 8"/>
    <w:basedOn w:val="Normal"/>
    <w:next w:val="Normal"/>
    <w:autoRedefine/>
    <w:uiPriority w:val="39"/>
    <w:unhideWhenUsed/>
    <w:rsid w:val="00E176FC"/>
    <w:pPr>
      <w:ind w:left="1260"/>
    </w:pPr>
  </w:style>
  <w:style w:type="paragraph" w:styleId="TOC9">
    <w:name w:val="toc 9"/>
    <w:basedOn w:val="Normal"/>
    <w:next w:val="Normal"/>
    <w:autoRedefine/>
    <w:uiPriority w:val="39"/>
    <w:unhideWhenUsed/>
    <w:rsid w:val="00E176FC"/>
    <w:pPr>
      <w:ind w:left="1440"/>
    </w:pPr>
  </w:style>
  <w:style w:type="table" w:styleId="TableGrid">
    <w:name w:val="Table Grid"/>
    <w:basedOn w:val="TableNormal"/>
    <w:uiPriority w:val="59"/>
    <w:rsid w:val="00F23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covertitle1">
    <w:name w:val="Ag cover title 1"/>
    <w:basedOn w:val="Normal"/>
    <w:qFormat/>
    <w:rsid w:val="00B84BB9"/>
    <w:pPr>
      <w:widowControl w:val="0"/>
      <w:suppressAutoHyphens/>
      <w:autoSpaceDE w:val="0"/>
      <w:autoSpaceDN w:val="0"/>
      <w:adjustRightInd w:val="0"/>
      <w:spacing w:after="283" w:line="620" w:lineRule="atLeast"/>
      <w:ind w:left="4395"/>
      <w:jc w:val="right"/>
      <w:textAlignment w:val="center"/>
    </w:pPr>
    <w:rPr>
      <w:b/>
      <w:bCs/>
      <w:noProof/>
      <w:color w:val="FFFFFF" w:themeColor="background1"/>
      <w:sz w:val="52"/>
      <w:lang w:val="en-AU" w:eastAsia="en-AU"/>
    </w:rPr>
  </w:style>
  <w:style w:type="paragraph" w:customStyle="1" w:styleId="Agcovertitle2">
    <w:name w:val="Ag cover title 2"/>
    <w:basedOn w:val="Normal"/>
    <w:qFormat/>
    <w:rsid w:val="00B84BB9"/>
    <w:pPr>
      <w:widowControl w:val="0"/>
      <w:suppressAutoHyphens/>
      <w:autoSpaceDE w:val="0"/>
      <w:autoSpaceDN w:val="0"/>
      <w:adjustRightInd w:val="0"/>
      <w:spacing w:after="0" w:line="400" w:lineRule="atLeast"/>
      <w:jc w:val="right"/>
      <w:textAlignment w:val="center"/>
    </w:pPr>
    <w:rPr>
      <w:rFonts w:cs="VIC-ExtraLight"/>
      <w:color w:val="FFFFFF" w:themeColor="background1"/>
      <w:sz w:val="32"/>
      <w:szCs w:val="32"/>
      <w:lang w:val="en-GB"/>
    </w:rPr>
  </w:style>
  <w:style w:type="paragraph" w:customStyle="1" w:styleId="instructions">
    <w:name w:val="instructions"/>
    <w:basedOn w:val="Normal"/>
    <w:link w:val="instructionsChar"/>
    <w:qFormat/>
    <w:rsid w:val="005D03EC"/>
    <w:pPr>
      <w:spacing w:before="60" w:line="240" w:lineRule="auto"/>
    </w:pPr>
    <w:rPr>
      <w:rFonts w:eastAsia="Times New Roman" w:cs="Times New Roman"/>
      <w:color w:val="ED7D31" w:themeColor="accent2"/>
      <w:szCs w:val="20"/>
      <w:lang w:val="en-AU"/>
    </w:rPr>
  </w:style>
  <w:style w:type="character" w:customStyle="1" w:styleId="instructionsChar">
    <w:name w:val="instructions Char"/>
    <w:basedOn w:val="DefaultParagraphFont"/>
    <w:link w:val="instructions"/>
    <w:rsid w:val="005D03EC"/>
    <w:rPr>
      <w:rFonts w:ascii="Arial" w:eastAsia="Times New Roman" w:hAnsi="Arial" w:cs="Times New Roman"/>
      <w:color w:val="ED7D31" w:themeColor="accent2"/>
      <w:sz w:val="18"/>
      <w:szCs w:val="20"/>
      <w:lang w:val="en-AU"/>
    </w:rPr>
  </w:style>
  <w:style w:type="paragraph" w:styleId="ListParagraph">
    <w:name w:val="List Paragraph"/>
    <w:aliases w:val="DdeM List Paragraph"/>
    <w:basedOn w:val="Normal"/>
    <w:uiPriority w:val="34"/>
    <w:qFormat/>
    <w:rsid w:val="00673BBA"/>
    <w:pPr>
      <w:ind w:left="720"/>
      <w:contextualSpacing/>
    </w:pPr>
  </w:style>
  <w:style w:type="character" w:styleId="CommentReference">
    <w:name w:val="annotation reference"/>
    <w:basedOn w:val="DefaultParagraphFont"/>
    <w:uiPriority w:val="99"/>
    <w:semiHidden/>
    <w:unhideWhenUsed/>
    <w:rsid w:val="00673BBA"/>
    <w:rPr>
      <w:sz w:val="16"/>
      <w:szCs w:val="16"/>
    </w:rPr>
  </w:style>
  <w:style w:type="paragraph" w:styleId="CommentText">
    <w:name w:val="annotation text"/>
    <w:basedOn w:val="Normal"/>
    <w:link w:val="CommentTextChar"/>
    <w:uiPriority w:val="99"/>
    <w:semiHidden/>
    <w:unhideWhenUsed/>
    <w:rsid w:val="00673BBA"/>
    <w:pPr>
      <w:spacing w:line="240" w:lineRule="auto"/>
    </w:pPr>
    <w:rPr>
      <w:sz w:val="20"/>
      <w:szCs w:val="20"/>
    </w:rPr>
  </w:style>
  <w:style w:type="character" w:customStyle="1" w:styleId="CommentTextChar">
    <w:name w:val="Comment Text Char"/>
    <w:basedOn w:val="DefaultParagraphFont"/>
    <w:link w:val="CommentText"/>
    <w:uiPriority w:val="99"/>
    <w:semiHidden/>
    <w:rsid w:val="00673BBA"/>
    <w:rPr>
      <w:rFonts w:ascii="Arial" w:hAnsi="Arial" w:cs="VIC-SemiBold"/>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673BBA"/>
    <w:rPr>
      <w:b/>
      <w:bCs/>
    </w:rPr>
  </w:style>
  <w:style w:type="character" w:customStyle="1" w:styleId="CommentSubjectChar">
    <w:name w:val="Comment Subject Char"/>
    <w:basedOn w:val="CommentTextChar"/>
    <w:link w:val="CommentSubject"/>
    <w:uiPriority w:val="99"/>
    <w:semiHidden/>
    <w:rsid w:val="00673BBA"/>
    <w:rPr>
      <w:rFonts w:ascii="Arial" w:hAnsi="Arial" w:cs="VIC-SemiBold"/>
      <w:b/>
      <w:bCs/>
      <w:color w:val="000000" w:themeColor="text1"/>
      <w:sz w:val="20"/>
      <w:szCs w:val="20"/>
    </w:rPr>
  </w:style>
  <w:style w:type="paragraph" w:styleId="BalloonText">
    <w:name w:val="Balloon Text"/>
    <w:basedOn w:val="Normal"/>
    <w:link w:val="BalloonTextChar"/>
    <w:uiPriority w:val="99"/>
    <w:semiHidden/>
    <w:unhideWhenUsed/>
    <w:rsid w:val="00673BBA"/>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673BBA"/>
    <w:rPr>
      <w:rFonts w:ascii="Segoe UI" w:hAnsi="Segoe UI" w:cs="Segoe UI"/>
      <w:color w:val="000000" w:themeColor="text1"/>
      <w:sz w:val="18"/>
      <w:szCs w:val="18"/>
    </w:rPr>
  </w:style>
  <w:style w:type="character" w:styleId="UnresolvedMention">
    <w:name w:val="Unresolved Mention"/>
    <w:basedOn w:val="DefaultParagraphFont"/>
    <w:uiPriority w:val="99"/>
    <w:semiHidden/>
    <w:unhideWhenUsed/>
    <w:rsid w:val="00DB2F53"/>
    <w:rPr>
      <w:color w:val="808080"/>
      <w:shd w:val="clear" w:color="auto" w:fill="E6E6E6"/>
    </w:rPr>
  </w:style>
  <w:style w:type="table" w:styleId="GridTable1Light-Accent6">
    <w:name w:val="Grid Table 1 Light Accent 6"/>
    <w:basedOn w:val="TableNormal"/>
    <w:uiPriority w:val="46"/>
    <w:rsid w:val="00E1304A"/>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DTFtexttableindent1">
    <w:name w:val="DTF text table indent1"/>
    <w:basedOn w:val="TableNormal"/>
    <w:uiPriority w:val="99"/>
    <w:rsid w:val="008B5F0A"/>
    <w:pPr>
      <w:spacing w:before="30"/>
    </w:pPr>
    <w:rPr>
      <w:spacing w:val="2"/>
      <w:sz w:val="17"/>
      <w:szCs w:val="21"/>
      <w:lang w:val="en-AU"/>
    </w:rPr>
    <w:tblPr>
      <w:tblStyleRowBandSize w:val="1"/>
      <w:tblStyleColBandSize w:val="1"/>
      <w:tblInd w:w="821" w:type="dxa"/>
      <w:tblBorders>
        <w:insideH w:val="single" w:sz="6" w:space="0" w:color="0063A6"/>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b/>
        <w:i w:val="0"/>
        <w:color w:val="FFFFFF"/>
      </w:rPr>
      <w:tblPr/>
      <w:trPr>
        <w:cantSplit w:val="0"/>
        <w:tblHeader/>
      </w:trPr>
      <w:tcPr>
        <w:shd w:val="clear" w:color="auto" w:fill="0063A6"/>
        <w:vAlign w:val="bottom"/>
      </w:tcPr>
    </w:tblStylePr>
    <w:tblStylePr w:type="lastRow">
      <w:rPr>
        <w:b/>
      </w:rPr>
      <w:tblPr/>
      <w:tcPr>
        <w:tcBorders>
          <w:top w:val="single" w:sz="6" w:space="0" w:color="0063A6"/>
          <w:left w:val="nil"/>
          <w:bottom w:val="single" w:sz="12" w:space="0" w:color="0063A6"/>
          <w:right w:val="nil"/>
          <w:insideV w:val="nil"/>
        </w:tcBorders>
      </w:tcPr>
    </w:tblStylePr>
    <w:tblStylePr w:type="firstCol">
      <w:pPr>
        <w:jc w:val="left"/>
      </w:pPr>
      <w:tblPr/>
      <w:tcPr>
        <w:shd w:val="clear" w:color="auto" w:fill="E3EBF4"/>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customStyle="1" w:styleId="Body">
    <w:name w:val="_Body"/>
    <w:link w:val="BodyChar"/>
    <w:qFormat/>
    <w:rsid w:val="00561F5C"/>
    <w:pPr>
      <w:spacing w:after="113" w:line="240" w:lineRule="atLeast"/>
    </w:pPr>
    <w:rPr>
      <w:rFonts w:eastAsia="Times New Roman" w:cs="Arial"/>
      <w:b/>
      <w:sz w:val="22"/>
      <w:lang w:val="en-AU"/>
    </w:rPr>
  </w:style>
  <w:style w:type="character" w:customStyle="1" w:styleId="BodyChar">
    <w:name w:val="_Body Char"/>
    <w:basedOn w:val="DefaultParagraphFont"/>
    <w:link w:val="Body"/>
    <w:rsid w:val="00561F5C"/>
    <w:rPr>
      <w:rFonts w:eastAsia="Times New Roman" w:cs="Arial"/>
      <w:b/>
      <w:sz w:val="22"/>
      <w:lang w:val="en-AU"/>
    </w:rPr>
  </w:style>
  <w:style w:type="character" w:styleId="Emphasis">
    <w:name w:val="Emphasis"/>
    <w:basedOn w:val="DefaultParagraphFont"/>
    <w:uiPriority w:val="20"/>
    <w:qFormat/>
    <w:rsid w:val="00575A4A"/>
    <w:rPr>
      <w:i/>
      <w:iCs/>
    </w:rPr>
  </w:style>
  <w:style w:type="paragraph" w:customStyle="1" w:styleId="Tablebullet">
    <w:name w:val="Table bullet"/>
    <w:basedOn w:val="Normal"/>
    <w:uiPriority w:val="6"/>
    <w:rsid w:val="00CF4171"/>
    <w:pPr>
      <w:numPr>
        <w:numId w:val="2"/>
      </w:numPr>
      <w:spacing w:before="60" w:after="60" w:line="264" w:lineRule="auto"/>
    </w:pPr>
    <w:rPr>
      <w:rFonts w:asciiTheme="minorHAnsi" w:eastAsiaTheme="minorEastAsia" w:hAnsiTheme="minorHAnsi" w:cstheme="minorBidi"/>
      <w:color w:val="auto"/>
      <w:spacing w:val="2"/>
      <w:sz w:val="17"/>
      <w:szCs w:val="20"/>
      <w:lang w:val="en-AU" w:eastAsia="en-AU"/>
    </w:rPr>
  </w:style>
  <w:style w:type="paragraph" w:customStyle="1" w:styleId="Tabledash">
    <w:name w:val="Table dash"/>
    <w:basedOn w:val="Tablebullet"/>
    <w:uiPriority w:val="6"/>
    <w:rsid w:val="00CF4171"/>
    <w:pPr>
      <w:numPr>
        <w:ilvl w:val="1"/>
      </w:numPr>
    </w:pPr>
  </w:style>
  <w:style w:type="table" w:customStyle="1" w:styleId="DTFtexttableindent">
    <w:name w:val="DTF text table indent"/>
    <w:basedOn w:val="TableNormal"/>
    <w:uiPriority w:val="99"/>
    <w:rsid w:val="00CF4171"/>
    <w:pPr>
      <w:spacing w:before="30"/>
    </w:pPr>
    <w:rPr>
      <w:spacing w:val="2"/>
      <w:sz w:val="17"/>
      <w:szCs w:val="21"/>
      <w:lang w:val="en-AU"/>
    </w:rPr>
    <w:tblPr>
      <w:tblStyleRowBandSize w:val="1"/>
      <w:tblStyleColBandSize w:val="1"/>
      <w:tblInd w:w="821" w:type="dxa"/>
      <w:tblBorders>
        <w:bottom w:val="single" w:sz="12" w:space="0" w:color="5B9BD5" w:themeColor="accent1"/>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5B9BD5" w:themeFill="accent1"/>
        <w:vAlign w:val="bottom"/>
      </w:tcPr>
    </w:tblStylePr>
    <w:tblStylePr w:type="lastRow">
      <w:rPr>
        <w:b/>
      </w:rPr>
      <w:tblPr/>
      <w:tcPr>
        <w:tcBorders>
          <w:top w:val="single" w:sz="6" w:space="0" w:color="5B9BD5" w:themeColor="accent1"/>
          <w:left w:val="nil"/>
          <w:bottom w:val="single" w:sz="12" w:space="0" w:color="5B9BD5" w:themeColor="accent1"/>
          <w:right w:val="nil"/>
          <w:insideV w:val="nil"/>
        </w:tcBorders>
      </w:tcPr>
    </w:tblStylePr>
    <w:tblStylePr w:type="firstCol">
      <w:pPr>
        <w:jc w:val="left"/>
      </w:pPr>
      <w:tblPr/>
      <w:tcPr>
        <w:shd w:val="clear" w:color="auto" w:fill="EDEDED"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DEDED"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customStyle="1" w:styleId="Tablenum1">
    <w:name w:val="Table num 1"/>
    <w:basedOn w:val="Normal"/>
    <w:uiPriority w:val="6"/>
    <w:rsid w:val="00CF4171"/>
    <w:pPr>
      <w:numPr>
        <w:ilvl w:val="2"/>
        <w:numId w:val="2"/>
      </w:numPr>
      <w:spacing w:before="60" w:after="60" w:line="276" w:lineRule="auto"/>
    </w:pPr>
    <w:rPr>
      <w:rFonts w:asciiTheme="minorHAnsi" w:eastAsiaTheme="minorEastAsia" w:hAnsiTheme="minorHAnsi" w:cstheme="minorBidi"/>
      <w:color w:val="auto"/>
      <w:spacing w:val="2"/>
      <w:sz w:val="17"/>
      <w:szCs w:val="20"/>
      <w:lang w:val="en-AU" w:eastAsia="en-AU"/>
    </w:rPr>
  </w:style>
  <w:style w:type="paragraph" w:customStyle="1" w:styleId="Tablenum2">
    <w:name w:val="Table num 2"/>
    <w:basedOn w:val="Normal"/>
    <w:uiPriority w:val="6"/>
    <w:rsid w:val="00CF4171"/>
    <w:pPr>
      <w:numPr>
        <w:ilvl w:val="3"/>
        <w:numId w:val="2"/>
      </w:numPr>
      <w:spacing w:before="60" w:after="60" w:line="240" w:lineRule="auto"/>
    </w:pPr>
    <w:rPr>
      <w:rFonts w:asciiTheme="minorHAnsi" w:hAnsiTheme="minorHAnsi" w:cstheme="minorBidi"/>
      <w:color w:val="auto"/>
      <w:spacing w:val="2"/>
      <w:sz w:val="17"/>
      <w:szCs w:val="21"/>
      <w:lang w:val="en-AU"/>
    </w:rPr>
  </w:style>
  <w:style w:type="table" w:styleId="GridTable3-Accent6">
    <w:name w:val="Grid Table 3 Accent 6"/>
    <w:basedOn w:val="TableNormal"/>
    <w:uiPriority w:val="48"/>
    <w:rsid w:val="00CF4171"/>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FootnoteText">
    <w:name w:val="footnote text"/>
    <w:basedOn w:val="Normal"/>
    <w:link w:val="FootnoteTextChar"/>
    <w:uiPriority w:val="99"/>
    <w:rsid w:val="00CF4171"/>
    <w:pPr>
      <w:spacing w:after="0" w:line="240" w:lineRule="auto"/>
    </w:pPr>
    <w:rPr>
      <w:rFonts w:asciiTheme="minorHAnsi" w:eastAsiaTheme="minorEastAsia" w:hAnsiTheme="minorHAnsi" w:cstheme="minorBidi"/>
      <w:color w:val="auto"/>
      <w:spacing w:val="2"/>
      <w:sz w:val="17"/>
      <w:szCs w:val="20"/>
      <w:lang w:val="en-AU" w:eastAsia="en-AU"/>
    </w:rPr>
  </w:style>
  <w:style w:type="character" w:customStyle="1" w:styleId="FootnoteTextChar">
    <w:name w:val="Footnote Text Char"/>
    <w:basedOn w:val="DefaultParagraphFont"/>
    <w:link w:val="FootnoteText"/>
    <w:uiPriority w:val="99"/>
    <w:rsid w:val="00CF4171"/>
    <w:rPr>
      <w:rFonts w:eastAsiaTheme="minorEastAsia"/>
      <w:spacing w:val="2"/>
      <w:sz w:val="17"/>
      <w:szCs w:val="20"/>
      <w:lang w:val="en-AU" w:eastAsia="en-AU"/>
    </w:rPr>
  </w:style>
  <w:style w:type="character" w:styleId="FootnoteReference">
    <w:name w:val="footnote reference"/>
    <w:basedOn w:val="DefaultParagraphFont"/>
    <w:uiPriority w:val="99"/>
    <w:rsid w:val="00CF4171"/>
    <w:rPr>
      <w:vertAlign w:val="superscript"/>
    </w:rPr>
  </w:style>
  <w:style w:type="paragraph" w:styleId="Revision">
    <w:name w:val="Revision"/>
    <w:hidden/>
    <w:uiPriority w:val="99"/>
    <w:semiHidden/>
    <w:rsid w:val="00B53A8D"/>
    <w:rPr>
      <w:rFonts w:ascii="Arial" w:hAnsi="Arial" w:cs="VIC-SemiBold"/>
      <w:color w:val="000000" w:themeColor="text1"/>
      <w:sz w:val="18"/>
      <w:szCs w:val="52"/>
    </w:rPr>
  </w:style>
  <w:style w:type="paragraph" w:styleId="NoSpacing">
    <w:name w:val="No Spacing"/>
    <w:uiPriority w:val="1"/>
    <w:qFormat/>
    <w:rsid w:val="00090B99"/>
    <w:rPr>
      <w:rFonts w:ascii="Arial" w:hAnsi="Arial" w:cs="VIC-SemiBold"/>
      <w:color w:val="000000" w:themeColor="text1"/>
      <w:sz w:val="18"/>
      <w:szCs w:val="52"/>
    </w:rPr>
  </w:style>
  <w:style w:type="character" w:styleId="FollowedHyperlink">
    <w:name w:val="FollowedHyperlink"/>
    <w:basedOn w:val="DefaultParagraphFont"/>
    <w:uiPriority w:val="99"/>
    <w:semiHidden/>
    <w:unhideWhenUsed/>
    <w:rsid w:val="00BA3E0A"/>
    <w:rPr>
      <w:color w:val="954F72" w:themeColor="followedHyperlink"/>
      <w:u w:val="single"/>
    </w:rPr>
  </w:style>
  <w:style w:type="table" w:customStyle="1" w:styleId="TableGrid1">
    <w:name w:val="Table Grid1"/>
    <w:basedOn w:val="TableNormal"/>
    <w:next w:val="TableGrid"/>
    <w:uiPriority w:val="39"/>
    <w:rsid w:val="003D78F9"/>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405952">
      <w:bodyDiv w:val="1"/>
      <w:marLeft w:val="0"/>
      <w:marRight w:val="0"/>
      <w:marTop w:val="0"/>
      <w:marBottom w:val="0"/>
      <w:divBdr>
        <w:top w:val="none" w:sz="0" w:space="0" w:color="auto"/>
        <w:left w:val="none" w:sz="0" w:space="0" w:color="auto"/>
        <w:bottom w:val="none" w:sz="0" w:space="0" w:color="auto"/>
        <w:right w:val="none" w:sz="0" w:space="0" w:color="auto"/>
      </w:divBdr>
    </w:div>
    <w:div w:id="1108426953">
      <w:bodyDiv w:val="1"/>
      <w:marLeft w:val="0"/>
      <w:marRight w:val="0"/>
      <w:marTop w:val="0"/>
      <w:marBottom w:val="0"/>
      <w:divBdr>
        <w:top w:val="none" w:sz="0" w:space="0" w:color="auto"/>
        <w:left w:val="none" w:sz="0" w:space="0" w:color="auto"/>
        <w:bottom w:val="none" w:sz="0" w:space="0" w:color="auto"/>
        <w:right w:val="none" w:sz="0" w:space="0" w:color="auto"/>
      </w:divBdr>
    </w:div>
    <w:div w:id="1737512828">
      <w:bodyDiv w:val="1"/>
      <w:marLeft w:val="0"/>
      <w:marRight w:val="0"/>
      <w:marTop w:val="0"/>
      <w:marBottom w:val="0"/>
      <w:divBdr>
        <w:top w:val="none" w:sz="0" w:space="0" w:color="auto"/>
        <w:left w:val="none" w:sz="0" w:space="0" w:color="auto"/>
        <w:bottom w:val="none" w:sz="0" w:space="0" w:color="auto"/>
        <w:right w:val="none" w:sz="0" w:space="0" w:color="auto"/>
      </w:divBdr>
    </w:div>
    <w:div w:id="19885827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https://www.youtube.com/watch?v=CPMtDVrmWSI"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agriculture.vic.gov.au/about-us/legislation/ministerial-statements-of-expectations" TargetMode="External"/><Relationship Id="rId25" Type="http://schemas.openxmlformats.org/officeDocument/2006/relationships/image" Target="media/image7.sv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5.svg"/><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4.png"/><Relationship Id="rId27" Type="http://schemas.openxmlformats.org/officeDocument/2006/relationships/image" Target="media/image9.sv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5718E9BC78A69E40B372A0E51C09C73D" ma:contentTypeVersion="19" ma:contentTypeDescription="DEDJTR Document" ma:contentTypeScope="" ma:versionID="5bd8f2c279b695253f3dfa59d12a1229">
  <xsd:schema xmlns:xsd="http://www.w3.org/2001/XMLSchema" xmlns:xs="http://www.w3.org/2001/XMLSchema" xmlns:p="http://schemas.microsoft.com/office/2006/metadata/properties" xmlns:ns2="72567383-1e26-4692-bdad-5f5be69e1590" xmlns:ns3="b3cc5fa8-9929-4f74-b449-d7a5840b4704" xmlns:ns4="85902db6-7585-4480-9b6d-f0bd68391f49" targetNamespace="http://schemas.microsoft.com/office/2006/metadata/properties" ma:root="true" ma:fieldsID="f9f9bf570fe2515b702b8b2d8e4e6097" ns2:_="" ns3:_="" ns4:_="">
    <xsd:import namespace="72567383-1e26-4692-bdad-5f5be69e1590"/>
    <xsd:import namespace="b3cc5fa8-9929-4f74-b449-d7a5840b4704"/>
    <xsd:import namespace="85902db6-7585-4480-9b6d-f0bd68391f49"/>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cc5fa8-9929-4f74-b449-d7a5840b470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bc14154-2ec4-423b-9651-c7b4f5e06704}" ma:internalName="TaxCatchAll" ma:showField="CatchAllData"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bc14154-2ec4-423b-9651-c7b4f5e06704}" ma:internalName="TaxCatchAllLabel" ma:readOnly="true" ma:showField="CatchAllDataLabel" ma:web="b3cc5fa8-9929-4f74-b449-d7a5840b47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902db6-7585-4480-9b6d-f0bd68391f49"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e4da834bacf8456d94e18d5d66490b90>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Agriculture Victoria</TermName>
          <TermId xmlns="http://schemas.microsoft.com/office/infopath/2007/PartnerControls">aa595c92-527f-46eb-8130-f23c3634d9e6</TermId>
        </TermInfo>
      </Terms>
    </be9de15831a746f4b3f0ba041df97669>
    <TaxCatchAll xmlns="b3cc5fa8-9929-4f74-b449-d7a5840b4704">
      <Value>2</Value>
      <Value>1</Value>
    </TaxCatchAll>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d8b18ebf729c4d56932fa517449ed5cb xmlns="72567383-1e26-4692-bdad-5f5be69e1590">
      <Terms xmlns="http://schemas.microsoft.com/office/infopath/2007/PartnerControls"/>
    </d8b18ebf729c4d56932fa517449ed5cb>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74C14B2-2EE5-499D-A4E6-3E14E9DB6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b3cc5fa8-9929-4f74-b449-d7a5840b4704"/>
    <ds:schemaRef ds:uri="85902db6-7585-4480-9b6d-f0bd68391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2AFB0F-5197-44B9-A4D3-E7A82E04148D}">
  <ds:schemaRefs>
    <ds:schemaRef ds:uri="http://schemas.microsoft.com/sharepoint/v3/contenttype/forms"/>
  </ds:schemaRefs>
</ds:datastoreItem>
</file>

<file path=customXml/itemProps3.xml><?xml version="1.0" encoding="utf-8"?>
<ds:datastoreItem xmlns:ds="http://schemas.openxmlformats.org/officeDocument/2006/customXml" ds:itemID="{7EE87CC3-E3C0-458A-9373-100C73A5A84E}">
  <ds:schemaRefs>
    <ds:schemaRef ds:uri="http://purl.org/dc/terms/"/>
    <ds:schemaRef ds:uri="http://schemas.microsoft.com/office/2006/metadata/properties"/>
    <ds:schemaRef ds:uri="http://schemas.microsoft.com/office/2006/documentManagement/types"/>
    <ds:schemaRef ds:uri="72567383-1e26-4692-bdad-5f5be69e1590"/>
    <ds:schemaRef ds:uri="http://schemas.microsoft.com/office/infopath/2007/PartnerControls"/>
    <ds:schemaRef ds:uri="http://purl.org/dc/elements/1.1/"/>
    <ds:schemaRef ds:uri="85902db6-7585-4480-9b6d-f0bd68391f49"/>
    <ds:schemaRef ds:uri="http://schemas.openxmlformats.org/package/2006/metadata/core-properties"/>
    <ds:schemaRef ds:uri="b3cc5fa8-9929-4f74-b449-d7a5840b4704"/>
    <ds:schemaRef ds:uri="http://www.w3.org/XML/1998/namespace"/>
    <ds:schemaRef ds:uri="http://purl.org/dc/dcmitype/"/>
  </ds:schemaRefs>
</ds:datastoreItem>
</file>

<file path=customXml/itemProps4.xml><?xml version="1.0" encoding="utf-8"?>
<ds:datastoreItem xmlns:ds="http://schemas.openxmlformats.org/officeDocument/2006/customXml" ds:itemID="{CF2CEA37-093E-4CE3-9BEB-56DD96512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7269</Words>
  <Characters>41438</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Victorian Government</Company>
  <LinksUpToDate>false</LinksUpToDate>
  <CharactersWithSpaces>48610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 Cairns (DEDJTR)</dc:creator>
  <cp:lastModifiedBy>Lisa McLennan (DJPR)</cp:lastModifiedBy>
  <cp:revision>2</cp:revision>
  <cp:lastPrinted>2019-05-21T07:23:00Z</cp:lastPrinted>
  <dcterms:created xsi:type="dcterms:W3CDTF">2020-05-28T06:08:00Z</dcterms:created>
  <dcterms:modified xsi:type="dcterms:W3CDTF">2020-05-28T06:08:00Z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DJTRDivision">
    <vt:lpwstr>2;#Agriculture Victoria|aa595c92-527f-46eb-8130-f23c3634d9e6</vt:lpwstr>
  </property>
  <property fmtid="{D5CDD505-2E9C-101B-9397-08002B2CF9AE}" pid="3" name="ContentTypeId">
    <vt:lpwstr>0x010100611F6414DFB111E7BA88F9DF1743E317005718E9BC78A69E40B372A0E51C09C73D</vt:lpwstr>
  </property>
  <property fmtid="{D5CDD505-2E9C-101B-9397-08002B2CF9AE}" pid="4" name="DEDJTRSecurityClassification">
    <vt:lpwstr/>
  </property>
  <property fmtid="{D5CDD505-2E9C-101B-9397-08002B2CF9AE}" pid="5" name="DEDJTRSection">
    <vt:lpwstr/>
  </property>
  <property fmtid="{D5CDD505-2E9C-101B-9397-08002B2CF9AE}" pid="6" name="DEDJTRBranch">
    <vt:lpwstr/>
  </property>
  <property fmtid="{D5CDD505-2E9C-101B-9397-08002B2CF9AE}" pid="7" name="DEDJTRGroup">
    <vt:lpwstr>1;#Employment Investment and Trade|55ce1999-68b6-4f37-bdce-009ad410cd2a</vt:lpwstr>
  </property>
  <property fmtid="{D5CDD505-2E9C-101B-9397-08002B2CF9AE}" pid="8" name="AuthorIds_UIVersion_512">
    <vt:lpwstr>135</vt:lpwstr>
  </property>
  <property fmtid="{D5CDD505-2E9C-101B-9397-08002B2CF9AE}" pid="9" name="AuthorIds_UIVersion_1024">
    <vt:lpwstr>135</vt:lpwstr>
  </property>
  <property fmtid="{D5CDD505-2E9C-101B-9397-08002B2CF9AE}" pid="10" name="AuthorIds_UIVersion_1536">
    <vt:lpwstr>135</vt:lpwstr>
  </property>
  <property fmtid="{D5CDD505-2E9C-101B-9397-08002B2CF9AE}" pid="11" name="AuthorIds_UIVersion_2048">
    <vt:lpwstr>96</vt:lpwstr>
  </property>
</Properties>
</file>