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color w:val="auto"/>
          <w:sz w:val="20"/>
        </w:rPr>
        <w:id w:val="1792633033"/>
        <w:docPartObj>
          <w:docPartGallery w:val="Cover Pages"/>
          <w:docPartUnique/>
        </w:docPartObj>
      </w:sdtPr>
      <w:sdtEndPr>
        <w:rPr>
          <w:color w:val="53565A"/>
          <w:sz w:val="18"/>
        </w:rPr>
      </w:sdtEndPr>
      <w:sdtContent>
        <w:p w14:paraId="14FC8F47" w14:textId="77777777" w:rsidR="002E04F8" w:rsidRDefault="00292254" w:rsidP="002E04F8">
          <w:pPr>
            <w:pStyle w:val="Header"/>
          </w:pPr>
          <w:r>
            <w:rPr>
              <w:b/>
              <w:caps/>
              <w:noProof/>
              <w:color w:val="auto"/>
              <w:sz w:val="20"/>
              <w:lang w:eastAsia="en-AU"/>
            </w:rPr>
            <w:drawing>
              <wp:anchor distT="0" distB="0" distL="114300" distR="114300" simplePos="0" relativeHeight="251665408" behindDoc="1" locked="0" layoutInCell="1" allowOverlap="1" wp14:anchorId="4D906E0D" wp14:editId="38DAC96B">
                <wp:simplePos x="0" y="0"/>
                <wp:positionH relativeFrom="page">
                  <wp:posOffset>0</wp:posOffset>
                </wp:positionH>
                <wp:positionV relativeFrom="page">
                  <wp:posOffset>2714</wp:posOffset>
                </wp:positionV>
                <wp:extent cx="7560000" cy="10692000"/>
                <wp:effectExtent l="0" t="0" r="3175" b="0"/>
                <wp:wrapNone/>
                <wp:docPr id="3" name="Picture 3" descr="Department of Economic Development, Jobs, Transport and Resources logo on front pag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20Templates/Word%20Elements/Report/9144%20DEDJTR%20Corporate%20Word%20Report%20Template_Working%20file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115057" w14:textId="71C6B461" w:rsidR="004371F6" w:rsidRDefault="00A2349B" w:rsidP="006D0185">
          <w:pPr>
            <w:pStyle w:val="covertitle"/>
            <w:tabs>
              <w:tab w:val="left" w:pos="1680"/>
            </w:tabs>
          </w:pPr>
          <w:r>
            <w:tab/>
          </w:r>
        </w:p>
        <w:p w14:paraId="0B43E044" w14:textId="77777777" w:rsidR="004371F6" w:rsidRDefault="004371F6" w:rsidP="00D76844"/>
        <w:p w14:paraId="45FF4F31" w14:textId="77777777" w:rsidR="004371F6" w:rsidRDefault="004371F6" w:rsidP="00D76844"/>
        <w:p w14:paraId="6E8DF75F" w14:textId="77777777" w:rsidR="004371F6" w:rsidRDefault="004371F6" w:rsidP="00D76844"/>
        <w:p w14:paraId="5757D8EB" w14:textId="77777777" w:rsidR="004371F6" w:rsidRPr="00D76844" w:rsidRDefault="004371F6" w:rsidP="00D76844"/>
        <w:p w14:paraId="60298E4E" w14:textId="77777777" w:rsidR="004371F6" w:rsidRDefault="00BE131F">
          <w:pPr>
            <w:spacing w:before="0" w:after="200" w:line="276" w:lineRule="auto"/>
            <w:rPr>
              <w:color w:val="FFFFFF"/>
              <w:sz w:val="54"/>
            </w:rPr>
          </w:pPr>
          <w:r>
            <w:rPr>
              <w:noProof/>
              <w:lang w:eastAsia="en-AU"/>
            </w:rPr>
            <mc:AlternateContent>
              <mc:Choice Requires="wps">
                <w:drawing>
                  <wp:anchor distT="0" distB="0" distL="114300" distR="114300" simplePos="0" relativeHeight="251663360" behindDoc="0" locked="0" layoutInCell="1" allowOverlap="1" wp14:anchorId="3C6DE430" wp14:editId="5ED7E8DE">
                    <wp:simplePos x="0" y="0"/>
                    <wp:positionH relativeFrom="column">
                      <wp:posOffset>-19050</wp:posOffset>
                    </wp:positionH>
                    <wp:positionV relativeFrom="paragraph">
                      <wp:posOffset>118745</wp:posOffset>
                    </wp:positionV>
                    <wp:extent cx="3581400" cy="19431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581400" cy="194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8DDF6" w14:textId="77777777" w:rsidR="00E5460F" w:rsidRPr="001858C2" w:rsidRDefault="00E5460F" w:rsidP="001858C2">
                                <w:pPr>
                                  <w:pStyle w:val="covertitle"/>
                                </w:pPr>
                                <w:r w:rsidRPr="00EB7075">
                                  <w:t>Veterinary Practitioners Registration Board of Victoria</w:t>
                                </w:r>
                              </w:p>
                              <w:p w14:paraId="55882346" w14:textId="77777777" w:rsidR="00E5460F" w:rsidRDefault="00E5460F" w:rsidP="00EB7075">
                                <w:pPr>
                                  <w:pStyle w:val="coversub-title"/>
                                </w:pPr>
                                <w:r>
                                  <w:t xml:space="preserve">Statement of Expectations January 2018 – June 2019 </w:t>
                                </w:r>
                              </w:p>
                              <w:p w14:paraId="62BE0679" w14:textId="77777777" w:rsidR="00E5460F" w:rsidRPr="006C7394" w:rsidRDefault="00E5460F" w:rsidP="00EB7075">
                                <w:pPr>
                                  <w:pStyle w:val="coversub-title"/>
                                </w:pPr>
                                <w:r>
                                  <w:t xml:space="preserve">Evaluation report, December 2018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DE430" id="_x0000_t202" coordsize="21600,21600" o:spt="202" path="m,l,21600r21600,l21600,xe">
                    <v:stroke joinstyle="miter"/>
                    <v:path gradientshapeok="t" o:connecttype="rect"/>
                  </v:shapetype>
                  <v:shape id="Text Box 9" o:spid="_x0000_s1026" type="#_x0000_t202" style="position:absolute;margin-left:-1.5pt;margin-top:9.35pt;width:282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" filled="f" stroked="f" strokeweight=".5pt">
                    <v:textbox>
                      <w:txbxContent>
                        <w:p w14:paraId="7A98DDF6" w14:textId="77777777" w:rsidR="00E5460F" w:rsidRPr="001858C2" w:rsidRDefault="00E5460F" w:rsidP="001858C2">
                          <w:pPr>
                            <w:pStyle w:val="covertitle"/>
                          </w:pPr>
                          <w:r w:rsidRPr="00EB7075">
                            <w:t>Veterinary Practitioners Registration Board of Victoria</w:t>
                          </w:r>
                        </w:p>
                        <w:p w14:paraId="55882346" w14:textId="77777777" w:rsidR="00E5460F" w:rsidRDefault="00E5460F" w:rsidP="00EB7075">
                          <w:pPr>
                            <w:pStyle w:val="coversub-title"/>
                          </w:pPr>
                          <w:r>
                            <w:t xml:space="preserve">Statement of Expectations January 2018 – June 2019 </w:t>
                          </w:r>
                        </w:p>
                        <w:p w14:paraId="62BE0679" w14:textId="77777777" w:rsidR="00E5460F" w:rsidRPr="006C7394" w:rsidRDefault="00E5460F" w:rsidP="00EB7075">
                          <w:pPr>
                            <w:pStyle w:val="coversub-title"/>
                          </w:pPr>
                          <w:r>
                            <w:t xml:space="preserve">Evaluation report, December 2018  </w:t>
                          </w:r>
                        </w:p>
                      </w:txbxContent>
                    </v:textbox>
                  </v:shape>
                </w:pict>
              </mc:Fallback>
            </mc:AlternateContent>
          </w:r>
          <w:r w:rsidR="004371F6">
            <w:rPr>
              <w:color w:val="FFFFFF"/>
              <w:sz w:val="54"/>
            </w:rPr>
            <w:br w:type="page"/>
          </w:r>
        </w:p>
      </w:sdtContent>
    </w:sdt>
    <w:p w14:paraId="3545257F" w14:textId="77777777" w:rsidR="004371F6" w:rsidRDefault="004371F6" w:rsidP="004371F6">
      <w:pPr>
        <w:pStyle w:val="contentfiguresheading"/>
        <w:rPr>
          <w:rStyle w:val="contentfiguresheadingChar"/>
          <w:rFonts w:ascii="Verdana" w:hAnsi="Verdana"/>
        </w:rPr>
        <w:sectPr w:rsidR="004371F6" w:rsidSect="00FF7628">
          <w:headerReference w:type="first" r:id="rId8"/>
          <w:pgSz w:w="11906" w:h="16838"/>
          <w:pgMar w:top="1440" w:right="1440" w:bottom="1440" w:left="1440" w:header="708" w:footer="137" w:gutter="0"/>
          <w:pgNumType w:start="0"/>
          <w:cols w:space="708"/>
          <w:docGrid w:linePitch="360"/>
        </w:sectPr>
      </w:pPr>
    </w:p>
    <w:p w14:paraId="38BC46D7" w14:textId="77777777" w:rsidR="004371F6" w:rsidRPr="00707F05" w:rsidRDefault="004371F6" w:rsidP="00707F05">
      <w:pPr>
        <w:pStyle w:val="contentfiguresheading"/>
        <w:rPr>
          <w:rStyle w:val="contentfiguresheadingChar"/>
          <w:caps/>
        </w:rPr>
      </w:pPr>
      <w:r w:rsidRPr="00707F05">
        <w:rPr>
          <w:rStyle w:val="contentfiguresheadingChar"/>
          <w:caps/>
        </w:rPr>
        <w:lastRenderedPageBreak/>
        <w:t>Table of contents</w:t>
      </w:r>
    </w:p>
    <w:p w14:paraId="02B0F01C" w14:textId="275E2E72" w:rsidR="00EF76AA" w:rsidRDefault="004371F6">
      <w:pPr>
        <w:pStyle w:val="TOC1"/>
        <w:tabs>
          <w:tab w:val="left" w:pos="600"/>
        </w:tabs>
        <w:rPr>
          <w:rFonts w:asciiTheme="minorHAnsi" w:eastAsiaTheme="minorEastAsia" w:hAnsiTheme="minorHAnsi" w:cstheme="minorBidi"/>
          <w:noProof/>
          <w:color w:val="auto"/>
          <w:sz w:val="22"/>
          <w:szCs w:val="22"/>
          <w:lang w:eastAsia="en-AU"/>
        </w:rPr>
      </w:pPr>
      <w:r>
        <w:rPr>
          <w:noProof/>
          <w:color w:val="auto"/>
          <w:lang w:eastAsia="en-AU"/>
        </w:rPr>
        <w:fldChar w:fldCharType="begin"/>
      </w:r>
      <w:r>
        <w:rPr>
          <w:noProof/>
          <w:lang w:eastAsia="en-AU"/>
        </w:rPr>
        <w:instrText xml:space="preserve"> TOC \o "1-3" \h \z \t "Appendices,4" </w:instrText>
      </w:r>
      <w:r>
        <w:rPr>
          <w:noProof/>
          <w:color w:val="auto"/>
          <w:lang w:eastAsia="en-AU"/>
        </w:rPr>
        <w:fldChar w:fldCharType="separate"/>
      </w:r>
      <w:hyperlink w:anchor="_Toc530573056" w:history="1">
        <w:r w:rsidR="00EF76AA" w:rsidRPr="00F2604A">
          <w:rPr>
            <w:rStyle w:val="Hyperlink"/>
            <w:noProof/>
          </w:rPr>
          <w:t>1</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Report purpose and evaluation objectives</w:t>
        </w:r>
        <w:r w:rsidR="00EF76AA">
          <w:rPr>
            <w:noProof/>
            <w:webHidden/>
          </w:rPr>
          <w:tab/>
        </w:r>
        <w:r w:rsidR="00EF76AA">
          <w:rPr>
            <w:noProof/>
            <w:webHidden/>
          </w:rPr>
          <w:fldChar w:fldCharType="begin"/>
        </w:r>
        <w:r w:rsidR="00EF76AA">
          <w:rPr>
            <w:noProof/>
            <w:webHidden/>
          </w:rPr>
          <w:instrText xml:space="preserve"> PAGEREF _Toc530573056 \h </w:instrText>
        </w:r>
        <w:r w:rsidR="00EF76AA">
          <w:rPr>
            <w:noProof/>
            <w:webHidden/>
          </w:rPr>
        </w:r>
        <w:r w:rsidR="00EF76AA">
          <w:rPr>
            <w:noProof/>
            <w:webHidden/>
          </w:rPr>
          <w:fldChar w:fldCharType="separate"/>
        </w:r>
        <w:r w:rsidR="00D730B8">
          <w:rPr>
            <w:noProof/>
            <w:webHidden/>
          </w:rPr>
          <w:t>2</w:t>
        </w:r>
        <w:r w:rsidR="00EF76AA">
          <w:rPr>
            <w:noProof/>
            <w:webHidden/>
          </w:rPr>
          <w:fldChar w:fldCharType="end"/>
        </w:r>
      </w:hyperlink>
    </w:p>
    <w:p w14:paraId="58F808AF" w14:textId="1C00469E" w:rsidR="00EF76AA" w:rsidRDefault="00436C3F">
      <w:pPr>
        <w:pStyle w:val="TOC1"/>
        <w:tabs>
          <w:tab w:val="left" w:pos="600"/>
        </w:tabs>
        <w:rPr>
          <w:rFonts w:asciiTheme="minorHAnsi" w:eastAsiaTheme="minorEastAsia" w:hAnsiTheme="minorHAnsi" w:cstheme="minorBidi"/>
          <w:noProof/>
          <w:color w:val="auto"/>
          <w:sz w:val="22"/>
          <w:szCs w:val="22"/>
          <w:lang w:eastAsia="en-AU"/>
        </w:rPr>
      </w:pPr>
      <w:hyperlink w:anchor="_Toc530573057" w:history="1">
        <w:r w:rsidR="00EF76AA" w:rsidRPr="00F2604A">
          <w:rPr>
            <w:rStyle w:val="Hyperlink"/>
            <w:noProof/>
          </w:rPr>
          <w:t>2</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Background</w:t>
        </w:r>
        <w:r w:rsidR="00EF76AA">
          <w:rPr>
            <w:noProof/>
            <w:webHidden/>
          </w:rPr>
          <w:tab/>
        </w:r>
        <w:r w:rsidR="00EF76AA">
          <w:rPr>
            <w:noProof/>
            <w:webHidden/>
          </w:rPr>
          <w:fldChar w:fldCharType="begin"/>
        </w:r>
        <w:r w:rsidR="00EF76AA">
          <w:rPr>
            <w:noProof/>
            <w:webHidden/>
          </w:rPr>
          <w:instrText xml:space="preserve"> PAGEREF _Toc530573057 \h </w:instrText>
        </w:r>
        <w:r w:rsidR="00EF76AA">
          <w:rPr>
            <w:noProof/>
            <w:webHidden/>
          </w:rPr>
        </w:r>
        <w:r w:rsidR="00EF76AA">
          <w:rPr>
            <w:noProof/>
            <w:webHidden/>
          </w:rPr>
          <w:fldChar w:fldCharType="separate"/>
        </w:r>
        <w:r w:rsidR="00D730B8">
          <w:rPr>
            <w:noProof/>
            <w:webHidden/>
          </w:rPr>
          <w:t>2</w:t>
        </w:r>
        <w:r w:rsidR="00EF76AA">
          <w:rPr>
            <w:noProof/>
            <w:webHidden/>
          </w:rPr>
          <w:fldChar w:fldCharType="end"/>
        </w:r>
      </w:hyperlink>
    </w:p>
    <w:p w14:paraId="6F1336D1" w14:textId="4AF8618A" w:rsidR="00EF76AA" w:rsidRDefault="00436C3F">
      <w:pPr>
        <w:pStyle w:val="TOC1"/>
        <w:tabs>
          <w:tab w:val="left" w:pos="600"/>
        </w:tabs>
        <w:rPr>
          <w:rFonts w:asciiTheme="minorHAnsi" w:eastAsiaTheme="minorEastAsia" w:hAnsiTheme="minorHAnsi" w:cstheme="minorBidi"/>
          <w:noProof/>
          <w:color w:val="auto"/>
          <w:sz w:val="22"/>
          <w:szCs w:val="22"/>
          <w:lang w:eastAsia="en-AU"/>
        </w:rPr>
      </w:pPr>
      <w:hyperlink w:anchor="_Toc530573061" w:history="1">
        <w:r w:rsidR="00EF76AA" w:rsidRPr="00F2604A">
          <w:rPr>
            <w:rStyle w:val="Hyperlink"/>
            <w:noProof/>
          </w:rPr>
          <w:t>3</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Evaluation methodology</w:t>
        </w:r>
        <w:r w:rsidR="00EF76AA">
          <w:rPr>
            <w:noProof/>
            <w:webHidden/>
          </w:rPr>
          <w:tab/>
        </w:r>
        <w:r w:rsidR="00EF76AA">
          <w:rPr>
            <w:noProof/>
            <w:webHidden/>
          </w:rPr>
          <w:fldChar w:fldCharType="begin"/>
        </w:r>
        <w:r w:rsidR="00EF76AA">
          <w:rPr>
            <w:noProof/>
            <w:webHidden/>
          </w:rPr>
          <w:instrText xml:space="preserve"> PAGEREF _Toc530573061 \h </w:instrText>
        </w:r>
        <w:r w:rsidR="00EF76AA">
          <w:rPr>
            <w:noProof/>
            <w:webHidden/>
          </w:rPr>
        </w:r>
        <w:r w:rsidR="00EF76AA">
          <w:rPr>
            <w:noProof/>
            <w:webHidden/>
          </w:rPr>
          <w:fldChar w:fldCharType="separate"/>
        </w:r>
        <w:r w:rsidR="00D730B8">
          <w:rPr>
            <w:noProof/>
            <w:webHidden/>
          </w:rPr>
          <w:t>3</w:t>
        </w:r>
        <w:r w:rsidR="00EF76AA">
          <w:rPr>
            <w:noProof/>
            <w:webHidden/>
          </w:rPr>
          <w:fldChar w:fldCharType="end"/>
        </w:r>
      </w:hyperlink>
    </w:p>
    <w:p w14:paraId="4F2ADF1E" w14:textId="0A258BFD" w:rsidR="00EF76AA" w:rsidRDefault="00436C3F">
      <w:pPr>
        <w:pStyle w:val="TOC1"/>
        <w:tabs>
          <w:tab w:val="left" w:pos="600"/>
        </w:tabs>
        <w:rPr>
          <w:rFonts w:asciiTheme="minorHAnsi" w:eastAsiaTheme="minorEastAsia" w:hAnsiTheme="minorHAnsi" w:cstheme="minorBidi"/>
          <w:noProof/>
          <w:color w:val="auto"/>
          <w:sz w:val="22"/>
          <w:szCs w:val="22"/>
          <w:lang w:eastAsia="en-AU"/>
        </w:rPr>
      </w:pPr>
      <w:hyperlink w:anchor="_Toc530573062" w:history="1">
        <w:r w:rsidR="00EF76AA" w:rsidRPr="00F2604A">
          <w:rPr>
            <w:rStyle w:val="Hyperlink"/>
            <w:noProof/>
          </w:rPr>
          <w:t>4</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Evaluation conclusions</w:t>
        </w:r>
        <w:r w:rsidR="00EF76AA">
          <w:rPr>
            <w:noProof/>
            <w:webHidden/>
          </w:rPr>
          <w:tab/>
        </w:r>
        <w:r w:rsidR="00EF76AA">
          <w:rPr>
            <w:noProof/>
            <w:webHidden/>
          </w:rPr>
          <w:fldChar w:fldCharType="begin"/>
        </w:r>
        <w:r w:rsidR="00EF76AA">
          <w:rPr>
            <w:noProof/>
            <w:webHidden/>
          </w:rPr>
          <w:instrText xml:space="preserve"> PAGEREF _Toc530573062 \h </w:instrText>
        </w:r>
        <w:r w:rsidR="00EF76AA">
          <w:rPr>
            <w:noProof/>
            <w:webHidden/>
          </w:rPr>
        </w:r>
        <w:r w:rsidR="00EF76AA">
          <w:rPr>
            <w:noProof/>
            <w:webHidden/>
          </w:rPr>
          <w:fldChar w:fldCharType="separate"/>
        </w:r>
        <w:r w:rsidR="00D730B8">
          <w:rPr>
            <w:noProof/>
            <w:webHidden/>
          </w:rPr>
          <w:t>3</w:t>
        </w:r>
        <w:r w:rsidR="00EF76AA">
          <w:rPr>
            <w:noProof/>
            <w:webHidden/>
          </w:rPr>
          <w:fldChar w:fldCharType="end"/>
        </w:r>
      </w:hyperlink>
    </w:p>
    <w:p w14:paraId="78259637" w14:textId="64B7AA32" w:rsidR="00EF76AA" w:rsidRDefault="00436C3F">
      <w:pPr>
        <w:pStyle w:val="TOC1"/>
        <w:tabs>
          <w:tab w:val="left" w:pos="600"/>
        </w:tabs>
        <w:rPr>
          <w:rFonts w:asciiTheme="minorHAnsi" w:eastAsiaTheme="minorEastAsia" w:hAnsiTheme="minorHAnsi" w:cstheme="minorBidi"/>
          <w:noProof/>
          <w:color w:val="auto"/>
          <w:sz w:val="22"/>
          <w:szCs w:val="22"/>
          <w:lang w:eastAsia="en-AU"/>
        </w:rPr>
      </w:pPr>
      <w:hyperlink w:anchor="_Toc530573065" w:history="1">
        <w:r w:rsidR="00EF76AA" w:rsidRPr="00F2604A">
          <w:rPr>
            <w:rStyle w:val="Hyperlink"/>
            <w:noProof/>
          </w:rPr>
          <w:t>5</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Recommendations</w:t>
        </w:r>
        <w:r w:rsidR="00EF76AA">
          <w:rPr>
            <w:noProof/>
            <w:webHidden/>
          </w:rPr>
          <w:tab/>
        </w:r>
        <w:r w:rsidR="00EF76AA">
          <w:rPr>
            <w:noProof/>
            <w:webHidden/>
          </w:rPr>
          <w:fldChar w:fldCharType="begin"/>
        </w:r>
        <w:r w:rsidR="00EF76AA">
          <w:rPr>
            <w:noProof/>
            <w:webHidden/>
          </w:rPr>
          <w:instrText xml:space="preserve"> PAGEREF _Toc530573065 \h </w:instrText>
        </w:r>
        <w:r w:rsidR="00EF76AA">
          <w:rPr>
            <w:noProof/>
            <w:webHidden/>
          </w:rPr>
        </w:r>
        <w:r w:rsidR="00EF76AA">
          <w:rPr>
            <w:noProof/>
            <w:webHidden/>
          </w:rPr>
          <w:fldChar w:fldCharType="separate"/>
        </w:r>
        <w:r w:rsidR="00D730B8">
          <w:rPr>
            <w:noProof/>
            <w:webHidden/>
          </w:rPr>
          <w:t>4</w:t>
        </w:r>
        <w:r w:rsidR="00EF76AA">
          <w:rPr>
            <w:noProof/>
            <w:webHidden/>
          </w:rPr>
          <w:fldChar w:fldCharType="end"/>
        </w:r>
      </w:hyperlink>
    </w:p>
    <w:p w14:paraId="5500A7E0" w14:textId="7A0F0055" w:rsidR="00EF76AA" w:rsidRDefault="00436C3F">
      <w:pPr>
        <w:pStyle w:val="TOC1"/>
        <w:tabs>
          <w:tab w:val="left" w:pos="600"/>
        </w:tabs>
        <w:rPr>
          <w:rFonts w:asciiTheme="minorHAnsi" w:eastAsiaTheme="minorEastAsia" w:hAnsiTheme="minorHAnsi" w:cstheme="minorBidi"/>
          <w:noProof/>
          <w:color w:val="auto"/>
          <w:sz w:val="22"/>
          <w:szCs w:val="22"/>
          <w:lang w:eastAsia="en-AU"/>
        </w:rPr>
      </w:pPr>
      <w:hyperlink w:anchor="_Toc530573066" w:history="1">
        <w:r w:rsidR="00EF76AA" w:rsidRPr="00F2604A">
          <w:rPr>
            <w:rStyle w:val="Hyperlink"/>
            <w:noProof/>
          </w:rPr>
          <w:t>6</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Detailed performance evaluation</w:t>
        </w:r>
        <w:r w:rsidR="00EF76AA">
          <w:rPr>
            <w:noProof/>
            <w:webHidden/>
          </w:rPr>
          <w:tab/>
        </w:r>
        <w:r w:rsidR="00EF76AA">
          <w:rPr>
            <w:noProof/>
            <w:webHidden/>
          </w:rPr>
          <w:fldChar w:fldCharType="begin"/>
        </w:r>
        <w:r w:rsidR="00EF76AA">
          <w:rPr>
            <w:noProof/>
            <w:webHidden/>
          </w:rPr>
          <w:instrText xml:space="preserve"> PAGEREF _Toc530573066 \h </w:instrText>
        </w:r>
        <w:r w:rsidR="00EF76AA">
          <w:rPr>
            <w:noProof/>
            <w:webHidden/>
          </w:rPr>
        </w:r>
        <w:r w:rsidR="00EF76AA">
          <w:rPr>
            <w:noProof/>
            <w:webHidden/>
          </w:rPr>
          <w:fldChar w:fldCharType="separate"/>
        </w:r>
        <w:r w:rsidR="00D730B8">
          <w:rPr>
            <w:noProof/>
            <w:webHidden/>
          </w:rPr>
          <w:t>4</w:t>
        </w:r>
        <w:r w:rsidR="00EF76AA">
          <w:rPr>
            <w:noProof/>
            <w:webHidden/>
          </w:rPr>
          <w:fldChar w:fldCharType="end"/>
        </w:r>
      </w:hyperlink>
    </w:p>
    <w:p w14:paraId="15352BCC" w14:textId="2DDCE4C6" w:rsidR="00EF76AA" w:rsidRDefault="00436C3F">
      <w:pPr>
        <w:pStyle w:val="TOC2"/>
        <w:rPr>
          <w:rFonts w:asciiTheme="minorHAnsi" w:eastAsiaTheme="minorEastAsia" w:hAnsiTheme="minorHAnsi" w:cstheme="minorBidi"/>
          <w:noProof/>
          <w:color w:val="auto"/>
          <w:sz w:val="22"/>
          <w:szCs w:val="22"/>
          <w:lang w:eastAsia="en-AU"/>
        </w:rPr>
      </w:pPr>
      <w:hyperlink w:anchor="_Toc530573067" w:history="1">
        <w:r w:rsidR="00EF76AA" w:rsidRPr="00F2604A">
          <w:rPr>
            <w:rStyle w:val="Hyperlink"/>
            <w:noProof/>
          </w:rPr>
          <w:t>6.1</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Timeliness</w:t>
        </w:r>
        <w:r w:rsidR="00EF76AA">
          <w:rPr>
            <w:noProof/>
            <w:webHidden/>
          </w:rPr>
          <w:tab/>
        </w:r>
        <w:r w:rsidR="00EF76AA">
          <w:rPr>
            <w:noProof/>
            <w:webHidden/>
          </w:rPr>
          <w:fldChar w:fldCharType="begin"/>
        </w:r>
        <w:r w:rsidR="00EF76AA">
          <w:rPr>
            <w:noProof/>
            <w:webHidden/>
          </w:rPr>
          <w:instrText xml:space="preserve"> PAGEREF _Toc530573067 \h </w:instrText>
        </w:r>
        <w:r w:rsidR="00EF76AA">
          <w:rPr>
            <w:noProof/>
            <w:webHidden/>
          </w:rPr>
        </w:r>
        <w:r w:rsidR="00EF76AA">
          <w:rPr>
            <w:noProof/>
            <w:webHidden/>
          </w:rPr>
          <w:fldChar w:fldCharType="separate"/>
        </w:r>
        <w:r w:rsidR="00D730B8">
          <w:rPr>
            <w:noProof/>
            <w:webHidden/>
          </w:rPr>
          <w:t>4</w:t>
        </w:r>
        <w:r w:rsidR="00EF76AA">
          <w:rPr>
            <w:noProof/>
            <w:webHidden/>
          </w:rPr>
          <w:fldChar w:fldCharType="end"/>
        </w:r>
      </w:hyperlink>
    </w:p>
    <w:p w14:paraId="33DDE868" w14:textId="7B181801" w:rsidR="00EF76AA" w:rsidRDefault="00436C3F">
      <w:pPr>
        <w:pStyle w:val="TOC2"/>
        <w:rPr>
          <w:rFonts w:asciiTheme="minorHAnsi" w:eastAsiaTheme="minorEastAsia" w:hAnsiTheme="minorHAnsi" w:cstheme="minorBidi"/>
          <w:noProof/>
          <w:color w:val="auto"/>
          <w:sz w:val="22"/>
          <w:szCs w:val="22"/>
          <w:lang w:eastAsia="en-AU"/>
        </w:rPr>
      </w:pPr>
      <w:hyperlink w:anchor="_Toc530573068" w:history="1">
        <w:r w:rsidR="00EF76AA" w:rsidRPr="00F2604A">
          <w:rPr>
            <w:rStyle w:val="Hyperlink"/>
            <w:noProof/>
          </w:rPr>
          <w:t>6.2</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Risk-based strategies</w:t>
        </w:r>
        <w:r w:rsidR="00EF76AA">
          <w:rPr>
            <w:noProof/>
            <w:webHidden/>
          </w:rPr>
          <w:tab/>
        </w:r>
        <w:r w:rsidR="00EF76AA">
          <w:rPr>
            <w:noProof/>
            <w:webHidden/>
          </w:rPr>
          <w:fldChar w:fldCharType="begin"/>
        </w:r>
        <w:r w:rsidR="00EF76AA">
          <w:rPr>
            <w:noProof/>
            <w:webHidden/>
          </w:rPr>
          <w:instrText xml:space="preserve"> PAGEREF _Toc530573068 \h </w:instrText>
        </w:r>
        <w:r w:rsidR="00EF76AA">
          <w:rPr>
            <w:noProof/>
            <w:webHidden/>
          </w:rPr>
        </w:r>
        <w:r w:rsidR="00EF76AA">
          <w:rPr>
            <w:noProof/>
            <w:webHidden/>
          </w:rPr>
          <w:fldChar w:fldCharType="separate"/>
        </w:r>
        <w:r w:rsidR="00D730B8">
          <w:rPr>
            <w:noProof/>
            <w:webHidden/>
          </w:rPr>
          <w:t>5</w:t>
        </w:r>
        <w:r w:rsidR="00EF76AA">
          <w:rPr>
            <w:noProof/>
            <w:webHidden/>
          </w:rPr>
          <w:fldChar w:fldCharType="end"/>
        </w:r>
      </w:hyperlink>
    </w:p>
    <w:p w14:paraId="6329B991" w14:textId="38D46226" w:rsidR="00EF76AA" w:rsidRDefault="00436C3F">
      <w:pPr>
        <w:pStyle w:val="TOC2"/>
        <w:rPr>
          <w:rFonts w:asciiTheme="minorHAnsi" w:eastAsiaTheme="minorEastAsia" w:hAnsiTheme="minorHAnsi" w:cstheme="minorBidi"/>
          <w:noProof/>
          <w:color w:val="auto"/>
          <w:sz w:val="22"/>
          <w:szCs w:val="22"/>
          <w:lang w:eastAsia="en-AU"/>
        </w:rPr>
      </w:pPr>
      <w:hyperlink w:anchor="_Toc530573069" w:history="1">
        <w:r w:rsidR="00EF76AA" w:rsidRPr="00F2604A">
          <w:rPr>
            <w:rStyle w:val="Hyperlink"/>
            <w:noProof/>
          </w:rPr>
          <w:t>6.3</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Compliance related assistance and advice</w:t>
        </w:r>
        <w:r w:rsidR="00EF76AA">
          <w:rPr>
            <w:noProof/>
            <w:webHidden/>
          </w:rPr>
          <w:tab/>
        </w:r>
        <w:r w:rsidR="00EF76AA">
          <w:rPr>
            <w:noProof/>
            <w:webHidden/>
          </w:rPr>
          <w:fldChar w:fldCharType="begin"/>
        </w:r>
        <w:r w:rsidR="00EF76AA">
          <w:rPr>
            <w:noProof/>
            <w:webHidden/>
          </w:rPr>
          <w:instrText xml:space="preserve"> PAGEREF _Toc530573069 \h </w:instrText>
        </w:r>
        <w:r w:rsidR="00EF76AA">
          <w:rPr>
            <w:noProof/>
            <w:webHidden/>
          </w:rPr>
        </w:r>
        <w:r w:rsidR="00EF76AA">
          <w:rPr>
            <w:noProof/>
            <w:webHidden/>
          </w:rPr>
          <w:fldChar w:fldCharType="separate"/>
        </w:r>
        <w:r w:rsidR="00D730B8">
          <w:rPr>
            <w:noProof/>
            <w:webHidden/>
          </w:rPr>
          <w:t>6</w:t>
        </w:r>
        <w:r w:rsidR="00EF76AA">
          <w:rPr>
            <w:noProof/>
            <w:webHidden/>
          </w:rPr>
          <w:fldChar w:fldCharType="end"/>
        </w:r>
      </w:hyperlink>
    </w:p>
    <w:p w14:paraId="52C0DD12" w14:textId="36E1C7AE" w:rsidR="00EF76AA" w:rsidRDefault="00436C3F">
      <w:pPr>
        <w:pStyle w:val="TOC2"/>
        <w:rPr>
          <w:rFonts w:asciiTheme="minorHAnsi" w:eastAsiaTheme="minorEastAsia" w:hAnsiTheme="minorHAnsi" w:cstheme="minorBidi"/>
          <w:noProof/>
          <w:color w:val="auto"/>
          <w:sz w:val="22"/>
          <w:szCs w:val="22"/>
          <w:lang w:eastAsia="en-AU"/>
        </w:rPr>
      </w:pPr>
      <w:hyperlink w:anchor="_Toc530573070" w:history="1">
        <w:r w:rsidR="00EF76AA" w:rsidRPr="00F2604A">
          <w:rPr>
            <w:rStyle w:val="Hyperlink"/>
            <w:noProof/>
          </w:rPr>
          <w:t>6.4</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Accountability and transparency</w:t>
        </w:r>
        <w:r w:rsidR="00EF76AA">
          <w:rPr>
            <w:noProof/>
            <w:webHidden/>
          </w:rPr>
          <w:tab/>
        </w:r>
        <w:r w:rsidR="00EF76AA">
          <w:rPr>
            <w:noProof/>
            <w:webHidden/>
          </w:rPr>
          <w:fldChar w:fldCharType="begin"/>
        </w:r>
        <w:r w:rsidR="00EF76AA">
          <w:rPr>
            <w:noProof/>
            <w:webHidden/>
          </w:rPr>
          <w:instrText xml:space="preserve"> PAGEREF _Toc530573070 \h </w:instrText>
        </w:r>
        <w:r w:rsidR="00EF76AA">
          <w:rPr>
            <w:noProof/>
            <w:webHidden/>
          </w:rPr>
        </w:r>
        <w:r w:rsidR="00EF76AA">
          <w:rPr>
            <w:noProof/>
            <w:webHidden/>
          </w:rPr>
          <w:fldChar w:fldCharType="separate"/>
        </w:r>
        <w:r w:rsidR="00D730B8">
          <w:rPr>
            <w:noProof/>
            <w:webHidden/>
          </w:rPr>
          <w:t>6</w:t>
        </w:r>
        <w:r w:rsidR="00EF76AA">
          <w:rPr>
            <w:noProof/>
            <w:webHidden/>
          </w:rPr>
          <w:fldChar w:fldCharType="end"/>
        </w:r>
      </w:hyperlink>
    </w:p>
    <w:p w14:paraId="4BEDDCDF" w14:textId="7E2F8C4C" w:rsidR="00EF76AA" w:rsidRDefault="00436C3F">
      <w:pPr>
        <w:pStyle w:val="TOC2"/>
        <w:rPr>
          <w:rFonts w:asciiTheme="minorHAnsi" w:eastAsiaTheme="minorEastAsia" w:hAnsiTheme="minorHAnsi" w:cstheme="minorBidi"/>
          <w:noProof/>
          <w:color w:val="auto"/>
          <w:sz w:val="22"/>
          <w:szCs w:val="22"/>
          <w:lang w:eastAsia="en-AU"/>
        </w:rPr>
      </w:pPr>
      <w:hyperlink w:anchor="_Toc530573071" w:history="1">
        <w:r w:rsidR="00EF76AA" w:rsidRPr="00F2604A">
          <w:rPr>
            <w:rStyle w:val="Hyperlink"/>
            <w:noProof/>
          </w:rPr>
          <w:t>6.5</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Evaluation processes</w:t>
        </w:r>
        <w:r w:rsidR="00EF76AA">
          <w:rPr>
            <w:noProof/>
            <w:webHidden/>
          </w:rPr>
          <w:tab/>
        </w:r>
        <w:r w:rsidR="00EF76AA">
          <w:rPr>
            <w:noProof/>
            <w:webHidden/>
          </w:rPr>
          <w:fldChar w:fldCharType="begin"/>
        </w:r>
        <w:r w:rsidR="00EF76AA">
          <w:rPr>
            <w:noProof/>
            <w:webHidden/>
          </w:rPr>
          <w:instrText xml:space="preserve"> PAGEREF _Toc530573071 \h </w:instrText>
        </w:r>
        <w:r w:rsidR="00EF76AA">
          <w:rPr>
            <w:noProof/>
            <w:webHidden/>
          </w:rPr>
        </w:r>
        <w:r w:rsidR="00EF76AA">
          <w:rPr>
            <w:noProof/>
            <w:webHidden/>
          </w:rPr>
          <w:fldChar w:fldCharType="separate"/>
        </w:r>
        <w:r w:rsidR="00D730B8">
          <w:rPr>
            <w:noProof/>
            <w:webHidden/>
          </w:rPr>
          <w:t>7</w:t>
        </w:r>
        <w:r w:rsidR="00EF76AA">
          <w:rPr>
            <w:noProof/>
            <w:webHidden/>
          </w:rPr>
          <w:fldChar w:fldCharType="end"/>
        </w:r>
      </w:hyperlink>
    </w:p>
    <w:p w14:paraId="7F3F2EF9" w14:textId="3492F311" w:rsidR="00EF76AA" w:rsidRDefault="00436C3F">
      <w:pPr>
        <w:pStyle w:val="TOC2"/>
        <w:rPr>
          <w:rFonts w:asciiTheme="minorHAnsi" w:eastAsiaTheme="minorEastAsia" w:hAnsiTheme="minorHAnsi" w:cstheme="minorBidi"/>
          <w:noProof/>
          <w:color w:val="auto"/>
          <w:sz w:val="22"/>
          <w:szCs w:val="22"/>
          <w:lang w:eastAsia="en-AU"/>
        </w:rPr>
      </w:pPr>
      <w:hyperlink w:anchor="_Toc530573072" w:history="1">
        <w:r w:rsidR="00EF76AA" w:rsidRPr="00F2604A">
          <w:rPr>
            <w:rStyle w:val="Hyperlink"/>
            <w:noProof/>
          </w:rPr>
          <w:t>6.6</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Reporting processes</w:t>
        </w:r>
        <w:r w:rsidR="00EF76AA">
          <w:rPr>
            <w:noProof/>
            <w:webHidden/>
          </w:rPr>
          <w:tab/>
        </w:r>
        <w:r w:rsidR="00EF76AA">
          <w:rPr>
            <w:noProof/>
            <w:webHidden/>
          </w:rPr>
          <w:fldChar w:fldCharType="begin"/>
        </w:r>
        <w:r w:rsidR="00EF76AA">
          <w:rPr>
            <w:noProof/>
            <w:webHidden/>
          </w:rPr>
          <w:instrText xml:space="preserve"> PAGEREF _Toc530573072 \h </w:instrText>
        </w:r>
        <w:r w:rsidR="00EF76AA">
          <w:rPr>
            <w:noProof/>
            <w:webHidden/>
          </w:rPr>
        </w:r>
        <w:r w:rsidR="00EF76AA">
          <w:rPr>
            <w:noProof/>
            <w:webHidden/>
          </w:rPr>
          <w:fldChar w:fldCharType="separate"/>
        </w:r>
        <w:r w:rsidR="00D730B8">
          <w:rPr>
            <w:noProof/>
            <w:webHidden/>
          </w:rPr>
          <w:t>7</w:t>
        </w:r>
        <w:r w:rsidR="00EF76AA">
          <w:rPr>
            <w:noProof/>
            <w:webHidden/>
          </w:rPr>
          <w:fldChar w:fldCharType="end"/>
        </w:r>
      </w:hyperlink>
    </w:p>
    <w:p w14:paraId="35FA101A" w14:textId="46781ED5" w:rsidR="00EF76AA" w:rsidRDefault="00436C3F">
      <w:pPr>
        <w:pStyle w:val="TOC1"/>
        <w:tabs>
          <w:tab w:val="left" w:pos="600"/>
        </w:tabs>
        <w:rPr>
          <w:rFonts w:asciiTheme="minorHAnsi" w:eastAsiaTheme="minorEastAsia" w:hAnsiTheme="minorHAnsi" w:cstheme="minorBidi"/>
          <w:noProof/>
          <w:color w:val="auto"/>
          <w:sz w:val="22"/>
          <w:szCs w:val="22"/>
          <w:lang w:eastAsia="en-AU"/>
        </w:rPr>
      </w:pPr>
      <w:hyperlink w:anchor="_Toc530573073" w:history="1">
        <w:r w:rsidR="00EF76AA" w:rsidRPr="00F2604A">
          <w:rPr>
            <w:rStyle w:val="Hyperlink"/>
            <w:noProof/>
          </w:rPr>
          <w:t>7</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Detailed process evaluation</w:t>
        </w:r>
        <w:r w:rsidR="00EF76AA">
          <w:rPr>
            <w:noProof/>
            <w:webHidden/>
          </w:rPr>
          <w:tab/>
        </w:r>
        <w:r w:rsidR="00EF76AA">
          <w:rPr>
            <w:noProof/>
            <w:webHidden/>
          </w:rPr>
          <w:fldChar w:fldCharType="begin"/>
        </w:r>
        <w:r w:rsidR="00EF76AA">
          <w:rPr>
            <w:noProof/>
            <w:webHidden/>
          </w:rPr>
          <w:instrText xml:space="preserve"> PAGEREF _Toc530573073 \h </w:instrText>
        </w:r>
        <w:r w:rsidR="00EF76AA">
          <w:rPr>
            <w:noProof/>
            <w:webHidden/>
          </w:rPr>
        </w:r>
        <w:r w:rsidR="00EF76AA">
          <w:rPr>
            <w:noProof/>
            <w:webHidden/>
          </w:rPr>
          <w:fldChar w:fldCharType="separate"/>
        </w:r>
        <w:r w:rsidR="00D730B8">
          <w:rPr>
            <w:noProof/>
            <w:webHidden/>
          </w:rPr>
          <w:t>8</w:t>
        </w:r>
        <w:r w:rsidR="00EF76AA">
          <w:rPr>
            <w:noProof/>
            <w:webHidden/>
          </w:rPr>
          <w:fldChar w:fldCharType="end"/>
        </w:r>
      </w:hyperlink>
    </w:p>
    <w:p w14:paraId="554882D8" w14:textId="01A0E0DA" w:rsidR="00EF76AA" w:rsidRDefault="00436C3F">
      <w:pPr>
        <w:pStyle w:val="TOC2"/>
        <w:rPr>
          <w:rFonts w:asciiTheme="minorHAnsi" w:eastAsiaTheme="minorEastAsia" w:hAnsiTheme="minorHAnsi" w:cstheme="minorBidi"/>
          <w:noProof/>
          <w:color w:val="auto"/>
          <w:sz w:val="22"/>
          <w:szCs w:val="22"/>
          <w:lang w:eastAsia="en-AU"/>
        </w:rPr>
      </w:pPr>
      <w:hyperlink w:anchor="_Toc530573074" w:history="1">
        <w:r w:rsidR="00EF76AA" w:rsidRPr="00F2604A">
          <w:rPr>
            <w:rStyle w:val="Hyperlink"/>
            <w:noProof/>
          </w:rPr>
          <w:t>7.1</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Content</w:t>
        </w:r>
        <w:r w:rsidR="00EF76AA">
          <w:rPr>
            <w:noProof/>
            <w:webHidden/>
          </w:rPr>
          <w:tab/>
        </w:r>
        <w:r w:rsidR="00EF76AA">
          <w:rPr>
            <w:noProof/>
            <w:webHidden/>
          </w:rPr>
          <w:fldChar w:fldCharType="begin"/>
        </w:r>
        <w:r w:rsidR="00EF76AA">
          <w:rPr>
            <w:noProof/>
            <w:webHidden/>
          </w:rPr>
          <w:instrText xml:space="preserve"> PAGEREF _Toc530573074 \h </w:instrText>
        </w:r>
        <w:r w:rsidR="00EF76AA">
          <w:rPr>
            <w:noProof/>
            <w:webHidden/>
          </w:rPr>
        </w:r>
        <w:r w:rsidR="00EF76AA">
          <w:rPr>
            <w:noProof/>
            <w:webHidden/>
          </w:rPr>
          <w:fldChar w:fldCharType="separate"/>
        </w:r>
        <w:r w:rsidR="00D730B8">
          <w:rPr>
            <w:noProof/>
            <w:webHidden/>
          </w:rPr>
          <w:t>8</w:t>
        </w:r>
        <w:r w:rsidR="00EF76AA">
          <w:rPr>
            <w:noProof/>
            <w:webHidden/>
          </w:rPr>
          <w:fldChar w:fldCharType="end"/>
        </w:r>
      </w:hyperlink>
    </w:p>
    <w:p w14:paraId="59D08AA9" w14:textId="638A9B0D" w:rsidR="00EF76AA" w:rsidRDefault="00436C3F">
      <w:pPr>
        <w:pStyle w:val="TOC2"/>
        <w:rPr>
          <w:rFonts w:asciiTheme="minorHAnsi" w:eastAsiaTheme="minorEastAsia" w:hAnsiTheme="minorHAnsi" w:cstheme="minorBidi"/>
          <w:noProof/>
          <w:color w:val="auto"/>
          <w:sz w:val="22"/>
          <w:szCs w:val="22"/>
          <w:lang w:eastAsia="en-AU"/>
        </w:rPr>
      </w:pPr>
      <w:hyperlink w:anchor="_Toc530573075" w:history="1">
        <w:r w:rsidR="00EF76AA" w:rsidRPr="00F2604A">
          <w:rPr>
            <w:rStyle w:val="Hyperlink"/>
            <w:noProof/>
          </w:rPr>
          <w:t>7.2</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Process</w:t>
        </w:r>
        <w:r w:rsidR="00EF76AA">
          <w:rPr>
            <w:noProof/>
            <w:webHidden/>
          </w:rPr>
          <w:tab/>
        </w:r>
        <w:r w:rsidR="00EF76AA">
          <w:rPr>
            <w:noProof/>
            <w:webHidden/>
          </w:rPr>
          <w:fldChar w:fldCharType="begin"/>
        </w:r>
        <w:r w:rsidR="00EF76AA">
          <w:rPr>
            <w:noProof/>
            <w:webHidden/>
          </w:rPr>
          <w:instrText xml:space="preserve"> PAGEREF _Toc530573075 \h </w:instrText>
        </w:r>
        <w:r w:rsidR="00EF76AA">
          <w:rPr>
            <w:noProof/>
            <w:webHidden/>
          </w:rPr>
        </w:r>
        <w:r w:rsidR="00EF76AA">
          <w:rPr>
            <w:noProof/>
            <w:webHidden/>
          </w:rPr>
          <w:fldChar w:fldCharType="separate"/>
        </w:r>
        <w:r w:rsidR="00D730B8">
          <w:rPr>
            <w:noProof/>
            <w:webHidden/>
          </w:rPr>
          <w:t>8</w:t>
        </w:r>
        <w:r w:rsidR="00EF76AA">
          <w:rPr>
            <w:noProof/>
            <w:webHidden/>
          </w:rPr>
          <w:fldChar w:fldCharType="end"/>
        </w:r>
      </w:hyperlink>
    </w:p>
    <w:p w14:paraId="30644857" w14:textId="47221603" w:rsidR="00EF76AA" w:rsidRDefault="00436C3F">
      <w:pPr>
        <w:pStyle w:val="TOC2"/>
        <w:rPr>
          <w:rFonts w:asciiTheme="minorHAnsi" w:eastAsiaTheme="minorEastAsia" w:hAnsiTheme="minorHAnsi" w:cstheme="minorBidi"/>
          <w:noProof/>
          <w:color w:val="auto"/>
          <w:sz w:val="22"/>
          <w:szCs w:val="22"/>
          <w:lang w:eastAsia="en-AU"/>
        </w:rPr>
      </w:pPr>
      <w:hyperlink w:anchor="_Toc530573076" w:history="1">
        <w:r w:rsidR="00EF76AA" w:rsidRPr="00F2604A">
          <w:rPr>
            <w:rStyle w:val="Hyperlink"/>
            <w:noProof/>
          </w:rPr>
          <w:t>7.3</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Effect (supporting outcomes)</w:t>
        </w:r>
        <w:r w:rsidR="00EF76AA">
          <w:rPr>
            <w:noProof/>
            <w:webHidden/>
          </w:rPr>
          <w:tab/>
        </w:r>
        <w:r w:rsidR="00EF76AA">
          <w:rPr>
            <w:noProof/>
            <w:webHidden/>
          </w:rPr>
          <w:fldChar w:fldCharType="begin"/>
        </w:r>
        <w:r w:rsidR="00EF76AA">
          <w:rPr>
            <w:noProof/>
            <w:webHidden/>
          </w:rPr>
          <w:instrText xml:space="preserve"> PAGEREF _Toc530573076 \h </w:instrText>
        </w:r>
        <w:r w:rsidR="00EF76AA">
          <w:rPr>
            <w:noProof/>
            <w:webHidden/>
          </w:rPr>
        </w:r>
        <w:r w:rsidR="00EF76AA">
          <w:rPr>
            <w:noProof/>
            <w:webHidden/>
          </w:rPr>
          <w:fldChar w:fldCharType="separate"/>
        </w:r>
        <w:r w:rsidR="00D730B8">
          <w:rPr>
            <w:noProof/>
            <w:webHidden/>
          </w:rPr>
          <w:t>9</w:t>
        </w:r>
        <w:r w:rsidR="00EF76AA">
          <w:rPr>
            <w:noProof/>
            <w:webHidden/>
          </w:rPr>
          <w:fldChar w:fldCharType="end"/>
        </w:r>
      </w:hyperlink>
    </w:p>
    <w:p w14:paraId="12380E5F" w14:textId="567C5C10" w:rsidR="00EF76AA" w:rsidRDefault="00436C3F">
      <w:pPr>
        <w:pStyle w:val="TOC1"/>
        <w:tabs>
          <w:tab w:val="left" w:pos="600"/>
        </w:tabs>
        <w:rPr>
          <w:rFonts w:asciiTheme="minorHAnsi" w:eastAsiaTheme="minorEastAsia" w:hAnsiTheme="minorHAnsi" w:cstheme="minorBidi"/>
          <w:noProof/>
          <w:color w:val="auto"/>
          <w:sz w:val="22"/>
          <w:szCs w:val="22"/>
          <w:lang w:eastAsia="en-AU"/>
        </w:rPr>
      </w:pPr>
      <w:hyperlink w:anchor="_Toc530573077" w:history="1">
        <w:r w:rsidR="00EF76AA" w:rsidRPr="00F2604A">
          <w:rPr>
            <w:rStyle w:val="Hyperlink"/>
            <w:noProof/>
          </w:rPr>
          <w:t>8</w:t>
        </w:r>
        <w:r w:rsidR="00EF76AA">
          <w:rPr>
            <w:rFonts w:asciiTheme="minorHAnsi" w:eastAsiaTheme="minorEastAsia" w:hAnsiTheme="minorHAnsi" w:cstheme="minorBidi"/>
            <w:noProof/>
            <w:color w:val="auto"/>
            <w:sz w:val="22"/>
            <w:szCs w:val="22"/>
            <w:lang w:eastAsia="en-AU"/>
          </w:rPr>
          <w:tab/>
        </w:r>
        <w:r w:rsidR="00EF76AA" w:rsidRPr="00F2604A">
          <w:rPr>
            <w:rStyle w:val="Hyperlink"/>
            <w:noProof/>
          </w:rPr>
          <w:t>Appendix A – Assessment criteria</w:t>
        </w:r>
        <w:r w:rsidR="00EF76AA">
          <w:rPr>
            <w:noProof/>
            <w:webHidden/>
          </w:rPr>
          <w:tab/>
        </w:r>
        <w:r w:rsidR="00EF76AA">
          <w:rPr>
            <w:noProof/>
            <w:webHidden/>
          </w:rPr>
          <w:fldChar w:fldCharType="begin"/>
        </w:r>
        <w:r w:rsidR="00EF76AA">
          <w:rPr>
            <w:noProof/>
            <w:webHidden/>
          </w:rPr>
          <w:instrText xml:space="preserve"> PAGEREF _Toc530573077 \h </w:instrText>
        </w:r>
        <w:r w:rsidR="00EF76AA">
          <w:rPr>
            <w:noProof/>
            <w:webHidden/>
          </w:rPr>
        </w:r>
        <w:r w:rsidR="00EF76AA">
          <w:rPr>
            <w:noProof/>
            <w:webHidden/>
          </w:rPr>
          <w:fldChar w:fldCharType="separate"/>
        </w:r>
        <w:r w:rsidR="00D730B8">
          <w:rPr>
            <w:noProof/>
            <w:webHidden/>
          </w:rPr>
          <w:t>10</w:t>
        </w:r>
        <w:r w:rsidR="00EF76AA">
          <w:rPr>
            <w:noProof/>
            <w:webHidden/>
          </w:rPr>
          <w:fldChar w:fldCharType="end"/>
        </w:r>
      </w:hyperlink>
    </w:p>
    <w:p w14:paraId="036875EB" w14:textId="2A89C756" w:rsidR="004371F6" w:rsidRDefault="004371F6" w:rsidP="004371F6">
      <w:pPr>
        <w:pStyle w:val="bodyCopy"/>
      </w:pPr>
      <w:r>
        <w:rPr>
          <w:noProof/>
        </w:rPr>
        <w:fldChar w:fldCharType="end"/>
      </w:r>
      <w:r>
        <w:br w:type="page"/>
      </w:r>
    </w:p>
    <w:p w14:paraId="59807A15" w14:textId="77777777" w:rsidR="00EB7075" w:rsidRPr="00D55D23" w:rsidRDefault="00EB7075" w:rsidP="00EB7075">
      <w:pPr>
        <w:pStyle w:val="Heading1"/>
      </w:pPr>
      <w:bookmarkStart w:id="1" w:name="_Toc530038803"/>
      <w:bookmarkStart w:id="2" w:name="_Toc530573056"/>
      <w:r>
        <w:lastRenderedPageBreak/>
        <w:t xml:space="preserve">Report </w:t>
      </w:r>
      <w:r w:rsidR="003E74A4">
        <w:t>p</w:t>
      </w:r>
      <w:r>
        <w:t>urpose and evaluation objectives</w:t>
      </w:r>
      <w:bookmarkEnd w:id="1"/>
      <w:bookmarkEnd w:id="2"/>
    </w:p>
    <w:p w14:paraId="30D85CEF" w14:textId="57AA2610" w:rsidR="00EB7075" w:rsidRDefault="00EB7075" w:rsidP="00EB7075">
      <w:r>
        <w:t>The primary</w:t>
      </w:r>
      <w:r w:rsidRPr="006475EB">
        <w:t xml:space="preserve"> purpose of this </w:t>
      </w:r>
      <w:r>
        <w:t xml:space="preserve">report is to provide the results of an </w:t>
      </w:r>
      <w:r w:rsidRPr="006475EB">
        <w:t>evaluation of</w:t>
      </w:r>
      <w:r w:rsidR="008C18F2">
        <w:t xml:space="preserve"> </w:t>
      </w:r>
      <w:r w:rsidR="00D66289">
        <w:t xml:space="preserve">the </w:t>
      </w:r>
      <w:r w:rsidR="008C18F2" w:rsidRPr="008C18F2">
        <w:t>Veterinary Practitioners Registration Board of Victoria</w:t>
      </w:r>
      <w:r w:rsidR="00EF76AA">
        <w:t>’s</w:t>
      </w:r>
      <w:r w:rsidR="008C18F2">
        <w:t xml:space="preserve"> (</w:t>
      </w:r>
      <w:r w:rsidR="007E4221">
        <w:t>Vet Board</w:t>
      </w:r>
      <w:r w:rsidR="008C18F2">
        <w:t>)</w:t>
      </w:r>
      <w:r w:rsidRPr="006475EB">
        <w:t xml:space="preserve"> Statement of Expectations (</w:t>
      </w:r>
      <w:proofErr w:type="spellStart"/>
      <w:r w:rsidRPr="006475EB">
        <w:t>SoE</w:t>
      </w:r>
      <w:proofErr w:type="spellEnd"/>
      <w:r w:rsidRPr="006475EB">
        <w:t>) January 2018 to June 2019</w:t>
      </w:r>
      <w:r>
        <w:t xml:space="preserve">. The evaluation covered an assessment of </w:t>
      </w:r>
      <w:r w:rsidR="00CD72A7">
        <w:t xml:space="preserve">the </w:t>
      </w:r>
      <w:r w:rsidR="00E5460F">
        <w:t xml:space="preserve">Vet </w:t>
      </w:r>
      <w:r w:rsidR="00CD72A7">
        <w:t>Board</w:t>
      </w:r>
      <w:r>
        <w:t>’s</w:t>
      </w:r>
      <w:r w:rsidRPr="006475EB">
        <w:t xml:space="preserve"> </w:t>
      </w:r>
      <w:r>
        <w:t xml:space="preserve">performance </w:t>
      </w:r>
      <w:r w:rsidRPr="006475EB">
        <w:t xml:space="preserve">progress </w:t>
      </w:r>
      <w:r>
        <w:t xml:space="preserve">against the </w:t>
      </w:r>
      <w:proofErr w:type="spellStart"/>
      <w:r>
        <w:t>SoE</w:t>
      </w:r>
      <w:proofErr w:type="spellEnd"/>
      <w:r>
        <w:t xml:space="preserve"> targets, </w:t>
      </w:r>
      <w:r w:rsidRPr="006475EB">
        <w:t>and</w:t>
      </w:r>
      <w:r>
        <w:t xml:space="preserve"> an assessment of</w:t>
      </w:r>
      <w:r w:rsidRPr="006475EB">
        <w:t xml:space="preserve"> the process</w:t>
      </w:r>
      <w:r>
        <w:t xml:space="preserve"> that was</w:t>
      </w:r>
      <w:r w:rsidRPr="006475EB">
        <w:t xml:space="preserve"> </w:t>
      </w:r>
      <w:r>
        <w:t xml:space="preserve">used to develop the </w:t>
      </w:r>
      <w:proofErr w:type="spellStart"/>
      <w:r>
        <w:t>SoE</w:t>
      </w:r>
      <w:proofErr w:type="spellEnd"/>
      <w:r>
        <w:t xml:space="preserve"> and response. </w:t>
      </w:r>
    </w:p>
    <w:p w14:paraId="7772067A" w14:textId="0EB17AA0" w:rsidR="00EB7075" w:rsidRPr="008E420A" w:rsidRDefault="00EB7075" w:rsidP="00EB7075">
      <w:r w:rsidRPr="008E420A">
        <w:t>Th</w:t>
      </w:r>
      <w:r>
        <w:t xml:space="preserve">e objectives of the evaluation were derived from </w:t>
      </w:r>
      <w:r w:rsidRPr="008E420A">
        <w:t xml:space="preserve">Department of Treasury and Finance (DTF) </w:t>
      </w:r>
      <w:proofErr w:type="spellStart"/>
      <w:r>
        <w:t>SoE</w:t>
      </w:r>
      <w:proofErr w:type="spellEnd"/>
      <w:r>
        <w:t xml:space="preserve"> evaluation guidelines and DTF guidance material about the intentions of the </w:t>
      </w:r>
      <w:proofErr w:type="spellStart"/>
      <w:r>
        <w:t>SoE</w:t>
      </w:r>
      <w:proofErr w:type="spellEnd"/>
      <w:r>
        <w:t xml:space="preserve"> Framework</w:t>
      </w:r>
      <w:r w:rsidR="00C960A8">
        <w:rPr>
          <w:rStyle w:val="FootnoteReference"/>
        </w:rPr>
        <w:footnoteReference w:id="1"/>
      </w:r>
      <w:r>
        <w:t>. The objectives of the evaluation were to</w:t>
      </w:r>
      <w:r w:rsidRPr="008E420A">
        <w:t xml:space="preserve">: </w:t>
      </w:r>
    </w:p>
    <w:p w14:paraId="6C6F655D" w14:textId="722ACA3D" w:rsidR="00EB7075" w:rsidRPr="00DF548E" w:rsidRDefault="00EB7075" w:rsidP="00CD72A7">
      <w:pPr>
        <w:pStyle w:val="ListParagraph"/>
        <w:numPr>
          <w:ilvl w:val="0"/>
          <w:numId w:val="18"/>
        </w:numPr>
        <w:spacing w:after="120" w:line="220" w:lineRule="exact"/>
        <w:rPr>
          <w:rFonts w:ascii="Arial" w:hAnsi="Arial" w:cs="Arial"/>
          <w:sz w:val="18"/>
          <w:szCs w:val="18"/>
        </w:rPr>
      </w:pPr>
      <w:r w:rsidRPr="00DF548E">
        <w:rPr>
          <w:rFonts w:ascii="Arial" w:hAnsi="Arial" w:cs="Arial"/>
          <w:sz w:val="18"/>
          <w:szCs w:val="18"/>
        </w:rPr>
        <w:t xml:space="preserve">identify actions that could improve the development and design </w:t>
      </w:r>
      <w:r w:rsidR="00CD72A7">
        <w:rPr>
          <w:rFonts w:ascii="Arial" w:hAnsi="Arial" w:cs="Arial"/>
          <w:sz w:val="18"/>
          <w:szCs w:val="18"/>
        </w:rPr>
        <w:t xml:space="preserve">of </w:t>
      </w:r>
      <w:r w:rsidR="00CD72A7" w:rsidRPr="00CD72A7">
        <w:rPr>
          <w:rFonts w:ascii="Arial" w:hAnsi="Arial" w:cs="Arial"/>
          <w:sz w:val="18"/>
          <w:szCs w:val="18"/>
        </w:rPr>
        <w:t xml:space="preserve">the </w:t>
      </w:r>
      <w:r w:rsidR="00E5460F">
        <w:rPr>
          <w:rFonts w:ascii="Arial" w:hAnsi="Arial" w:cs="Arial"/>
          <w:sz w:val="18"/>
          <w:szCs w:val="18"/>
        </w:rPr>
        <w:t xml:space="preserve">Vet </w:t>
      </w:r>
      <w:r w:rsidR="00CD72A7" w:rsidRPr="00CD72A7">
        <w:rPr>
          <w:rFonts w:ascii="Arial" w:hAnsi="Arial" w:cs="Arial"/>
          <w:sz w:val="18"/>
          <w:szCs w:val="18"/>
        </w:rPr>
        <w:t>Board</w:t>
      </w:r>
      <w:r w:rsidR="00CD72A7">
        <w:rPr>
          <w:rFonts w:ascii="Arial" w:hAnsi="Arial" w:cs="Arial"/>
          <w:sz w:val="18"/>
          <w:szCs w:val="18"/>
        </w:rPr>
        <w:t>’</w:t>
      </w:r>
      <w:r w:rsidRPr="00DF548E">
        <w:rPr>
          <w:rFonts w:ascii="Arial" w:hAnsi="Arial" w:cs="Arial"/>
          <w:sz w:val="18"/>
          <w:szCs w:val="18"/>
        </w:rPr>
        <w:t xml:space="preserve">s next </w:t>
      </w:r>
      <w:proofErr w:type="spellStart"/>
      <w:r w:rsidRPr="00DF548E">
        <w:rPr>
          <w:rFonts w:ascii="Arial" w:hAnsi="Arial" w:cs="Arial"/>
          <w:sz w:val="18"/>
          <w:szCs w:val="18"/>
        </w:rPr>
        <w:t>SoE</w:t>
      </w:r>
      <w:proofErr w:type="spellEnd"/>
      <w:r w:rsidRPr="00DF548E">
        <w:rPr>
          <w:rFonts w:ascii="Arial" w:hAnsi="Arial" w:cs="Arial"/>
          <w:sz w:val="18"/>
          <w:szCs w:val="18"/>
        </w:rPr>
        <w:t xml:space="preserve">  </w:t>
      </w:r>
    </w:p>
    <w:p w14:paraId="0890821F" w14:textId="6E9D82C3" w:rsidR="00EB7075" w:rsidRPr="00DF548E" w:rsidRDefault="00EB7075" w:rsidP="00CD72A7">
      <w:pPr>
        <w:pStyle w:val="ListParagraph"/>
        <w:numPr>
          <w:ilvl w:val="0"/>
          <w:numId w:val="18"/>
        </w:numPr>
        <w:spacing w:after="120" w:line="220" w:lineRule="exact"/>
        <w:rPr>
          <w:rFonts w:ascii="Arial" w:hAnsi="Arial" w:cs="Arial"/>
          <w:sz w:val="18"/>
          <w:szCs w:val="18"/>
        </w:rPr>
      </w:pPr>
      <w:r w:rsidRPr="00DF548E">
        <w:rPr>
          <w:rFonts w:ascii="Arial" w:hAnsi="Arial" w:cs="Arial"/>
          <w:sz w:val="18"/>
          <w:szCs w:val="18"/>
        </w:rPr>
        <w:t xml:space="preserve">determine how well </w:t>
      </w:r>
      <w:r w:rsidR="00CD72A7" w:rsidRPr="00CD72A7">
        <w:rPr>
          <w:rFonts w:ascii="Arial" w:hAnsi="Arial" w:cs="Arial"/>
          <w:sz w:val="18"/>
          <w:szCs w:val="18"/>
        </w:rPr>
        <w:t xml:space="preserve">the </w:t>
      </w:r>
      <w:r w:rsidR="00E5460F">
        <w:rPr>
          <w:rFonts w:ascii="Arial" w:hAnsi="Arial" w:cs="Arial"/>
          <w:sz w:val="18"/>
          <w:szCs w:val="18"/>
        </w:rPr>
        <w:t xml:space="preserve">Vet </w:t>
      </w:r>
      <w:r w:rsidR="00CD72A7" w:rsidRPr="00CD72A7">
        <w:rPr>
          <w:rFonts w:ascii="Arial" w:hAnsi="Arial" w:cs="Arial"/>
          <w:sz w:val="18"/>
          <w:szCs w:val="18"/>
        </w:rPr>
        <w:t>Board</w:t>
      </w:r>
      <w:r w:rsidRPr="00DF548E">
        <w:rPr>
          <w:rFonts w:ascii="Arial" w:hAnsi="Arial" w:cs="Arial"/>
          <w:sz w:val="18"/>
          <w:szCs w:val="18"/>
        </w:rPr>
        <w:t xml:space="preserve">’s </w:t>
      </w:r>
      <w:proofErr w:type="spellStart"/>
      <w:r w:rsidRPr="00DF548E">
        <w:rPr>
          <w:rFonts w:ascii="Arial" w:hAnsi="Arial" w:cs="Arial"/>
          <w:sz w:val="18"/>
          <w:szCs w:val="18"/>
        </w:rPr>
        <w:t>SoE</w:t>
      </w:r>
      <w:proofErr w:type="spellEnd"/>
      <w:r w:rsidRPr="00DF548E">
        <w:rPr>
          <w:rFonts w:ascii="Arial" w:hAnsi="Arial" w:cs="Arial"/>
          <w:sz w:val="18"/>
          <w:szCs w:val="18"/>
        </w:rPr>
        <w:t xml:space="preserve"> and response support </w:t>
      </w:r>
      <w:r w:rsidR="00CD72A7" w:rsidRPr="00CD72A7">
        <w:rPr>
          <w:rFonts w:ascii="Arial" w:hAnsi="Arial" w:cs="Arial"/>
          <w:sz w:val="18"/>
          <w:szCs w:val="18"/>
        </w:rPr>
        <w:t xml:space="preserve">the </w:t>
      </w:r>
      <w:r w:rsidR="00E5460F">
        <w:rPr>
          <w:rFonts w:ascii="Arial" w:hAnsi="Arial" w:cs="Arial"/>
          <w:sz w:val="18"/>
          <w:szCs w:val="18"/>
        </w:rPr>
        <w:t xml:space="preserve">Vet </w:t>
      </w:r>
      <w:r w:rsidR="00CD72A7" w:rsidRPr="00CD72A7">
        <w:rPr>
          <w:rFonts w:ascii="Arial" w:hAnsi="Arial" w:cs="Arial"/>
          <w:sz w:val="18"/>
          <w:szCs w:val="18"/>
        </w:rPr>
        <w:t xml:space="preserve">Board </w:t>
      </w:r>
      <w:r w:rsidRPr="00DF548E">
        <w:rPr>
          <w:rFonts w:ascii="Arial" w:hAnsi="Arial" w:cs="Arial"/>
          <w:sz w:val="18"/>
          <w:szCs w:val="18"/>
        </w:rPr>
        <w:t xml:space="preserve">'s contribution to public policy outcomes </w:t>
      </w:r>
    </w:p>
    <w:p w14:paraId="2ADC90F1" w14:textId="6A83D8EE" w:rsidR="00EB7075" w:rsidRPr="00DF548E" w:rsidRDefault="00BC6552" w:rsidP="00EB7075">
      <w:pPr>
        <w:pStyle w:val="ListParagraph"/>
        <w:numPr>
          <w:ilvl w:val="0"/>
          <w:numId w:val="18"/>
        </w:numPr>
        <w:spacing w:after="120" w:line="220" w:lineRule="exact"/>
        <w:rPr>
          <w:rFonts w:ascii="Arial" w:hAnsi="Arial" w:cs="Arial"/>
          <w:sz w:val="18"/>
          <w:szCs w:val="18"/>
        </w:rPr>
      </w:pPr>
      <w:r>
        <w:rPr>
          <w:rFonts w:ascii="Arial" w:hAnsi="Arial" w:cs="Arial"/>
          <w:sz w:val="18"/>
          <w:szCs w:val="18"/>
        </w:rPr>
        <w:t xml:space="preserve">in line with DTF’s stated intentions for </w:t>
      </w:r>
      <w:proofErr w:type="spellStart"/>
      <w:r>
        <w:rPr>
          <w:rFonts w:ascii="Arial" w:hAnsi="Arial" w:cs="Arial"/>
          <w:sz w:val="18"/>
          <w:szCs w:val="18"/>
        </w:rPr>
        <w:t>SoE</w:t>
      </w:r>
      <w:proofErr w:type="spellEnd"/>
      <w:r>
        <w:rPr>
          <w:rFonts w:ascii="Arial" w:hAnsi="Arial" w:cs="Arial"/>
          <w:sz w:val="18"/>
          <w:szCs w:val="18"/>
        </w:rPr>
        <w:t xml:space="preserve"> evaluations, </w:t>
      </w:r>
      <w:r w:rsidR="00EB7075" w:rsidRPr="00DF548E">
        <w:rPr>
          <w:rFonts w:ascii="Arial" w:hAnsi="Arial" w:cs="Arial"/>
          <w:sz w:val="18"/>
          <w:szCs w:val="18"/>
        </w:rPr>
        <w:t>note any observations for consideration by DTF about the operation of the rev</w:t>
      </w:r>
      <w:r w:rsidR="00CD72A7">
        <w:rPr>
          <w:rFonts w:ascii="Arial" w:hAnsi="Arial" w:cs="Arial"/>
          <w:sz w:val="18"/>
          <w:szCs w:val="18"/>
        </w:rPr>
        <w:t xml:space="preserve">ised </w:t>
      </w:r>
      <w:proofErr w:type="spellStart"/>
      <w:r w:rsidR="00CD72A7">
        <w:rPr>
          <w:rFonts w:ascii="Arial" w:hAnsi="Arial" w:cs="Arial"/>
          <w:sz w:val="18"/>
          <w:szCs w:val="18"/>
        </w:rPr>
        <w:t>SoE</w:t>
      </w:r>
      <w:proofErr w:type="spellEnd"/>
      <w:r w:rsidR="00CD72A7">
        <w:rPr>
          <w:rFonts w:ascii="Arial" w:hAnsi="Arial" w:cs="Arial"/>
          <w:sz w:val="18"/>
          <w:szCs w:val="18"/>
        </w:rPr>
        <w:t xml:space="preserve"> framework</w:t>
      </w:r>
      <w:r>
        <w:rPr>
          <w:rStyle w:val="FootnoteReference"/>
          <w:rFonts w:ascii="Arial" w:hAnsi="Arial" w:cs="Arial"/>
          <w:sz w:val="18"/>
          <w:szCs w:val="18"/>
        </w:rPr>
        <w:footnoteReference w:id="2"/>
      </w:r>
      <w:r w:rsidR="00CD72A7">
        <w:rPr>
          <w:rFonts w:ascii="Arial" w:hAnsi="Arial" w:cs="Arial"/>
          <w:sz w:val="18"/>
          <w:szCs w:val="18"/>
        </w:rPr>
        <w:t>.</w:t>
      </w:r>
    </w:p>
    <w:p w14:paraId="6AB1316F" w14:textId="77777777" w:rsidR="00EB7075" w:rsidRPr="00B84BB9" w:rsidRDefault="00EB7075" w:rsidP="00EB7075">
      <w:pPr>
        <w:pStyle w:val="Heading1"/>
      </w:pPr>
      <w:bookmarkStart w:id="3" w:name="_Toc530038804"/>
      <w:bookmarkStart w:id="4" w:name="_Toc530573057"/>
      <w:r>
        <w:t>Background</w:t>
      </w:r>
      <w:bookmarkEnd w:id="3"/>
      <w:bookmarkEnd w:id="4"/>
      <w:r>
        <w:t xml:space="preserve"> </w:t>
      </w:r>
    </w:p>
    <w:p w14:paraId="2AC25EE5" w14:textId="77777777" w:rsidR="00EB7075" w:rsidRPr="00DF548E" w:rsidRDefault="00EB7075" w:rsidP="007645C5">
      <w:pPr>
        <w:pStyle w:val="Heading2"/>
        <w:numPr>
          <w:ilvl w:val="0"/>
          <w:numId w:val="0"/>
        </w:numPr>
      </w:pPr>
      <w:bookmarkStart w:id="5" w:name="_Toc530128197"/>
      <w:bookmarkStart w:id="6" w:name="_Toc530573058"/>
      <w:r w:rsidRPr="00DF548E">
        <w:t>Preparation of this report</w:t>
      </w:r>
      <w:bookmarkEnd w:id="5"/>
      <w:bookmarkEnd w:id="6"/>
      <w:r w:rsidRPr="00DF548E">
        <w:t xml:space="preserve"> </w:t>
      </w:r>
    </w:p>
    <w:p w14:paraId="7DBF3C6C" w14:textId="3C1C0A4B" w:rsidR="009403DE" w:rsidRDefault="00CD72A7" w:rsidP="009403DE">
      <w:r>
        <w:t xml:space="preserve">The </w:t>
      </w:r>
      <w:r w:rsidR="00E5460F">
        <w:t>Vet Board</w:t>
      </w:r>
      <w:r>
        <w:t>’</w:t>
      </w:r>
      <w:r w:rsidR="00EB7075">
        <w:t xml:space="preserve">s </w:t>
      </w:r>
      <w:proofErr w:type="spellStart"/>
      <w:r w:rsidR="00EB7075">
        <w:t>SoE</w:t>
      </w:r>
      <w:proofErr w:type="spellEnd"/>
      <w:r w:rsidR="00EB7075">
        <w:t xml:space="preserve"> and response is managed through </w:t>
      </w:r>
      <w:r w:rsidR="0035610C">
        <w:t xml:space="preserve">the </w:t>
      </w:r>
      <w:r w:rsidR="00D66289">
        <w:t xml:space="preserve">Agriculture </w:t>
      </w:r>
      <w:r w:rsidR="00EB7075" w:rsidRPr="00261F96">
        <w:t xml:space="preserve">Regulatory Policy </w:t>
      </w:r>
      <w:r w:rsidR="00EB7075">
        <w:t>branch</w:t>
      </w:r>
      <w:r w:rsidR="0035610C">
        <w:t xml:space="preserve"> of</w:t>
      </w:r>
      <w:r w:rsidR="00EB7075">
        <w:t xml:space="preserve"> Agriculture Victoria,</w:t>
      </w:r>
      <w:r w:rsidR="0035610C">
        <w:t xml:space="preserve"> </w:t>
      </w:r>
      <w:r w:rsidR="00EB7075">
        <w:t>within the Department of Economic Development</w:t>
      </w:r>
      <w:r w:rsidR="00695097">
        <w:t>,</w:t>
      </w:r>
      <w:r w:rsidR="00EB7075">
        <w:t xml:space="preserve"> Jobs</w:t>
      </w:r>
      <w:r w:rsidR="00695097">
        <w:t>,</w:t>
      </w:r>
      <w:r w:rsidR="00EB7075">
        <w:t xml:space="preserve"> Transport and Resources (</w:t>
      </w:r>
      <w:r w:rsidR="00C417B9">
        <w:t>DEDJTR</w:t>
      </w:r>
      <w:r w:rsidR="00EB7075">
        <w:t xml:space="preserve">). To provide arm’s length review, the evaluation was conducted by the Biosecurity and Agriculture Services branch, Agriculture Victoria. </w:t>
      </w:r>
      <w:r w:rsidR="009403DE">
        <w:t xml:space="preserve">This </w:t>
      </w:r>
      <w:r w:rsidR="00D66289">
        <w:t xml:space="preserve">enabled </w:t>
      </w:r>
      <w:r w:rsidR="009403DE">
        <w:t xml:space="preserve">the evaluation </w:t>
      </w:r>
      <w:r w:rsidR="004C4539">
        <w:t xml:space="preserve">process </w:t>
      </w:r>
      <w:r w:rsidR="00D66289">
        <w:t xml:space="preserve">to be </w:t>
      </w:r>
      <w:r w:rsidR="009403DE">
        <w:t xml:space="preserve">independent of the parties involved in developing and executing the </w:t>
      </w:r>
      <w:proofErr w:type="spellStart"/>
      <w:r w:rsidR="009403DE">
        <w:t>SoE</w:t>
      </w:r>
      <w:proofErr w:type="spellEnd"/>
      <w:r w:rsidR="009403DE">
        <w:t xml:space="preserve"> and response.  </w:t>
      </w:r>
    </w:p>
    <w:p w14:paraId="2C7DF525" w14:textId="77777777" w:rsidR="00EB7075" w:rsidRDefault="00EB7075" w:rsidP="009403DE">
      <w:r>
        <w:t xml:space="preserve">Key roles and participants in the evaluation process were: </w:t>
      </w:r>
    </w:p>
    <w:p w14:paraId="7732544B" w14:textId="77777777" w:rsidR="00EB7075" w:rsidRPr="009403DE" w:rsidRDefault="00EB7075" w:rsidP="009403DE">
      <w:pPr>
        <w:pStyle w:val="ListParagraph"/>
        <w:numPr>
          <w:ilvl w:val="0"/>
          <w:numId w:val="18"/>
        </w:numPr>
        <w:spacing w:after="120" w:line="220" w:lineRule="exact"/>
        <w:rPr>
          <w:rFonts w:ascii="Arial" w:hAnsi="Arial" w:cs="Arial"/>
          <w:sz w:val="18"/>
          <w:szCs w:val="18"/>
        </w:rPr>
      </w:pPr>
      <w:r w:rsidRPr="009403DE">
        <w:rPr>
          <w:rFonts w:ascii="Arial" w:hAnsi="Arial" w:cs="Arial"/>
          <w:sz w:val="18"/>
          <w:szCs w:val="18"/>
        </w:rPr>
        <w:t xml:space="preserve">Conduct of evaluation and preparation of report: Biosecurity and Agriculture Services – Agriculture Victoria </w:t>
      </w:r>
    </w:p>
    <w:p w14:paraId="60D8C8DD" w14:textId="13ADCF8E" w:rsidR="00EB7075" w:rsidRPr="009403DE" w:rsidRDefault="00EB7075" w:rsidP="009403DE">
      <w:pPr>
        <w:pStyle w:val="ListParagraph"/>
        <w:numPr>
          <w:ilvl w:val="0"/>
          <w:numId w:val="18"/>
        </w:numPr>
        <w:spacing w:after="120" w:line="220" w:lineRule="exact"/>
        <w:rPr>
          <w:rFonts w:ascii="Arial" w:hAnsi="Arial" w:cs="Arial"/>
          <w:sz w:val="18"/>
          <w:szCs w:val="18"/>
        </w:rPr>
      </w:pPr>
      <w:r w:rsidRPr="009403DE">
        <w:rPr>
          <w:rFonts w:ascii="Arial" w:hAnsi="Arial" w:cs="Arial"/>
          <w:sz w:val="18"/>
          <w:szCs w:val="18"/>
        </w:rPr>
        <w:t>Department liaison and advice: Animal Welfare</w:t>
      </w:r>
      <w:r w:rsidR="00D66289">
        <w:rPr>
          <w:rFonts w:ascii="Arial" w:hAnsi="Arial" w:cs="Arial"/>
          <w:sz w:val="18"/>
          <w:szCs w:val="18"/>
        </w:rPr>
        <w:t xml:space="preserve"> Victoria</w:t>
      </w:r>
      <w:r w:rsidRPr="009403DE">
        <w:rPr>
          <w:rFonts w:ascii="Arial" w:hAnsi="Arial" w:cs="Arial"/>
          <w:sz w:val="18"/>
          <w:szCs w:val="18"/>
        </w:rPr>
        <w:t xml:space="preserve"> and </w:t>
      </w:r>
      <w:r w:rsidR="00D66289">
        <w:rPr>
          <w:rFonts w:ascii="Arial" w:hAnsi="Arial" w:cs="Arial"/>
          <w:sz w:val="18"/>
          <w:szCs w:val="18"/>
        </w:rPr>
        <w:t xml:space="preserve">Agriculture </w:t>
      </w:r>
      <w:r w:rsidRPr="009403DE">
        <w:rPr>
          <w:rFonts w:ascii="Arial" w:hAnsi="Arial" w:cs="Arial"/>
          <w:sz w:val="18"/>
          <w:szCs w:val="18"/>
        </w:rPr>
        <w:t xml:space="preserve">Regulatory Policy – Agriculture Victoria </w:t>
      </w:r>
    </w:p>
    <w:p w14:paraId="779EBDCB" w14:textId="09581958" w:rsidR="00EB7075" w:rsidRPr="009403DE" w:rsidRDefault="00EB7075" w:rsidP="009403DE">
      <w:pPr>
        <w:pStyle w:val="ListParagraph"/>
        <w:numPr>
          <w:ilvl w:val="0"/>
          <w:numId w:val="18"/>
        </w:numPr>
        <w:spacing w:after="120" w:line="220" w:lineRule="exact"/>
        <w:rPr>
          <w:rFonts w:ascii="Arial" w:hAnsi="Arial" w:cs="Arial"/>
          <w:sz w:val="18"/>
          <w:szCs w:val="18"/>
        </w:rPr>
      </w:pPr>
      <w:r w:rsidRPr="009403DE">
        <w:rPr>
          <w:rFonts w:ascii="Arial" w:hAnsi="Arial" w:cs="Arial"/>
          <w:sz w:val="18"/>
          <w:szCs w:val="18"/>
        </w:rPr>
        <w:t>Consultation with regulator: Vet</w:t>
      </w:r>
      <w:r w:rsidR="00CD72A7">
        <w:rPr>
          <w:rFonts w:ascii="Arial" w:hAnsi="Arial" w:cs="Arial"/>
          <w:sz w:val="18"/>
          <w:szCs w:val="18"/>
        </w:rPr>
        <w:t>erinary Practitioners</w:t>
      </w:r>
      <w:r w:rsidRPr="009403DE">
        <w:rPr>
          <w:rFonts w:ascii="Arial" w:hAnsi="Arial" w:cs="Arial"/>
          <w:sz w:val="18"/>
          <w:szCs w:val="18"/>
        </w:rPr>
        <w:t xml:space="preserve"> </w:t>
      </w:r>
      <w:r w:rsidR="00CD72A7">
        <w:rPr>
          <w:rFonts w:ascii="Arial" w:hAnsi="Arial" w:cs="Arial"/>
          <w:sz w:val="18"/>
          <w:szCs w:val="18"/>
        </w:rPr>
        <w:t xml:space="preserve">Registration </w:t>
      </w:r>
      <w:r w:rsidRPr="009403DE">
        <w:rPr>
          <w:rFonts w:ascii="Arial" w:hAnsi="Arial" w:cs="Arial"/>
          <w:sz w:val="18"/>
          <w:szCs w:val="18"/>
        </w:rPr>
        <w:t>Board</w:t>
      </w:r>
      <w:r w:rsidR="00CD72A7">
        <w:rPr>
          <w:rFonts w:ascii="Arial" w:hAnsi="Arial" w:cs="Arial"/>
          <w:sz w:val="18"/>
          <w:szCs w:val="18"/>
        </w:rPr>
        <w:t xml:space="preserve"> of</w:t>
      </w:r>
      <w:r w:rsidRPr="009403DE">
        <w:rPr>
          <w:rFonts w:ascii="Arial" w:hAnsi="Arial" w:cs="Arial"/>
          <w:sz w:val="18"/>
          <w:szCs w:val="18"/>
        </w:rPr>
        <w:t xml:space="preserve"> Victoria </w:t>
      </w:r>
    </w:p>
    <w:p w14:paraId="1FE40A16" w14:textId="7A31547E" w:rsidR="00EB7075" w:rsidRPr="007645C5" w:rsidRDefault="00A04BA3" w:rsidP="007645C5">
      <w:pPr>
        <w:pStyle w:val="Heading2"/>
        <w:numPr>
          <w:ilvl w:val="0"/>
          <w:numId w:val="0"/>
        </w:numPr>
      </w:pPr>
      <w:bookmarkStart w:id="7" w:name="_Toc530128198"/>
      <w:bookmarkStart w:id="8" w:name="_Toc530573059"/>
      <w:r>
        <w:t>Vet Board</w:t>
      </w:r>
      <w:r w:rsidR="00EB7075" w:rsidRPr="007645C5">
        <w:t xml:space="preserve"> context</w:t>
      </w:r>
      <w:bookmarkEnd w:id="7"/>
      <w:bookmarkEnd w:id="8"/>
    </w:p>
    <w:p w14:paraId="0A63B2DB" w14:textId="5B008F3B" w:rsidR="00EB7075" w:rsidRDefault="00CD72A7" w:rsidP="00EB7075">
      <w:r>
        <w:t xml:space="preserve">The </w:t>
      </w:r>
      <w:r w:rsidR="00E5460F">
        <w:t>Vet Board</w:t>
      </w:r>
      <w:r w:rsidR="00EB7075">
        <w:t xml:space="preserve"> is a small regulatory entity consisting of approximately five full-time equivalent staff providing administrative support to a </w:t>
      </w:r>
      <w:r w:rsidR="00E5460F">
        <w:t>b</w:t>
      </w:r>
      <w:r w:rsidR="00EB7075">
        <w:t xml:space="preserve">oard of nine members, with operations funded almost entirely through registration fees paid by practitioners. It has a tightly defined remit to </w:t>
      </w:r>
      <w:r w:rsidR="00EB7075" w:rsidRPr="00310922">
        <w:t xml:space="preserve">protect the public by </w:t>
      </w:r>
      <w:r w:rsidR="00EB7075">
        <w:t xml:space="preserve">ensuring </w:t>
      </w:r>
      <w:r w:rsidR="00EB7075" w:rsidRPr="00310922">
        <w:t>veterinary practitioners</w:t>
      </w:r>
      <w:r w:rsidR="00EB7075">
        <w:t xml:space="preserve"> are</w:t>
      </w:r>
      <w:r w:rsidR="00EB7075" w:rsidRPr="00310922">
        <w:t xml:space="preserve"> </w:t>
      </w:r>
      <w:r w:rsidR="00EB7075">
        <w:t xml:space="preserve">registered and properly qualified. It has a responsibility to </w:t>
      </w:r>
      <w:r w:rsidR="00EB7075" w:rsidRPr="00310922">
        <w:t>investigat</w:t>
      </w:r>
      <w:r w:rsidR="00EB7075">
        <w:t>e</w:t>
      </w:r>
      <w:r w:rsidR="00EB7075" w:rsidRPr="00310922">
        <w:t xml:space="preserve"> the professiona</w:t>
      </w:r>
      <w:r w:rsidR="00AC21DD">
        <w:t>l conduct and fitness to practis</w:t>
      </w:r>
      <w:r w:rsidR="00EB7075" w:rsidRPr="00310922">
        <w:t>e of registered practitioners</w:t>
      </w:r>
      <w:r w:rsidR="00EB7075">
        <w:t>, including in response to complaints from the public</w:t>
      </w:r>
      <w:r w:rsidR="00EB7075" w:rsidRPr="00310922">
        <w:t>.</w:t>
      </w:r>
      <w:r w:rsidR="00EB7075">
        <w:t xml:space="preserve"> While annual resource demands associated with registration processes are relatively stable and predictable, demands arising from complaint investigations can be highly variable, depending on the number, nature and complexity of issues raised. </w:t>
      </w:r>
    </w:p>
    <w:p w14:paraId="2DD12C43" w14:textId="06FC5B3C" w:rsidR="00EB7075" w:rsidRPr="007645C5" w:rsidRDefault="007E4221" w:rsidP="007645C5">
      <w:pPr>
        <w:pStyle w:val="Heading2"/>
        <w:numPr>
          <w:ilvl w:val="0"/>
          <w:numId w:val="0"/>
        </w:numPr>
      </w:pPr>
      <w:bookmarkStart w:id="9" w:name="_Toc530128199"/>
      <w:bookmarkStart w:id="10" w:name="_Toc530573060"/>
      <w:r>
        <w:t>Vet Board</w:t>
      </w:r>
      <w:r w:rsidR="00EB7075" w:rsidRPr="007645C5">
        <w:t xml:space="preserve"> alignment to public policy outcomes</w:t>
      </w:r>
      <w:bookmarkEnd w:id="9"/>
      <w:bookmarkEnd w:id="10"/>
      <w:r w:rsidR="00EB7075" w:rsidRPr="007645C5">
        <w:t xml:space="preserve"> </w:t>
      </w:r>
    </w:p>
    <w:p w14:paraId="38304AC5" w14:textId="77777777" w:rsidR="00D66289" w:rsidRDefault="00EB7075" w:rsidP="00EB7075">
      <w:r w:rsidRPr="007C7DB6">
        <w:t xml:space="preserve">The veterinary profession plays an important role in </w:t>
      </w:r>
      <w:r w:rsidR="00695097">
        <w:t xml:space="preserve">protecting </w:t>
      </w:r>
      <w:r w:rsidR="007A410D">
        <w:t>both</w:t>
      </w:r>
      <w:r w:rsidR="00695097">
        <w:t xml:space="preserve"> public and </w:t>
      </w:r>
      <w:r w:rsidRPr="007C7DB6">
        <w:t xml:space="preserve">animal </w:t>
      </w:r>
      <w:r w:rsidR="007A410D" w:rsidRPr="007C7DB6">
        <w:t>health</w:t>
      </w:r>
      <w:r w:rsidR="007A410D">
        <w:t xml:space="preserve"> and</w:t>
      </w:r>
      <w:r w:rsidRPr="007C7DB6">
        <w:t xml:space="preserve"> </w:t>
      </w:r>
      <w:r w:rsidR="00695097">
        <w:t xml:space="preserve">ensuring good </w:t>
      </w:r>
      <w:r w:rsidRPr="007C7DB6">
        <w:t>welfare</w:t>
      </w:r>
      <w:r w:rsidR="00695097">
        <w:t xml:space="preserve"> outcomes</w:t>
      </w:r>
      <w:r w:rsidR="007A410D">
        <w:t xml:space="preserve"> for Victorian animals</w:t>
      </w:r>
      <w:r w:rsidR="00695097">
        <w:t xml:space="preserve">. It plays a </w:t>
      </w:r>
      <w:r w:rsidR="00910B4C">
        <w:t xml:space="preserve">crucial </w:t>
      </w:r>
      <w:r w:rsidR="00695097">
        <w:t>role</w:t>
      </w:r>
      <w:r w:rsidRPr="007C7DB6">
        <w:t xml:space="preserve"> in detecting and managing critical </w:t>
      </w:r>
      <w:r w:rsidR="00695097">
        <w:t>animal</w:t>
      </w:r>
      <w:r w:rsidR="00695097" w:rsidRPr="007C7DB6">
        <w:t xml:space="preserve"> </w:t>
      </w:r>
      <w:r w:rsidRPr="007C7DB6">
        <w:t>diseases</w:t>
      </w:r>
      <w:r w:rsidR="007A410D">
        <w:t xml:space="preserve">, research and teaching, and services the </w:t>
      </w:r>
      <w:r w:rsidR="007E4221">
        <w:t xml:space="preserve">animal </w:t>
      </w:r>
      <w:r w:rsidR="007A410D">
        <w:t>health and welfare needs of pet and recreational animal own</w:t>
      </w:r>
      <w:r w:rsidR="00910B4C">
        <w:t>ers</w:t>
      </w:r>
      <w:r w:rsidRPr="007C7DB6">
        <w:t xml:space="preserve">. </w:t>
      </w:r>
      <w:r w:rsidR="00695097">
        <w:t>It provides an</w:t>
      </w:r>
      <w:r w:rsidRPr="007C7DB6">
        <w:t xml:space="preserve"> important contribution to Victoria’s reputation for </w:t>
      </w:r>
      <w:r w:rsidR="00695097">
        <w:t xml:space="preserve">clean and safe agricultural produce, good standards of </w:t>
      </w:r>
      <w:r w:rsidRPr="007C7DB6">
        <w:t xml:space="preserve">animal welfare and maintaining the integrity of Victoria’s biosecurity </w:t>
      </w:r>
      <w:r w:rsidR="00695097">
        <w:t xml:space="preserve">and food security </w:t>
      </w:r>
      <w:r w:rsidRPr="007C7DB6">
        <w:t xml:space="preserve">arrangements. </w:t>
      </w:r>
      <w:r w:rsidRPr="007C7DB6">
        <w:lastRenderedPageBreak/>
        <w:t xml:space="preserve">These can be influential factors in </w:t>
      </w:r>
      <w:r w:rsidR="00695097">
        <w:t xml:space="preserve">trade and </w:t>
      </w:r>
      <w:r w:rsidRPr="007C7DB6">
        <w:t xml:space="preserve">tourism and are </w:t>
      </w:r>
      <w:r w:rsidR="00695097">
        <w:t>vital</w:t>
      </w:r>
      <w:r w:rsidRPr="007C7DB6">
        <w:t xml:space="preserve"> to maintaining access to domestic and international markets for Victorian produce</w:t>
      </w:r>
      <w:r w:rsidR="00C417B9">
        <w:t>,</w:t>
      </w:r>
      <w:r w:rsidR="007A410D">
        <w:t xml:space="preserve"> which are </w:t>
      </w:r>
      <w:r w:rsidRPr="007C7DB6">
        <w:t xml:space="preserve">significant elements </w:t>
      </w:r>
      <w:r w:rsidR="007A410D">
        <w:t>of</w:t>
      </w:r>
      <w:r w:rsidR="007A410D" w:rsidRPr="007C7DB6">
        <w:t xml:space="preserve"> </w:t>
      </w:r>
      <w:r w:rsidRPr="007C7DB6">
        <w:t xml:space="preserve">Victoria’s economy. </w:t>
      </w:r>
    </w:p>
    <w:p w14:paraId="4C9BE2BA" w14:textId="22BDAB46" w:rsidR="00EB7075" w:rsidRPr="007C7DB6" w:rsidRDefault="00EB7075" w:rsidP="00EB7075">
      <w:r w:rsidRPr="007C7DB6">
        <w:t>In view of this</w:t>
      </w:r>
      <w:r w:rsidR="007A410D">
        <w:t xml:space="preserve"> public good</w:t>
      </w:r>
      <w:r w:rsidRPr="007C7DB6">
        <w:t xml:space="preserve">, </w:t>
      </w:r>
      <w:r w:rsidR="007E4221">
        <w:t xml:space="preserve">the </w:t>
      </w:r>
      <w:r w:rsidR="00E5460F">
        <w:t>Vet Board</w:t>
      </w:r>
      <w:r w:rsidRPr="007C7DB6">
        <w:t xml:space="preserve"> needs to be effective in its role of ensuring practitioners are registered, appropriately qualified and well informed, so the profession has the capability to play its part in contributing to a Victorian economy that is prosperous, competitive and globally connected. A key question </w:t>
      </w:r>
      <w:r>
        <w:t>dur</w:t>
      </w:r>
      <w:r w:rsidRPr="007C7DB6">
        <w:t>in</w:t>
      </w:r>
      <w:r>
        <w:t>g</w:t>
      </w:r>
      <w:r w:rsidRPr="007C7DB6">
        <w:t xml:space="preserve"> the evaluation </w:t>
      </w:r>
      <w:r>
        <w:t>wa</w:t>
      </w:r>
      <w:r w:rsidRPr="007C7DB6">
        <w:t xml:space="preserve">s the extent to which </w:t>
      </w:r>
      <w:r w:rsidR="007E4221">
        <w:t>the</w:t>
      </w:r>
      <w:r w:rsidR="00CD72A7">
        <w:t xml:space="preserve"> </w:t>
      </w:r>
      <w:r w:rsidR="00E5460F">
        <w:t>Vet Board</w:t>
      </w:r>
      <w:r w:rsidRPr="007C7DB6">
        <w:t xml:space="preserve">’s </w:t>
      </w:r>
      <w:proofErr w:type="spellStart"/>
      <w:r w:rsidRPr="007C7DB6">
        <w:t>SoE</w:t>
      </w:r>
      <w:proofErr w:type="spellEnd"/>
      <w:r w:rsidRPr="007C7DB6">
        <w:t xml:space="preserve"> and response support these public outcomes. </w:t>
      </w:r>
    </w:p>
    <w:p w14:paraId="1355D1FD" w14:textId="77777777" w:rsidR="00EB7075" w:rsidRPr="00B84BB9" w:rsidRDefault="00EB7075" w:rsidP="00EB7075">
      <w:pPr>
        <w:pStyle w:val="Heading1"/>
      </w:pPr>
      <w:bookmarkStart w:id="11" w:name="_Toc530038805"/>
      <w:bookmarkStart w:id="12" w:name="_Toc530573061"/>
      <w:r>
        <w:t>Evaluation methodology</w:t>
      </w:r>
      <w:bookmarkEnd w:id="11"/>
      <w:bookmarkEnd w:id="12"/>
    </w:p>
    <w:p w14:paraId="5E659746" w14:textId="77777777" w:rsidR="00EB7075" w:rsidRPr="00DF548E" w:rsidRDefault="00EB7075" w:rsidP="00EB7075">
      <w:pPr>
        <w:rPr>
          <w:rFonts w:cs="Arial"/>
          <w:szCs w:val="18"/>
        </w:rPr>
      </w:pPr>
      <w:r w:rsidRPr="00DF548E">
        <w:rPr>
          <w:rFonts w:cs="Arial"/>
          <w:szCs w:val="18"/>
        </w:rPr>
        <w:t xml:space="preserve">The evaluation methodology draws on a simple analysis broken into two parts:  </w:t>
      </w:r>
    </w:p>
    <w:p w14:paraId="7A693364" w14:textId="61605C31" w:rsidR="00EB7075" w:rsidRPr="00DF548E" w:rsidRDefault="00EB7075" w:rsidP="007E4221">
      <w:pPr>
        <w:pStyle w:val="ListParagraph"/>
        <w:numPr>
          <w:ilvl w:val="0"/>
          <w:numId w:val="17"/>
        </w:numPr>
        <w:spacing w:after="120" w:line="220" w:lineRule="exact"/>
        <w:rPr>
          <w:rFonts w:ascii="Arial" w:hAnsi="Arial" w:cs="Arial"/>
          <w:sz w:val="18"/>
          <w:szCs w:val="18"/>
        </w:rPr>
      </w:pPr>
      <w:r w:rsidRPr="00DF548E">
        <w:rPr>
          <w:rFonts w:ascii="Arial" w:hAnsi="Arial" w:cs="Arial"/>
          <w:sz w:val="18"/>
          <w:szCs w:val="18"/>
        </w:rPr>
        <w:t>a compar</w:t>
      </w:r>
      <w:r w:rsidR="00BC7BD0">
        <w:rPr>
          <w:rFonts w:ascii="Arial" w:hAnsi="Arial" w:cs="Arial"/>
          <w:sz w:val="18"/>
          <w:szCs w:val="18"/>
        </w:rPr>
        <w:t>ison</w:t>
      </w:r>
      <w:r w:rsidRPr="00DF548E">
        <w:rPr>
          <w:rFonts w:ascii="Arial" w:hAnsi="Arial" w:cs="Arial"/>
          <w:sz w:val="18"/>
          <w:szCs w:val="18"/>
        </w:rPr>
        <w:t xml:space="preserve"> of </w:t>
      </w:r>
      <w:r w:rsidR="00BC7BD0">
        <w:rPr>
          <w:rFonts w:ascii="Arial" w:hAnsi="Arial" w:cs="Arial"/>
          <w:sz w:val="18"/>
          <w:szCs w:val="18"/>
        </w:rPr>
        <w:t xml:space="preserve">actions </w:t>
      </w:r>
      <w:proofErr w:type="gramStart"/>
      <w:r w:rsidR="00BC7BD0">
        <w:rPr>
          <w:rFonts w:ascii="Arial" w:hAnsi="Arial" w:cs="Arial"/>
          <w:sz w:val="18"/>
          <w:szCs w:val="18"/>
        </w:rPr>
        <w:t>taken</w:t>
      </w:r>
      <w:proofErr w:type="gramEnd"/>
      <w:r w:rsidR="00BC7BD0">
        <w:rPr>
          <w:rFonts w:ascii="Arial" w:hAnsi="Arial" w:cs="Arial"/>
          <w:sz w:val="18"/>
          <w:szCs w:val="18"/>
        </w:rPr>
        <w:t xml:space="preserve"> and </w:t>
      </w:r>
      <w:r w:rsidRPr="00DF548E">
        <w:rPr>
          <w:rFonts w:ascii="Arial" w:hAnsi="Arial" w:cs="Arial"/>
          <w:sz w:val="18"/>
          <w:szCs w:val="18"/>
        </w:rPr>
        <w:t xml:space="preserve">results achieved </w:t>
      </w:r>
      <w:r w:rsidR="007E4221">
        <w:rPr>
          <w:rFonts w:ascii="Arial" w:hAnsi="Arial" w:cs="Arial"/>
          <w:sz w:val="18"/>
          <w:szCs w:val="18"/>
        </w:rPr>
        <w:t xml:space="preserve">by </w:t>
      </w:r>
      <w:r w:rsidR="007E4221" w:rsidRPr="007E4221">
        <w:rPr>
          <w:rFonts w:ascii="Arial" w:hAnsi="Arial" w:cs="Arial"/>
          <w:sz w:val="18"/>
          <w:szCs w:val="18"/>
        </w:rPr>
        <w:t xml:space="preserve">the </w:t>
      </w:r>
      <w:r w:rsidR="00E5460F">
        <w:rPr>
          <w:rFonts w:ascii="Arial" w:hAnsi="Arial" w:cs="Arial"/>
          <w:sz w:val="18"/>
          <w:szCs w:val="18"/>
        </w:rPr>
        <w:t>Vet Board</w:t>
      </w:r>
      <w:r w:rsidR="00BC7BD0">
        <w:rPr>
          <w:rFonts w:ascii="Arial" w:hAnsi="Arial" w:cs="Arial"/>
          <w:sz w:val="18"/>
          <w:szCs w:val="18"/>
        </w:rPr>
        <w:t xml:space="preserve">, </w:t>
      </w:r>
      <w:r w:rsidR="00BC7BD0" w:rsidRPr="00DF548E">
        <w:rPr>
          <w:rFonts w:ascii="Arial" w:hAnsi="Arial" w:cs="Arial"/>
          <w:sz w:val="18"/>
          <w:szCs w:val="18"/>
        </w:rPr>
        <w:t>as at November 2018</w:t>
      </w:r>
      <w:r w:rsidR="00BC7BD0">
        <w:rPr>
          <w:rFonts w:ascii="Arial" w:hAnsi="Arial" w:cs="Arial"/>
          <w:sz w:val="18"/>
          <w:szCs w:val="18"/>
        </w:rPr>
        <w:t>,</w:t>
      </w:r>
      <w:r w:rsidRPr="00DF548E">
        <w:rPr>
          <w:rFonts w:ascii="Arial" w:hAnsi="Arial" w:cs="Arial"/>
          <w:sz w:val="18"/>
          <w:szCs w:val="18"/>
        </w:rPr>
        <w:t xml:space="preserve"> against the expectations and </w:t>
      </w:r>
      <w:r w:rsidR="00BC7BD0">
        <w:rPr>
          <w:rFonts w:ascii="Arial" w:hAnsi="Arial" w:cs="Arial"/>
          <w:sz w:val="18"/>
          <w:szCs w:val="18"/>
        </w:rPr>
        <w:t xml:space="preserve">targets of the </w:t>
      </w:r>
      <w:proofErr w:type="spellStart"/>
      <w:r w:rsidR="00BC7BD0">
        <w:rPr>
          <w:rFonts w:ascii="Arial" w:hAnsi="Arial" w:cs="Arial"/>
          <w:sz w:val="18"/>
          <w:szCs w:val="18"/>
        </w:rPr>
        <w:t>SoE</w:t>
      </w:r>
      <w:proofErr w:type="spellEnd"/>
      <w:r w:rsidR="00BC7BD0">
        <w:rPr>
          <w:rFonts w:ascii="Arial" w:hAnsi="Arial" w:cs="Arial"/>
          <w:sz w:val="18"/>
          <w:szCs w:val="18"/>
        </w:rPr>
        <w:t xml:space="preserve"> and response</w:t>
      </w:r>
      <w:r w:rsidRPr="00DF548E">
        <w:rPr>
          <w:rFonts w:ascii="Arial" w:hAnsi="Arial" w:cs="Arial"/>
          <w:sz w:val="18"/>
          <w:szCs w:val="18"/>
        </w:rPr>
        <w:t xml:space="preserve"> (the </w:t>
      </w:r>
      <w:r w:rsidRPr="00DF548E">
        <w:rPr>
          <w:rFonts w:ascii="Arial" w:hAnsi="Arial" w:cs="Arial"/>
          <w:b/>
          <w:sz w:val="18"/>
          <w:szCs w:val="18"/>
        </w:rPr>
        <w:t>performance evaluation</w:t>
      </w:r>
      <w:r w:rsidRPr="00DF548E">
        <w:rPr>
          <w:rFonts w:ascii="Arial" w:hAnsi="Arial" w:cs="Arial"/>
          <w:sz w:val="18"/>
          <w:szCs w:val="18"/>
        </w:rPr>
        <w:t xml:space="preserve">), and </w:t>
      </w:r>
    </w:p>
    <w:p w14:paraId="30E570CD" w14:textId="48BDB3BE" w:rsidR="00EB7075" w:rsidRPr="00DF548E" w:rsidRDefault="00EB7075" w:rsidP="007E4221">
      <w:pPr>
        <w:pStyle w:val="ListParagraph"/>
        <w:numPr>
          <w:ilvl w:val="0"/>
          <w:numId w:val="17"/>
        </w:numPr>
        <w:spacing w:after="120" w:line="220" w:lineRule="exact"/>
        <w:rPr>
          <w:rFonts w:ascii="Arial" w:hAnsi="Arial" w:cs="Arial"/>
          <w:sz w:val="18"/>
          <w:szCs w:val="18"/>
        </w:rPr>
      </w:pPr>
      <w:r w:rsidRPr="00DF548E">
        <w:rPr>
          <w:rFonts w:ascii="Arial" w:hAnsi="Arial" w:cs="Arial"/>
          <w:sz w:val="18"/>
          <w:szCs w:val="18"/>
        </w:rPr>
        <w:t>a compar</w:t>
      </w:r>
      <w:r w:rsidR="00BC7BD0">
        <w:rPr>
          <w:rFonts w:ascii="Arial" w:hAnsi="Arial" w:cs="Arial"/>
          <w:sz w:val="18"/>
          <w:szCs w:val="18"/>
        </w:rPr>
        <w:t>ison</w:t>
      </w:r>
      <w:r w:rsidRPr="00DF548E">
        <w:rPr>
          <w:rFonts w:ascii="Arial" w:hAnsi="Arial" w:cs="Arial"/>
          <w:sz w:val="18"/>
          <w:szCs w:val="18"/>
        </w:rPr>
        <w:t xml:space="preserve"> of the </w:t>
      </w:r>
      <w:r w:rsidR="00BC7BD0">
        <w:rPr>
          <w:rFonts w:ascii="Arial" w:hAnsi="Arial" w:cs="Arial"/>
          <w:sz w:val="18"/>
          <w:szCs w:val="18"/>
        </w:rPr>
        <w:t xml:space="preserve">content, </w:t>
      </w:r>
      <w:r w:rsidRPr="00DF548E">
        <w:rPr>
          <w:rFonts w:ascii="Arial" w:hAnsi="Arial" w:cs="Arial"/>
          <w:sz w:val="18"/>
          <w:szCs w:val="18"/>
        </w:rPr>
        <w:t xml:space="preserve">process </w:t>
      </w:r>
      <w:r w:rsidR="00BC7BD0">
        <w:rPr>
          <w:rFonts w:ascii="Arial" w:hAnsi="Arial" w:cs="Arial"/>
          <w:sz w:val="18"/>
          <w:szCs w:val="18"/>
        </w:rPr>
        <w:t xml:space="preserve">and effect of </w:t>
      </w:r>
      <w:r w:rsidR="007E4221" w:rsidRPr="007E4221">
        <w:rPr>
          <w:rFonts w:ascii="Arial" w:hAnsi="Arial" w:cs="Arial"/>
          <w:sz w:val="18"/>
          <w:szCs w:val="18"/>
        </w:rPr>
        <w:t xml:space="preserve">the </w:t>
      </w:r>
      <w:r w:rsidR="00E5460F">
        <w:rPr>
          <w:rFonts w:ascii="Arial" w:hAnsi="Arial" w:cs="Arial"/>
          <w:sz w:val="18"/>
          <w:szCs w:val="18"/>
        </w:rPr>
        <w:t>Vet Board</w:t>
      </w:r>
      <w:r w:rsidRPr="00DF548E">
        <w:rPr>
          <w:rFonts w:ascii="Arial" w:hAnsi="Arial" w:cs="Arial"/>
          <w:sz w:val="18"/>
          <w:szCs w:val="18"/>
        </w:rPr>
        <w:t xml:space="preserve">’s </w:t>
      </w:r>
      <w:proofErr w:type="spellStart"/>
      <w:r w:rsidRPr="00DF548E">
        <w:rPr>
          <w:rFonts w:ascii="Arial" w:hAnsi="Arial" w:cs="Arial"/>
          <w:sz w:val="18"/>
          <w:szCs w:val="18"/>
        </w:rPr>
        <w:t>SoE</w:t>
      </w:r>
      <w:proofErr w:type="spellEnd"/>
      <w:r w:rsidRPr="00DF548E">
        <w:rPr>
          <w:rFonts w:ascii="Arial" w:hAnsi="Arial" w:cs="Arial"/>
          <w:sz w:val="18"/>
          <w:szCs w:val="18"/>
        </w:rPr>
        <w:t xml:space="preserve"> and response against the stated requirements </w:t>
      </w:r>
      <w:r w:rsidR="00BC7BD0">
        <w:rPr>
          <w:rFonts w:ascii="Arial" w:hAnsi="Arial" w:cs="Arial"/>
          <w:sz w:val="18"/>
          <w:szCs w:val="18"/>
        </w:rPr>
        <w:t xml:space="preserve">and intentions </w:t>
      </w:r>
      <w:r w:rsidRPr="00DF548E">
        <w:rPr>
          <w:rFonts w:ascii="Arial" w:hAnsi="Arial" w:cs="Arial"/>
          <w:sz w:val="18"/>
          <w:szCs w:val="18"/>
        </w:rPr>
        <w:t xml:space="preserve">of the </w:t>
      </w:r>
      <w:proofErr w:type="spellStart"/>
      <w:r w:rsidRPr="00DF548E">
        <w:rPr>
          <w:rFonts w:ascii="Arial" w:hAnsi="Arial" w:cs="Arial"/>
          <w:sz w:val="18"/>
          <w:szCs w:val="18"/>
        </w:rPr>
        <w:t>SoE</w:t>
      </w:r>
      <w:proofErr w:type="spellEnd"/>
      <w:r w:rsidRPr="00DF548E">
        <w:rPr>
          <w:rFonts w:ascii="Arial" w:hAnsi="Arial" w:cs="Arial"/>
          <w:sz w:val="18"/>
          <w:szCs w:val="18"/>
        </w:rPr>
        <w:t xml:space="preserve"> framework (the </w:t>
      </w:r>
      <w:r w:rsidRPr="00DF548E">
        <w:rPr>
          <w:rFonts w:ascii="Arial" w:hAnsi="Arial" w:cs="Arial"/>
          <w:b/>
          <w:sz w:val="18"/>
          <w:szCs w:val="18"/>
        </w:rPr>
        <w:t>process evaluation</w:t>
      </w:r>
      <w:r w:rsidRPr="00DF548E">
        <w:rPr>
          <w:rFonts w:ascii="Arial" w:hAnsi="Arial" w:cs="Arial"/>
          <w:sz w:val="18"/>
          <w:szCs w:val="18"/>
        </w:rPr>
        <w:t xml:space="preserve">). </w:t>
      </w:r>
    </w:p>
    <w:p w14:paraId="6D252A7B" w14:textId="30A5681A" w:rsidR="00EB7075" w:rsidRDefault="00EB7075" w:rsidP="00EB7075">
      <w:r>
        <w:t>For the performance evaluation</w:t>
      </w:r>
      <w:r w:rsidRPr="00A35F4D">
        <w:t xml:space="preserve">, the analysis considers what </w:t>
      </w:r>
      <w:r>
        <w:t xml:space="preserve">would constitute </w:t>
      </w:r>
      <w:r w:rsidRPr="00A35F4D">
        <w:t xml:space="preserve">success </w:t>
      </w:r>
      <w:r>
        <w:t xml:space="preserve">in terms of meeting the </w:t>
      </w:r>
      <w:proofErr w:type="spellStart"/>
      <w:r>
        <w:t>SoE</w:t>
      </w:r>
      <w:proofErr w:type="spellEnd"/>
      <w:r>
        <w:t xml:space="preserve"> targets and </w:t>
      </w:r>
      <w:r w:rsidRPr="00A35F4D">
        <w:t>establishe</w:t>
      </w:r>
      <w:r>
        <w:t>s a set of questions that form the criteria for</w:t>
      </w:r>
      <w:r w:rsidRPr="00A35F4D">
        <w:t xml:space="preserve"> assessment. The same approach is used to assess how well the process of developing </w:t>
      </w:r>
      <w:r w:rsidR="007E4221">
        <w:t xml:space="preserve">the </w:t>
      </w:r>
      <w:r w:rsidR="00E5460F">
        <w:t>Vet Board</w:t>
      </w:r>
      <w:r w:rsidRPr="00A35F4D">
        <w:t xml:space="preserve">’s </w:t>
      </w:r>
      <w:proofErr w:type="spellStart"/>
      <w:r w:rsidRPr="00A35F4D">
        <w:t>SoE</w:t>
      </w:r>
      <w:proofErr w:type="spellEnd"/>
      <w:r w:rsidRPr="00A35F4D">
        <w:t xml:space="preserve"> was aligned to the </w:t>
      </w:r>
      <w:proofErr w:type="spellStart"/>
      <w:r w:rsidRPr="00A35F4D">
        <w:t>SoE</w:t>
      </w:r>
      <w:proofErr w:type="spellEnd"/>
      <w:r w:rsidRPr="00A35F4D">
        <w:t xml:space="preserve"> framework.</w:t>
      </w:r>
      <w:r>
        <w:t xml:space="preserve"> </w:t>
      </w:r>
      <w:r w:rsidR="00FC358E">
        <w:br/>
      </w:r>
      <w:r w:rsidRPr="00BD35F0">
        <w:rPr>
          <w:b/>
        </w:rPr>
        <w:t>Appendix A</w:t>
      </w:r>
      <w:r>
        <w:t xml:space="preserve"> contains additional information about how the assessment criteria for the evaluation were derived. </w:t>
      </w:r>
    </w:p>
    <w:p w14:paraId="45DBB1DC" w14:textId="5025DB9E" w:rsidR="00EB7075" w:rsidRDefault="00EB7075" w:rsidP="00EB7075">
      <w:r w:rsidRPr="00167CDE">
        <w:t>Th</w:t>
      </w:r>
      <w:r>
        <w:t>e</w:t>
      </w:r>
      <w:r w:rsidRPr="00167CDE">
        <w:t xml:space="preserve"> analysis </w:t>
      </w:r>
      <w:r>
        <w:t>wa</w:t>
      </w:r>
      <w:r w:rsidRPr="00167CDE">
        <w:t xml:space="preserve">s based on information gathered from </w:t>
      </w:r>
      <w:r w:rsidR="007E4221">
        <w:t xml:space="preserve">the </w:t>
      </w:r>
      <w:r w:rsidR="00E5460F">
        <w:t>Vet Board</w:t>
      </w:r>
      <w:r w:rsidRPr="00167CDE">
        <w:t xml:space="preserve">’s Annual Report 2017-18, </w:t>
      </w:r>
      <w:r w:rsidR="007E4221">
        <w:t xml:space="preserve">the </w:t>
      </w:r>
      <w:r w:rsidR="00E5460F">
        <w:t>Vet Board</w:t>
      </w:r>
      <w:r w:rsidRPr="00167CDE">
        <w:t>’s public website, the joint DEDJTR–</w:t>
      </w:r>
      <w:r w:rsidR="007E4221">
        <w:t>Vet Board</w:t>
      </w:r>
      <w:r w:rsidRPr="00167CDE">
        <w:t xml:space="preserve"> annual governance health check (managed by Agriculture Victoria), and </w:t>
      </w:r>
      <w:r w:rsidR="007D64B7">
        <w:t>discussion</w:t>
      </w:r>
      <w:r w:rsidRPr="00167CDE">
        <w:t xml:space="preserve">s with </w:t>
      </w:r>
      <w:r w:rsidR="007E4221">
        <w:t>Vet Board</w:t>
      </w:r>
      <w:r w:rsidRPr="00167CDE">
        <w:t xml:space="preserve"> officers and Agriculture Victoria staff.</w:t>
      </w:r>
    </w:p>
    <w:p w14:paraId="18432475" w14:textId="6D8A4192" w:rsidR="00EB7075" w:rsidRDefault="00EB7075" w:rsidP="00DF548E">
      <w:r>
        <w:t xml:space="preserve">While the </w:t>
      </w:r>
      <w:proofErr w:type="spellStart"/>
      <w:r>
        <w:t>SoE</w:t>
      </w:r>
      <w:proofErr w:type="spellEnd"/>
      <w:r>
        <w:t xml:space="preserve"> is currently set to run until June 2019, the </w:t>
      </w:r>
      <w:r w:rsidR="00FC358E">
        <w:t>DTF guidance</w:t>
      </w:r>
      <w:r>
        <w:t xml:space="preserve"> re</w:t>
      </w:r>
      <w:r w:rsidR="00E5460F">
        <w:t>commended that</w:t>
      </w:r>
      <w:r>
        <w:t xml:space="preserve"> this evaluation be completed </w:t>
      </w:r>
      <w:r w:rsidR="00E5460F">
        <w:t>by the end of December 2018</w:t>
      </w:r>
      <w:r>
        <w:t xml:space="preserve">.  In practice, this means the performance evaluation needed to be based on information available up until early November 2018. In view of this, the performance evaluation was made from the perspective of a progress update, as distinct from a full and final evaluation. </w:t>
      </w:r>
      <w:r w:rsidR="00FC358E">
        <w:t xml:space="preserve">It is a requirement </w:t>
      </w:r>
      <w:r w:rsidR="00FC358E" w:rsidRPr="00FC358E">
        <w:t>under the SOE Framework for evaluation reports to be published.</w:t>
      </w:r>
    </w:p>
    <w:p w14:paraId="62DA66AE" w14:textId="77777777" w:rsidR="00EB7075" w:rsidRDefault="00DF548E" w:rsidP="00EB7075">
      <w:pPr>
        <w:pStyle w:val="Heading1"/>
      </w:pPr>
      <w:bookmarkStart w:id="13" w:name="_Toc530038806"/>
      <w:bookmarkStart w:id="14" w:name="_Toc530573062"/>
      <w:r>
        <w:t>E</w:t>
      </w:r>
      <w:r w:rsidR="00EB7075">
        <w:t>valuation conclusions</w:t>
      </w:r>
      <w:bookmarkEnd w:id="13"/>
      <w:bookmarkEnd w:id="14"/>
    </w:p>
    <w:p w14:paraId="6FA21AAB" w14:textId="77777777" w:rsidR="00EB7075" w:rsidRPr="007645C5" w:rsidRDefault="00EB7075" w:rsidP="007645C5">
      <w:pPr>
        <w:pStyle w:val="Heading2"/>
        <w:numPr>
          <w:ilvl w:val="0"/>
          <w:numId w:val="0"/>
        </w:numPr>
      </w:pPr>
      <w:bookmarkStart w:id="15" w:name="_Toc530038807"/>
      <w:bookmarkStart w:id="16" w:name="_Toc530128202"/>
      <w:bookmarkStart w:id="17" w:name="_Toc530573063"/>
      <w:r w:rsidRPr="007645C5">
        <w:t>Performance evaluation conclusions</w:t>
      </w:r>
      <w:bookmarkEnd w:id="15"/>
      <w:bookmarkEnd w:id="16"/>
      <w:bookmarkEnd w:id="17"/>
    </w:p>
    <w:p w14:paraId="417F3A80" w14:textId="59866E28" w:rsidR="00D66289" w:rsidRDefault="00C74EE8" w:rsidP="00EB7075">
      <w:r>
        <w:t xml:space="preserve">The </w:t>
      </w:r>
      <w:r w:rsidR="00E5460F">
        <w:t>Vet Board</w:t>
      </w:r>
      <w:r w:rsidR="00EB7075">
        <w:rPr>
          <w:rFonts w:cs="Arial"/>
          <w:szCs w:val="18"/>
        </w:rPr>
        <w:t xml:space="preserve"> has made a number of improvements in line with its </w:t>
      </w:r>
      <w:proofErr w:type="spellStart"/>
      <w:r w:rsidR="00EB7075">
        <w:rPr>
          <w:rFonts w:cs="Arial"/>
          <w:szCs w:val="18"/>
        </w:rPr>
        <w:t>SoE</w:t>
      </w:r>
      <w:proofErr w:type="spellEnd"/>
      <w:r w:rsidR="00EB7075">
        <w:rPr>
          <w:rFonts w:cs="Arial"/>
          <w:szCs w:val="18"/>
        </w:rPr>
        <w:t xml:space="preserve"> and </w:t>
      </w:r>
      <w:proofErr w:type="gramStart"/>
      <w:r w:rsidR="00EB7075">
        <w:rPr>
          <w:rFonts w:cs="Arial"/>
          <w:szCs w:val="18"/>
        </w:rPr>
        <w:t>response, and</w:t>
      </w:r>
      <w:proofErr w:type="gramEnd"/>
      <w:r w:rsidR="00EB7075">
        <w:rPr>
          <w:rFonts w:cs="Arial"/>
          <w:szCs w:val="18"/>
        </w:rPr>
        <w:t xml:space="preserve"> has initiatives under way that will bring further enhancements to its operations and stakeholder interactions. </w:t>
      </w:r>
      <w:r w:rsidR="00EB7075">
        <w:t xml:space="preserve">There are some aspects that have not yet been addressed, or where some further action could be taken. For example, while there is evidence </w:t>
      </w:r>
      <w:r>
        <w:t xml:space="preserve">the </w:t>
      </w:r>
      <w:r w:rsidR="00E5460F">
        <w:t>Vet Board</w:t>
      </w:r>
      <w:r w:rsidR="00EB7075">
        <w:t xml:space="preserve"> is applying a risk-based approach to regulation and compliance, it has</w:t>
      </w:r>
      <w:r w:rsidR="00D66289">
        <w:t xml:space="preserve"> </w:t>
      </w:r>
      <w:r w:rsidR="00EB7075">
        <w:t>n</w:t>
      </w:r>
      <w:r w:rsidR="00D66289">
        <w:t>o</w:t>
      </w:r>
      <w:r w:rsidR="00EB7075">
        <w:t xml:space="preserve">t succinctly articulated a risk-based regulatory strategy (it has stated risk-based approaches for operations, finance and security). </w:t>
      </w:r>
    </w:p>
    <w:p w14:paraId="38E5FCD2" w14:textId="6DB83F68" w:rsidR="00EB7075" w:rsidRDefault="00EB7075" w:rsidP="00EB7075">
      <w:r>
        <w:t xml:space="preserve">However, in tackling the </w:t>
      </w:r>
      <w:proofErr w:type="spellStart"/>
      <w:r>
        <w:t>SoE</w:t>
      </w:r>
      <w:proofErr w:type="spellEnd"/>
      <w:r>
        <w:t xml:space="preserve"> targets </w:t>
      </w:r>
      <w:r w:rsidR="00C74EE8">
        <w:t xml:space="preserve">the </w:t>
      </w:r>
      <w:r w:rsidR="00E5460F">
        <w:t>Vet Board</w:t>
      </w:r>
      <w:r>
        <w:t xml:space="preserve"> has given priority to actions that either give the most significant or direct benefit to </w:t>
      </w:r>
      <w:proofErr w:type="gramStart"/>
      <w:r>
        <w:t>stakeholders, or</w:t>
      </w:r>
      <w:proofErr w:type="gramEnd"/>
      <w:r>
        <w:t xml:space="preserve"> will establish the infrastructure and systems </w:t>
      </w:r>
      <w:r w:rsidR="00C74EE8">
        <w:t xml:space="preserve">the </w:t>
      </w:r>
      <w:r w:rsidR="00E5460F">
        <w:t>Vet Board</w:t>
      </w:r>
      <w:r>
        <w:t xml:space="preserve"> needs to enable future improvements. To this extent, while </w:t>
      </w:r>
      <w:r w:rsidR="00C74EE8">
        <w:t xml:space="preserve">the </w:t>
      </w:r>
      <w:r w:rsidR="00E5460F">
        <w:t>Vet Board</w:t>
      </w:r>
      <w:r>
        <w:t xml:space="preserve"> has not met all aspects of the </w:t>
      </w:r>
      <w:proofErr w:type="spellStart"/>
      <w:r>
        <w:t>SoE</w:t>
      </w:r>
      <w:proofErr w:type="spellEnd"/>
      <w:r>
        <w:t xml:space="preserve"> to the letter, (</w:t>
      </w:r>
      <w:r>
        <w:rPr>
          <w:rFonts w:cs="Arial"/>
          <w:szCs w:val="18"/>
        </w:rPr>
        <w:t>as at November 2018),</w:t>
      </w:r>
      <w:r>
        <w:t xml:space="preserve"> it is meeting them in intent, noting the </w:t>
      </w:r>
      <w:proofErr w:type="spellStart"/>
      <w:r>
        <w:t>SoE</w:t>
      </w:r>
      <w:proofErr w:type="spellEnd"/>
      <w:r>
        <w:t xml:space="preserve"> is still ex</w:t>
      </w:r>
      <w:r w:rsidR="007A410D">
        <w:t>pec</w:t>
      </w:r>
      <w:r>
        <w:t>ted to run until June 2019 and some targets have timelines beyond the publish</w:t>
      </w:r>
      <w:r w:rsidR="007A410D">
        <w:t>-</w:t>
      </w:r>
      <w:r w:rsidR="00C74EE8">
        <w:t>date of this evaluation report.</w:t>
      </w:r>
    </w:p>
    <w:p w14:paraId="6A20D0F0" w14:textId="77777777" w:rsidR="00EB7075" w:rsidRPr="007645C5" w:rsidRDefault="00EB7075" w:rsidP="007645C5">
      <w:pPr>
        <w:pStyle w:val="Heading2"/>
        <w:numPr>
          <w:ilvl w:val="0"/>
          <w:numId w:val="0"/>
        </w:numPr>
      </w:pPr>
      <w:bookmarkStart w:id="18" w:name="_Toc530038808"/>
      <w:bookmarkStart w:id="19" w:name="_Toc530128203"/>
      <w:bookmarkStart w:id="20" w:name="_Toc530573064"/>
      <w:r w:rsidRPr="007645C5">
        <w:t>Process evaluation conclusions</w:t>
      </w:r>
      <w:bookmarkEnd w:id="18"/>
      <w:bookmarkEnd w:id="19"/>
      <w:bookmarkEnd w:id="20"/>
    </w:p>
    <w:p w14:paraId="28ACA05D" w14:textId="30178C5C" w:rsidR="00D66289" w:rsidRDefault="00EB7075" w:rsidP="00EB7075">
      <w:pPr>
        <w:rPr>
          <w:rFonts w:cs="Arial"/>
          <w:szCs w:val="18"/>
        </w:rPr>
      </w:pPr>
      <w:r>
        <w:rPr>
          <w:rFonts w:cs="Arial"/>
          <w:szCs w:val="18"/>
        </w:rPr>
        <w:t xml:space="preserve">Broadly speaking, the process for developing </w:t>
      </w:r>
      <w:r w:rsidR="00C74EE8">
        <w:t xml:space="preserve">the </w:t>
      </w:r>
      <w:r w:rsidR="00E5460F">
        <w:t>Vet Board</w:t>
      </w:r>
      <w:r>
        <w:rPr>
          <w:rFonts w:cs="Arial"/>
          <w:szCs w:val="18"/>
        </w:rPr>
        <w:t xml:space="preserve">’s </w:t>
      </w:r>
      <w:proofErr w:type="spellStart"/>
      <w:r>
        <w:rPr>
          <w:rFonts w:cs="Arial"/>
          <w:szCs w:val="18"/>
        </w:rPr>
        <w:t>SoE</w:t>
      </w:r>
      <w:proofErr w:type="spellEnd"/>
      <w:r>
        <w:rPr>
          <w:rFonts w:cs="Arial"/>
          <w:szCs w:val="18"/>
        </w:rPr>
        <w:t xml:space="preserve"> and response met the required standards of the </w:t>
      </w:r>
      <w:proofErr w:type="spellStart"/>
      <w:r>
        <w:rPr>
          <w:rFonts w:cs="Arial"/>
          <w:szCs w:val="18"/>
        </w:rPr>
        <w:t>SoE</w:t>
      </w:r>
      <w:proofErr w:type="spellEnd"/>
      <w:r>
        <w:rPr>
          <w:rFonts w:cs="Arial"/>
          <w:szCs w:val="18"/>
        </w:rPr>
        <w:t xml:space="preserve"> framework. </w:t>
      </w:r>
      <w:r w:rsidR="008C18F2">
        <w:rPr>
          <w:rFonts w:cs="Arial"/>
          <w:szCs w:val="18"/>
        </w:rPr>
        <w:t xml:space="preserve">The department undertook a consultation process with </w:t>
      </w:r>
      <w:r w:rsidR="00C74EE8">
        <w:t xml:space="preserve">the </w:t>
      </w:r>
      <w:r w:rsidR="00E5460F">
        <w:t>Vet Board</w:t>
      </w:r>
      <w:r w:rsidR="008C18F2">
        <w:rPr>
          <w:rFonts w:cs="Arial"/>
          <w:szCs w:val="18"/>
        </w:rPr>
        <w:t xml:space="preserve"> in developing the </w:t>
      </w:r>
      <w:proofErr w:type="spellStart"/>
      <w:r w:rsidR="008C18F2">
        <w:rPr>
          <w:rFonts w:cs="Arial"/>
          <w:szCs w:val="18"/>
        </w:rPr>
        <w:t>SoE</w:t>
      </w:r>
      <w:proofErr w:type="spellEnd"/>
      <w:r w:rsidR="008C18F2">
        <w:rPr>
          <w:rFonts w:cs="Arial"/>
          <w:szCs w:val="18"/>
        </w:rPr>
        <w:t xml:space="preserve"> and response, as required under the framework. </w:t>
      </w:r>
      <w:r w:rsidR="00176211">
        <w:rPr>
          <w:rFonts w:cs="Arial"/>
          <w:szCs w:val="18"/>
        </w:rPr>
        <w:t xml:space="preserve">For future </w:t>
      </w:r>
      <w:proofErr w:type="spellStart"/>
      <w:r w:rsidR="00176211">
        <w:rPr>
          <w:rFonts w:cs="Arial"/>
          <w:szCs w:val="18"/>
        </w:rPr>
        <w:t>SoEs</w:t>
      </w:r>
      <w:proofErr w:type="spellEnd"/>
      <w:r w:rsidR="00176211">
        <w:rPr>
          <w:rFonts w:cs="Arial"/>
          <w:szCs w:val="18"/>
        </w:rPr>
        <w:t xml:space="preserve">, </w:t>
      </w:r>
      <w:r w:rsidR="00C74EE8">
        <w:t xml:space="preserve">the </w:t>
      </w:r>
      <w:r w:rsidR="00E5460F">
        <w:t>Vet Board</w:t>
      </w:r>
      <w:r w:rsidR="008C18F2">
        <w:rPr>
          <w:rFonts w:cs="Arial"/>
          <w:szCs w:val="18"/>
        </w:rPr>
        <w:t xml:space="preserve"> would prefer a more iterative process, with additional consultation opportunities,</w:t>
      </w:r>
      <w:r>
        <w:rPr>
          <w:rFonts w:cs="Arial"/>
          <w:szCs w:val="18"/>
        </w:rPr>
        <w:t xml:space="preserve"> and </w:t>
      </w:r>
      <w:r w:rsidR="008C18F2">
        <w:rPr>
          <w:rFonts w:cs="Arial"/>
          <w:szCs w:val="18"/>
        </w:rPr>
        <w:t xml:space="preserve">a more </w:t>
      </w:r>
      <w:r>
        <w:rPr>
          <w:rFonts w:cs="Arial"/>
          <w:szCs w:val="18"/>
        </w:rPr>
        <w:t xml:space="preserve">selective approach to developing the elements and targets of the </w:t>
      </w:r>
      <w:proofErr w:type="spellStart"/>
      <w:r>
        <w:rPr>
          <w:rFonts w:cs="Arial"/>
          <w:szCs w:val="18"/>
        </w:rPr>
        <w:t>SoE</w:t>
      </w:r>
      <w:proofErr w:type="spellEnd"/>
      <w:r>
        <w:rPr>
          <w:rFonts w:cs="Arial"/>
          <w:szCs w:val="18"/>
        </w:rPr>
        <w:t xml:space="preserve"> and response. </w:t>
      </w:r>
    </w:p>
    <w:p w14:paraId="07FC806D" w14:textId="1F2D39A2" w:rsidR="00EB7075" w:rsidRDefault="00EB7075" w:rsidP="00EB7075">
      <w:r>
        <w:rPr>
          <w:rFonts w:cs="Arial"/>
          <w:szCs w:val="18"/>
        </w:rPr>
        <w:t xml:space="preserve">Given </w:t>
      </w:r>
      <w:r w:rsidR="00C74EE8">
        <w:t xml:space="preserve">the </w:t>
      </w:r>
      <w:r w:rsidR="00E5460F">
        <w:t>Vet Board</w:t>
      </w:r>
      <w:r>
        <w:rPr>
          <w:rFonts w:cs="Arial"/>
          <w:szCs w:val="18"/>
        </w:rPr>
        <w:t xml:space="preserve">’s small size and tightly defined remit, the </w:t>
      </w:r>
      <w:proofErr w:type="spellStart"/>
      <w:r>
        <w:rPr>
          <w:rFonts w:cs="Arial"/>
          <w:szCs w:val="18"/>
        </w:rPr>
        <w:t>SoE</w:t>
      </w:r>
      <w:proofErr w:type="spellEnd"/>
      <w:r>
        <w:rPr>
          <w:rFonts w:cs="Arial"/>
          <w:szCs w:val="18"/>
        </w:rPr>
        <w:t xml:space="preserve"> is comparatively detailed and extensive. It may have been more effective for the </w:t>
      </w:r>
      <w:proofErr w:type="spellStart"/>
      <w:r>
        <w:rPr>
          <w:rFonts w:cs="Arial"/>
          <w:szCs w:val="18"/>
        </w:rPr>
        <w:t>SoE</w:t>
      </w:r>
      <w:proofErr w:type="spellEnd"/>
      <w:r>
        <w:rPr>
          <w:rFonts w:cs="Arial"/>
          <w:szCs w:val="18"/>
        </w:rPr>
        <w:t xml:space="preserve"> to focus on a smaller number of high-value actions that create the </w:t>
      </w:r>
      <w:r>
        <w:rPr>
          <w:rFonts w:cs="Arial"/>
          <w:szCs w:val="18"/>
        </w:rPr>
        <w:lastRenderedPageBreak/>
        <w:t xml:space="preserve">greatest benefit to practitioners and the community, and that most support </w:t>
      </w:r>
      <w:r w:rsidR="00C74EE8">
        <w:t xml:space="preserve">the </w:t>
      </w:r>
      <w:r w:rsidR="00E5460F">
        <w:t>Vet Board</w:t>
      </w:r>
      <w:r>
        <w:rPr>
          <w:rFonts w:cs="Arial"/>
          <w:szCs w:val="18"/>
        </w:rPr>
        <w:t xml:space="preserve"> in delivering its unique public value (i.e. protection of the public by ensuring veterinary practitioners are registered and properly qualified for practise). However, the department’s flexibility in steering the development of the </w:t>
      </w:r>
      <w:proofErr w:type="spellStart"/>
      <w:r>
        <w:rPr>
          <w:rFonts w:cs="Arial"/>
          <w:szCs w:val="18"/>
        </w:rPr>
        <w:t>SoE</w:t>
      </w:r>
      <w:proofErr w:type="spellEnd"/>
      <w:r>
        <w:rPr>
          <w:rFonts w:cs="Arial"/>
          <w:szCs w:val="18"/>
        </w:rPr>
        <w:t xml:space="preserve"> and response was constrained to some extent by the framework, which provides only limited reference to considerations of proportionality</w:t>
      </w:r>
      <w:r w:rsidR="00C74EE8">
        <w:rPr>
          <w:rFonts w:cs="Arial"/>
          <w:szCs w:val="18"/>
        </w:rPr>
        <w:t xml:space="preserve">. </w:t>
      </w:r>
    </w:p>
    <w:p w14:paraId="7CD78506" w14:textId="77777777" w:rsidR="00EB7075" w:rsidRPr="00B84BB9" w:rsidRDefault="00DF548E" w:rsidP="00EB7075">
      <w:pPr>
        <w:pStyle w:val="Heading1"/>
      </w:pPr>
      <w:bookmarkStart w:id="21" w:name="_Toc530038809"/>
      <w:bookmarkStart w:id="22" w:name="_Toc530573065"/>
      <w:r>
        <w:t>R</w:t>
      </w:r>
      <w:r w:rsidR="00EB7075">
        <w:t>ecommendations</w:t>
      </w:r>
      <w:bookmarkEnd w:id="21"/>
      <w:bookmarkEnd w:id="22"/>
    </w:p>
    <w:p w14:paraId="7317368E" w14:textId="77777777" w:rsidR="00EB7075" w:rsidRDefault="00EB7075" w:rsidP="00EB7075">
      <w:r>
        <w:t xml:space="preserve">The following recommendations are based on the objectives of this evaluation, which were to identify potential improvements to the </w:t>
      </w:r>
      <w:proofErr w:type="spellStart"/>
      <w:r>
        <w:t>SoE</w:t>
      </w:r>
      <w:proofErr w:type="spellEnd"/>
      <w:r>
        <w:t xml:space="preserve"> development process, evaluate whether the </w:t>
      </w:r>
      <w:proofErr w:type="spellStart"/>
      <w:r>
        <w:t>SoE</w:t>
      </w:r>
      <w:proofErr w:type="spellEnd"/>
      <w:r>
        <w:t xml:space="preserve"> and response support achievement of public policy outcomes, and note observations for consideration by DTF about the operation of the </w:t>
      </w:r>
      <w:proofErr w:type="spellStart"/>
      <w:r>
        <w:t>SoE</w:t>
      </w:r>
      <w:proofErr w:type="spellEnd"/>
      <w:r>
        <w:t xml:space="preserve"> Framework:</w:t>
      </w:r>
    </w:p>
    <w:p w14:paraId="5C94DDB2" w14:textId="2508BB78" w:rsidR="00EB7075" w:rsidRPr="00DF548E" w:rsidRDefault="00EB7075" w:rsidP="00C74EE8">
      <w:pPr>
        <w:pStyle w:val="ListParagraph"/>
        <w:numPr>
          <w:ilvl w:val="0"/>
          <w:numId w:val="20"/>
        </w:numPr>
        <w:spacing w:after="120" w:line="220" w:lineRule="exact"/>
        <w:rPr>
          <w:rFonts w:ascii="Arial" w:hAnsi="Arial" w:cs="Arial"/>
          <w:sz w:val="18"/>
          <w:szCs w:val="18"/>
        </w:rPr>
      </w:pPr>
      <w:r w:rsidRPr="00DF548E">
        <w:rPr>
          <w:rFonts w:ascii="Arial" w:hAnsi="Arial" w:cs="Arial"/>
          <w:sz w:val="18"/>
          <w:szCs w:val="18"/>
        </w:rPr>
        <w:t xml:space="preserve">For future </w:t>
      </w:r>
      <w:r w:rsidR="00A238D2">
        <w:rPr>
          <w:rFonts w:ascii="Arial" w:hAnsi="Arial" w:cs="Arial"/>
          <w:sz w:val="18"/>
          <w:szCs w:val="18"/>
        </w:rPr>
        <w:t xml:space="preserve">Vet Board </w:t>
      </w:r>
      <w:proofErr w:type="spellStart"/>
      <w:r w:rsidRPr="00DF548E">
        <w:rPr>
          <w:rFonts w:ascii="Arial" w:hAnsi="Arial" w:cs="Arial"/>
          <w:sz w:val="18"/>
          <w:szCs w:val="18"/>
        </w:rPr>
        <w:t>SoEs</w:t>
      </w:r>
      <w:proofErr w:type="spellEnd"/>
      <w:r w:rsidRPr="00DF548E">
        <w:rPr>
          <w:rFonts w:ascii="Arial" w:hAnsi="Arial" w:cs="Arial"/>
          <w:sz w:val="18"/>
          <w:szCs w:val="18"/>
        </w:rPr>
        <w:t xml:space="preserve"> and responses a more </w:t>
      </w:r>
      <w:r w:rsidR="00C74EE8">
        <w:rPr>
          <w:rFonts w:ascii="Arial" w:hAnsi="Arial" w:cs="Arial"/>
          <w:sz w:val="18"/>
          <w:szCs w:val="18"/>
        </w:rPr>
        <w:t>iterative</w:t>
      </w:r>
      <w:r w:rsidRPr="00DF548E">
        <w:rPr>
          <w:rFonts w:ascii="Arial" w:hAnsi="Arial" w:cs="Arial"/>
          <w:sz w:val="18"/>
          <w:szCs w:val="18"/>
        </w:rPr>
        <w:t xml:space="preserve"> </w:t>
      </w:r>
      <w:r w:rsidR="00C74EE8">
        <w:rPr>
          <w:rFonts w:ascii="Arial" w:hAnsi="Arial" w:cs="Arial"/>
          <w:sz w:val="18"/>
          <w:szCs w:val="18"/>
        </w:rPr>
        <w:t xml:space="preserve">development </w:t>
      </w:r>
      <w:r w:rsidRPr="00DF548E">
        <w:rPr>
          <w:rFonts w:ascii="Arial" w:hAnsi="Arial" w:cs="Arial"/>
          <w:sz w:val="18"/>
          <w:szCs w:val="18"/>
        </w:rPr>
        <w:t>process</w:t>
      </w:r>
      <w:r w:rsidR="00C74EE8">
        <w:rPr>
          <w:rFonts w:ascii="Arial" w:hAnsi="Arial" w:cs="Arial"/>
          <w:sz w:val="18"/>
          <w:szCs w:val="18"/>
        </w:rPr>
        <w:t xml:space="preserve"> could be applied</w:t>
      </w:r>
      <w:r w:rsidRPr="00DF548E">
        <w:rPr>
          <w:rFonts w:ascii="Arial" w:hAnsi="Arial" w:cs="Arial"/>
          <w:sz w:val="18"/>
          <w:szCs w:val="18"/>
        </w:rPr>
        <w:t xml:space="preserve">, with earlier engagement between the department and </w:t>
      </w:r>
      <w:r w:rsidR="00C74EE8" w:rsidRPr="00C74EE8">
        <w:rPr>
          <w:rFonts w:ascii="Arial" w:hAnsi="Arial" w:cs="Arial"/>
          <w:sz w:val="18"/>
          <w:szCs w:val="18"/>
        </w:rPr>
        <w:t xml:space="preserve">the </w:t>
      </w:r>
      <w:r w:rsidR="00E5460F">
        <w:rPr>
          <w:rFonts w:ascii="Arial" w:hAnsi="Arial" w:cs="Arial"/>
          <w:sz w:val="18"/>
          <w:szCs w:val="18"/>
        </w:rPr>
        <w:t>Vet Board</w:t>
      </w:r>
      <w:r w:rsidR="00C74EE8">
        <w:rPr>
          <w:rFonts w:ascii="Arial" w:hAnsi="Arial" w:cs="Arial"/>
          <w:sz w:val="18"/>
          <w:szCs w:val="18"/>
        </w:rPr>
        <w:t>, and additional consultation opportunities</w:t>
      </w:r>
      <w:r w:rsidRPr="00DF548E">
        <w:rPr>
          <w:rFonts w:ascii="Arial" w:hAnsi="Arial" w:cs="Arial"/>
          <w:sz w:val="18"/>
          <w:szCs w:val="18"/>
        </w:rPr>
        <w:t>.</w:t>
      </w:r>
      <w:r w:rsidR="00C74EE8">
        <w:rPr>
          <w:rFonts w:ascii="Arial" w:hAnsi="Arial" w:cs="Arial"/>
          <w:sz w:val="18"/>
          <w:szCs w:val="18"/>
        </w:rPr>
        <w:t xml:space="preserve">  </w:t>
      </w:r>
    </w:p>
    <w:p w14:paraId="5609D619" w14:textId="0F523C1E" w:rsidR="00EB7075" w:rsidRPr="00DF548E" w:rsidRDefault="00EB7075" w:rsidP="00C74EE8">
      <w:pPr>
        <w:pStyle w:val="ListParagraph"/>
        <w:numPr>
          <w:ilvl w:val="0"/>
          <w:numId w:val="20"/>
        </w:numPr>
        <w:spacing w:after="120" w:line="220" w:lineRule="exact"/>
        <w:rPr>
          <w:rFonts w:ascii="Arial" w:hAnsi="Arial" w:cs="Arial"/>
          <w:sz w:val="18"/>
          <w:szCs w:val="18"/>
        </w:rPr>
      </w:pPr>
      <w:r w:rsidRPr="00DF548E">
        <w:rPr>
          <w:rFonts w:ascii="Arial" w:hAnsi="Arial" w:cs="Arial"/>
          <w:sz w:val="18"/>
          <w:szCs w:val="18"/>
        </w:rPr>
        <w:t xml:space="preserve">Given </w:t>
      </w:r>
      <w:r w:rsidR="00C74EE8">
        <w:rPr>
          <w:rFonts w:ascii="Arial" w:hAnsi="Arial" w:cs="Arial"/>
          <w:sz w:val="18"/>
          <w:szCs w:val="18"/>
        </w:rPr>
        <w:t xml:space="preserve">the </w:t>
      </w:r>
      <w:r w:rsidR="00E5460F">
        <w:rPr>
          <w:rFonts w:ascii="Arial" w:hAnsi="Arial" w:cs="Arial"/>
          <w:sz w:val="18"/>
          <w:szCs w:val="18"/>
        </w:rPr>
        <w:t>Vet Board</w:t>
      </w:r>
      <w:r w:rsidRPr="00DF548E">
        <w:rPr>
          <w:rFonts w:ascii="Arial" w:hAnsi="Arial" w:cs="Arial"/>
          <w:sz w:val="18"/>
          <w:szCs w:val="18"/>
        </w:rPr>
        <w:t xml:space="preserve">’s comparatively limited resources and narrowly defined remit, proportionality should be a consideration in developing future </w:t>
      </w:r>
      <w:proofErr w:type="spellStart"/>
      <w:r w:rsidRPr="00DF548E">
        <w:rPr>
          <w:rFonts w:ascii="Arial" w:hAnsi="Arial" w:cs="Arial"/>
          <w:sz w:val="18"/>
          <w:szCs w:val="18"/>
        </w:rPr>
        <w:t>SoEs</w:t>
      </w:r>
      <w:proofErr w:type="spellEnd"/>
      <w:r w:rsidRPr="00DF548E">
        <w:rPr>
          <w:rFonts w:ascii="Arial" w:hAnsi="Arial" w:cs="Arial"/>
          <w:sz w:val="18"/>
          <w:szCs w:val="18"/>
        </w:rPr>
        <w:t xml:space="preserve"> and responses. Future </w:t>
      </w:r>
      <w:r w:rsidR="00A238D2">
        <w:rPr>
          <w:rFonts w:ascii="Arial" w:hAnsi="Arial" w:cs="Arial"/>
          <w:sz w:val="18"/>
          <w:szCs w:val="18"/>
        </w:rPr>
        <w:t xml:space="preserve">Vet Board </w:t>
      </w:r>
      <w:proofErr w:type="spellStart"/>
      <w:r w:rsidRPr="00DF548E">
        <w:rPr>
          <w:rFonts w:ascii="Arial" w:hAnsi="Arial" w:cs="Arial"/>
          <w:sz w:val="18"/>
          <w:szCs w:val="18"/>
        </w:rPr>
        <w:t>SoEs</w:t>
      </w:r>
      <w:proofErr w:type="spellEnd"/>
      <w:r w:rsidRPr="00DF548E">
        <w:rPr>
          <w:rFonts w:ascii="Arial" w:hAnsi="Arial" w:cs="Arial"/>
          <w:sz w:val="18"/>
          <w:szCs w:val="18"/>
        </w:rPr>
        <w:t xml:space="preserve"> could focus on a smaller number of high-value actions that yield benefit to veterinary practitioners and the community without undue burden placed on </w:t>
      </w:r>
      <w:r w:rsidR="00C74EE8" w:rsidRPr="00C74EE8">
        <w:rPr>
          <w:rFonts w:ascii="Arial" w:hAnsi="Arial" w:cs="Arial"/>
          <w:sz w:val="18"/>
          <w:szCs w:val="18"/>
        </w:rPr>
        <w:t xml:space="preserve">the </w:t>
      </w:r>
      <w:r w:rsidR="00E5460F">
        <w:rPr>
          <w:rFonts w:ascii="Arial" w:hAnsi="Arial" w:cs="Arial"/>
          <w:sz w:val="18"/>
          <w:szCs w:val="18"/>
        </w:rPr>
        <w:t>Vet Board</w:t>
      </w:r>
      <w:r w:rsidRPr="00DF548E">
        <w:rPr>
          <w:rFonts w:ascii="Arial" w:hAnsi="Arial" w:cs="Arial"/>
          <w:sz w:val="18"/>
          <w:szCs w:val="18"/>
        </w:rPr>
        <w:t>.</w:t>
      </w:r>
      <w:r w:rsidR="00A238D2">
        <w:rPr>
          <w:rFonts w:ascii="Arial" w:hAnsi="Arial" w:cs="Arial"/>
          <w:sz w:val="18"/>
          <w:szCs w:val="18"/>
        </w:rPr>
        <w:t xml:space="preserve"> </w:t>
      </w:r>
    </w:p>
    <w:p w14:paraId="52674E27" w14:textId="60D90916" w:rsidR="00EB7075" w:rsidRPr="00DF548E" w:rsidRDefault="00EB7075" w:rsidP="00C74EE8">
      <w:pPr>
        <w:pStyle w:val="ListParagraph"/>
        <w:numPr>
          <w:ilvl w:val="0"/>
          <w:numId w:val="20"/>
        </w:numPr>
        <w:spacing w:after="120" w:line="220" w:lineRule="exact"/>
        <w:rPr>
          <w:rFonts w:ascii="Arial" w:hAnsi="Arial" w:cs="Arial"/>
          <w:sz w:val="18"/>
          <w:szCs w:val="18"/>
        </w:rPr>
      </w:pPr>
      <w:r w:rsidRPr="00DF548E">
        <w:rPr>
          <w:rFonts w:ascii="Arial" w:hAnsi="Arial" w:cs="Arial"/>
          <w:sz w:val="18"/>
          <w:szCs w:val="18"/>
        </w:rPr>
        <w:t xml:space="preserve">Future </w:t>
      </w:r>
      <w:r w:rsidR="00C74EE8">
        <w:rPr>
          <w:rFonts w:ascii="Arial" w:hAnsi="Arial" w:cs="Arial"/>
          <w:sz w:val="18"/>
          <w:szCs w:val="18"/>
        </w:rPr>
        <w:t>Vet Board</w:t>
      </w:r>
      <w:r w:rsidRPr="00DF548E">
        <w:rPr>
          <w:rFonts w:ascii="Arial" w:hAnsi="Arial" w:cs="Arial"/>
          <w:sz w:val="18"/>
          <w:szCs w:val="18"/>
        </w:rPr>
        <w:t xml:space="preserve"> </w:t>
      </w:r>
      <w:proofErr w:type="spellStart"/>
      <w:r w:rsidRPr="00DF548E">
        <w:rPr>
          <w:rFonts w:ascii="Arial" w:hAnsi="Arial" w:cs="Arial"/>
          <w:sz w:val="18"/>
          <w:szCs w:val="18"/>
        </w:rPr>
        <w:t>SoEs</w:t>
      </w:r>
      <w:proofErr w:type="spellEnd"/>
      <w:r w:rsidRPr="00DF548E">
        <w:rPr>
          <w:rFonts w:ascii="Arial" w:hAnsi="Arial" w:cs="Arial"/>
          <w:sz w:val="18"/>
          <w:szCs w:val="18"/>
        </w:rPr>
        <w:t xml:space="preserve"> and responses could benefit from a clearer articulation of risk from a regulatory perspective. </w:t>
      </w:r>
      <w:r w:rsidR="00297E03">
        <w:rPr>
          <w:rFonts w:ascii="Arial" w:hAnsi="Arial" w:cs="Arial"/>
          <w:sz w:val="18"/>
          <w:szCs w:val="18"/>
        </w:rPr>
        <w:t>T</w:t>
      </w:r>
      <w:r w:rsidR="00C74EE8" w:rsidRPr="00C74EE8">
        <w:rPr>
          <w:rFonts w:ascii="Arial" w:hAnsi="Arial" w:cs="Arial"/>
          <w:sz w:val="18"/>
          <w:szCs w:val="18"/>
        </w:rPr>
        <w:t xml:space="preserve">he </w:t>
      </w:r>
      <w:r w:rsidR="00E5460F">
        <w:rPr>
          <w:rFonts w:ascii="Arial" w:hAnsi="Arial" w:cs="Arial"/>
          <w:sz w:val="18"/>
          <w:szCs w:val="18"/>
        </w:rPr>
        <w:t>Vet Board</w:t>
      </w:r>
      <w:r w:rsidRPr="00DF548E">
        <w:rPr>
          <w:rFonts w:ascii="Arial" w:hAnsi="Arial" w:cs="Arial"/>
          <w:sz w:val="18"/>
          <w:szCs w:val="18"/>
        </w:rPr>
        <w:t xml:space="preserve"> could outline how it develops strategies to mitigate potential harm from regulatory risks it has identified through observations of complaint trends or other factors affecting the veterinary sector. </w:t>
      </w:r>
      <w:r w:rsidR="00C74EE8">
        <w:rPr>
          <w:rFonts w:ascii="Arial" w:hAnsi="Arial" w:cs="Arial"/>
          <w:sz w:val="18"/>
          <w:szCs w:val="18"/>
        </w:rPr>
        <w:t xml:space="preserve"> </w:t>
      </w:r>
    </w:p>
    <w:p w14:paraId="602E1C89" w14:textId="013E880F" w:rsidR="00EB7075" w:rsidRPr="00DF548E" w:rsidRDefault="00EB7075" w:rsidP="00C74EE8">
      <w:pPr>
        <w:pStyle w:val="ListParagraph"/>
        <w:numPr>
          <w:ilvl w:val="0"/>
          <w:numId w:val="20"/>
        </w:numPr>
        <w:spacing w:after="120" w:line="220" w:lineRule="exact"/>
        <w:rPr>
          <w:rFonts w:ascii="Arial" w:hAnsi="Arial" w:cs="Arial"/>
          <w:sz w:val="18"/>
          <w:szCs w:val="18"/>
        </w:rPr>
      </w:pPr>
      <w:r w:rsidRPr="00DF548E">
        <w:rPr>
          <w:rFonts w:ascii="Arial" w:hAnsi="Arial" w:cs="Arial"/>
          <w:sz w:val="18"/>
          <w:szCs w:val="18"/>
        </w:rPr>
        <w:t xml:space="preserve">Positive feedback </w:t>
      </w:r>
      <w:r w:rsidR="00C74EE8" w:rsidRPr="00C74EE8">
        <w:rPr>
          <w:rFonts w:ascii="Arial" w:hAnsi="Arial" w:cs="Arial"/>
          <w:sz w:val="18"/>
          <w:szCs w:val="18"/>
        </w:rPr>
        <w:t xml:space="preserve">the </w:t>
      </w:r>
      <w:r w:rsidR="00E5460F">
        <w:rPr>
          <w:rFonts w:ascii="Arial" w:hAnsi="Arial" w:cs="Arial"/>
          <w:sz w:val="18"/>
          <w:szCs w:val="18"/>
        </w:rPr>
        <w:t>Vet Board</w:t>
      </w:r>
      <w:r w:rsidRPr="00DF548E">
        <w:rPr>
          <w:rFonts w:ascii="Arial" w:hAnsi="Arial" w:cs="Arial"/>
          <w:sz w:val="18"/>
          <w:szCs w:val="18"/>
        </w:rPr>
        <w:t xml:space="preserve"> has received from stakeholders indicates its efforts to reduce regulatory burden are having a beneficial effect. The </w:t>
      </w:r>
      <w:proofErr w:type="spellStart"/>
      <w:r w:rsidRPr="00DF548E">
        <w:rPr>
          <w:rFonts w:ascii="Arial" w:hAnsi="Arial" w:cs="Arial"/>
          <w:sz w:val="18"/>
          <w:szCs w:val="18"/>
        </w:rPr>
        <w:t>SoE</w:t>
      </w:r>
      <w:proofErr w:type="spellEnd"/>
      <w:r w:rsidRPr="00DF548E">
        <w:rPr>
          <w:rFonts w:ascii="Arial" w:hAnsi="Arial" w:cs="Arial"/>
          <w:sz w:val="18"/>
          <w:szCs w:val="18"/>
        </w:rPr>
        <w:t xml:space="preserve"> framework should continue to promote efficiency in regulatory practice through improved design and administration of regulation. </w:t>
      </w:r>
      <w:r w:rsidR="00C74EE8">
        <w:rPr>
          <w:rFonts w:ascii="Arial" w:hAnsi="Arial" w:cs="Arial"/>
          <w:sz w:val="18"/>
          <w:szCs w:val="18"/>
        </w:rPr>
        <w:t xml:space="preserve"> </w:t>
      </w:r>
    </w:p>
    <w:p w14:paraId="6409A2F6" w14:textId="77777777" w:rsidR="00EB7075" w:rsidRPr="00DF548E" w:rsidRDefault="00EB7075" w:rsidP="00EB7075">
      <w:pPr>
        <w:pStyle w:val="ListParagraph"/>
        <w:numPr>
          <w:ilvl w:val="0"/>
          <w:numId w:val="20"/>
        </w:numPr>
        <w:spacing w:after="120" w:line="220" w:lineRule="exact"/>
        <w:rPr>
          <w:rFonts w:ascii="Arial" w:hAnsi="Arial" w:cs="Arial"/>
          <w:sz w:val="18"/>
          <w:szCs w:val="18"/>
        </w:rPr>
      </w:pPr>
      <w:r w:rsidRPr="00DF548E">
        <w:rPr>
          <w:rFonts w:ascii="Arial" w:hAnsi="Arial" w:cs="Arial"/>
          <w:sz w:val="18"/>
          <w:szCs w:val="18"/>
        </w:rPr>
        <w:t xml:space="preserve">To ensure regulatory purpose and public value is maintained, the </w:t>
      </w:r>
      <w:proofErr w:type="spellStart"/>
      <w:r w:rsidRPr="00DF548E">
        <w:rPr>
          <w:rFonts w:ascii="Arial" w:hAnsi="Arial" w:cs="Arial"/>
          <w:sz w:val="18"/>
          <w:szCs w:val="18"/>
        </w:rPr>
        <w:t>SoE</w:t>
      </w:r>
      <w:proofErr w:type="spellEnd"/>
      <w:r w:rsidRPr="00DF548E">
        <w:rPr>
          <w:rFonts w:ascii="Arial" w:hAnsi="Arial" w:cs="Arial"/>
          <w:sz w:val="18"/>
          <w:szCs w:val="18"/>
        </w:rPr>
        <w:t xml:space="preserve"> framework could also include guidance on clearly aligning better regulatory design and administration to achievement of the unique public value regulators are intended to create.</w:t>
      </w:r>
    </w:p>
    <w:p w14:paraId="60BDA67C" w14:textId="77777777" w:rsidR="00EB7075" w:rsidRPr="00DF548E" w:rsidRDefault="00EB7075" w:rsidP="00EB7075">
      <w:pPr>
        <w:pStyle w:val="ListParagraph"/>
        <w:numPr>
          <w:ilvl w:val="0"/>
          <w:numId w:val="20"/>
        </w:numPr>
        <w:spacing w:after="120" w:line="220" w:lineRule="exact"/>
        <w:rPr>
          <w:rFonts w:ascii="Arial" w:hAnsi="Arial" w:cs="Arial"/>
          <w:sz w:val="18"/>
          <w:szCs w:val="18"/>
        </w:rPr>
      </w:pPr>
      <w:r w:rsidRPr="00DF548E">
        <w:rPr>
          <w:rFonts w:ascii="Arial" w:hAnsi="Arial" w:cs="Arial"/>
          <w:sz w:val="18"/>
          <w:szCs w:val="18"/>
        </w:rPr>
        <w:t xml:space="preserve">To provide more flexibility to departments and regulators in the development of </w:t>
      </w:r>
      <w:proofErr w:type="spellStart"/>
      <w:r w:rsidRPr="00DF548E">
        <w:rPr>
          <w:rFonts w:ascii="Arial" w:hAnsi="Arial" w:cs="Arial"/>
          <w:sz w:val="18"/>
          <w:szCs w:val="18"/>
        </w:rPr>
        <w:t>SoEs</w:t>
      </w:r>
      <w:proofErr w:type="spellEnd"/>
      <w:r w:rsidRPr="00DF548E">
        <w:rPr>
          <w:rFonts w:ascii="Arial" w:hAnsi="Arial" w:cs="Arial"/>
          <w:sz w:val="18"/>
          <w:szCs w:val="18"/>
        </w:rPr>
        <w:t xml:space="preserve"> and responses, the guidance materials for the </w:t>
      </w:r>
      <w:proofErr w:type="spellStart"/>
      <w:r w:rsidRPr="00DF548E">
        <w:rPr>
          <w:rFonts w:ascii="Arial" w:hAnsi="Arial" w:cs="Arial"/>
          <w:sz w:val="18"/>
          <w:szCs w:val="18"/>
        </w:rPr>
        <w:t>SoE</w:t>
      </w:r>
      <w:proofErr w:type="spellEnd"/>
      <w:r w:rsidRPr="00DF548E">
        <w:rPr>
          <w:rFonts w:ascii="Arial" w:hAnsi="Arial" w:cs="Arial"/>
          <w:sz w:val="18"/>
          <w:szCs w:val="18"/>
        </w:rPr>
        <w:t xml:space="preserve"> Framework could include additional advice on proportionality to ensure the framework is workable for smaller entities. </w:t>
      </w:r>
    </w:p>
    <w:p w14:paraId="66A8CB32" w14:textId="77777777" w:rsidR="00EB7075" w:rsidRPr="0097740A" w:rsidRDefault="00EB7075" w:rsidP="00EB7075">
      <w:pPr>
        <w:pStyle w:val="Heading1"/>
      </w:pPr>
      <w:bookmarkStart w:id="23" w:name="_Toc530038810"/>
      <w:bookmarkStart w:id="24" w:name="_Toc530573066"/>
      <w:r>
        <w:t xml:space="preserve">Detailed </w:t>
      </w:r>
      <w:r w:rsidR="00DF548E">
        <w:t>p</w:t>
      </w:r>
      <w:r w:rsidRPr="0097740A">
        <w:t xml:space="preserve">erformance </w:t>
      </w:r>
      <w:bookmarkEnd w:id="23"/>
      <w:r w:rsidR="00DF548E" w:rsidRPr="0097740A">
        <w:t>evaluation</w:t>
      </w:r>
      <w:bookmarkEnd w:id="24"/>
    </w:p>
    <w:p w14:paraId="7488296F" w14:textId="56F64C9D" w:rsidR="00EB7075" w:rsidRDefault="00EB7075" w:rsidP="00EB7075">
      <w:r w:rsidRPr="00122E74">
        <w:t xml:space="preserve">The performance evaluation </w:t>
      </w:r>
      <w:r w:rsidR="00767B77">
        <w:t>was based on a comparison of</w:t>
      </w:r>
      <w:r w:rsidRPr="00122E74">
        <w:t xml:space="preserve"> the </w:t>
      </w:r>
      <w:r w:rsidR="00767B77">
        <w:t xml:space="preserve">actions taken and results achieved by </w:t>
      </w:r>
      <w:r w:rsidR="00D354B9">
        <w:rPr>
          <w:rFonts w:cs="Arial"/>
          <w:szCs w:val="18"/>
        </w:rPr>
        <w:t xml:space="preserve">the </w:t>
      </w:r>
      <w:r w:rsidR="00E5460F">
        <w:rPr>
          <w:rFonts w:cs="Arial"/>
          <w:szCs w:val="18"/>
        </w:rPr>
        <w:t>Vet Board</w:t>
      </w:r>
      <w:r w:rsidR="00E638B3">
        <w:t>,</w:t>
      </w:r>
      <w:r w:rsidR="00767B77">
        <w:t xml:space="preserve"> </w:t>
      </w:r>
      <w:r w:rsidR="00767B77" w:rsidRPr="00122E74">
        <w:t xml:space="preserve">as </w:t>
      </w:r>
      <w:r w:rsidR="00767B77">
        <w:t>at</w:t>
      </w:r>
      <w:r w:rsidR="00767B77" w:rsidRPr="00122E74">
        <w:t xml:space="preserve"> November 2018</w:t>
      </w:r>
      <w:r w:rsidR="00E638B3">
        <w:t>,</w:t>
      </w:r>
      <w:r w:rsidR="00767B77">
        <w:t xml:space="preserve"> against the </w:t>
      </w:r>
      <w:r w:rsidRPr="00122E74">
        <w:t xml:space="preserve">targets </w:t>
      </w:r>
      <w:r w:rsidR="00767B77">
        <w:t>set out u</w:t>
      </w:r>
      <w:r w:rsidRPr="00122E74">
        <w:t xml:space="preserve">nder each of the elements </w:t>
      </w:r>
      <w:r w:rsidR="00767B77">
        <w:t xml:space="preserve">in </w:t>
      </w:r>
      <w:r w:rsidR="00D354B9">
        <w:t xml:space="preserve">the </w:t>
      </w:r>
      <w:proofErr w:type="spellStart"/>
      <w:r w:rsidR="00D354B9">
        <w:t>SoE</w:t>
      </w:r>
      <w:proofErr w:type="spellEnd"/>
      <w:r w:rsidR="00D354B9">
        <w:t>.</w:t>
      </w:r>
    </w:p>
    <w:p w14:paraId="26AA7339" w14:textId="77777777" w:rsidR="00EB7075" w:rsidRDefault="00EB7075" w:rsidP="00EB7075">
      <w:pPr>
        <w:pStyle w:val="Heading2"/>
      </w:pPr>
      <w:bookmarkStart w:id="25" w:name="_Toc530038811"/>
      <w:bookmarkStart w:id="26" w:name="_Toc530573067"/>
      <w:r>
        <w:t>Timeliness</w:t>
      </w:r>
      <w:bookmarkEnd w:id="25"/>
      <w:bookmarkEnd w:id="26"/>
      <w:r>
        <w:t xml:space="preserve"> </w:t>
      </w:r>
    </w:p>
    <w:tbl>
      <w:tblPr>
        <w:tblStyle w:val="TableGrid"/>
        <w:tblW w:w="0" w:type="auto"/>
        <w:tblLook w:val="04A0" w:firstRow="1" w:lastRow="0" w:firstColumn="1" w:lastColumn="0" w:noHBand="0" w:noVBand="1"/>
      </w:tblPr>
      <w:tblGrid>
        <w:gridCol w:w="9016"/>
      </w:tblGrid>
      <w:tr w:rsidR="00EB7075" w14:paraId="5BDF7270" w14:textId="77777777" w:rsidTr="00D354B9">
        <w:tc>
          <w:tcPr>
            <w:tcW w:w="9016" w:type="dxa"/>
            <w:shd w:val="clear" w:color="auto" w:fill="FDE9D9" w:themeFill="accent6" w:themeFillTint="33"/>
          </w:tcPr>
          <w:p w14:paraId="74131AC2" w14:textId="5E8BBA21" w:rsidR="00EB7075" w:rsidRPr="00122E74" w:rsidRDefault="00EB7075" w:rsidP="00EB7075">
            <w:pPr>
              <w:rPr>
                <w:i/>
              </w:rPr>
            </w:pPr>
            <w:r w:rsidRPr="00911EA1">
              <w:rPr>
                <w:b/>
                <w:i/>
              </w:rPr>
              <w:t>Statement of Expectation:</w:t>
            </w:r>
            <w:r>
              <w:rPr>
                <w:i/>
              </w:rPr>
              <w:t xml:space="preserve"> </w:t>
            </w:r>
            <w:r w:rsidRPr="00122E74">
              <w:rPr>
                <w:i/>
              </w:rPr>
              <w:t xml:space="preserve">The Board must ensure it avoids unnecessary delays for regulated parties. I expect the Board to clearly communicate timeframes associated with applications, registration and decision-making processes to applicants. I also expect the Board will make most decisions within these timeframes (after applicants provide all required information) and provide reasons where it does not. </w:t>
            </w:r>
          </w:p>
          <w:p w14:paraId="1BF68881" w14:textId="42501735" w:rsidR="00EB7075" w:rsidRDefault="00EB7075" w:rsidP="00EB7075">
            <w:r w:rsidRPr="00122E74">
              <w:rPr>
                <w:i/>
              </w:rPr>
              <w:t>I expect the Board to measure the time taken by regulated parties and the community during applications, and to implement methods to reduce this time through revisions to forms and improvements in its capability and capacity to interact with stakeholders electronically.</w:t>
            </w:r>
          </w:p>
        </w:tc>
      </w:tr>
    </w:tbl>
    <w:p w14:paraId="086C189E" w14:textId="2FACF44E" w:rsidR="00D66289" w:rsidRDefault="00D354B9" w:rsidP="00EB7075">
      <w:r>
        <w:rPr>
          <w:rFonts w:cs="Arial"/>
          <w:szCs w:val="18"/>
        </w:rPr>
        <w:t xml:space="preserve">The </w:t>
      </w:r>
      <w:r w:rsidR="00E5460F">
        <w:rPr>
          <w:rFonts w:cs="Arial"/>
          <w:szCs w:val="18"/>
        </w:rPr>
        <w:t>Vet Board</w:t>
      </w:r>
      <w:r w:rsidR="00EB7075" w:rsidRPr="00122E74">
        <w:t xml:space="preserve"> has </w:t>
      </w:r>
      <w:r w:rsidR="00EB7075">
        <w:t>taken</w:t>
      </w:r>
      <w:r w:rsidR="00EB7075" w:rsidRPr="00122E74">
        <w:t xml:space="preserve"> steps to enable greater responsiveness </w:t>
      </w:r>
      <w:r w:rsidR="00EB7075">
        <w:t>of administrative processes and better capacity</w:t>
      </w:r>
      <w:r w:rsidR="00EB7075" w:rsidRPr="00122E74">
        <w:t xml:space="preserve"> to measure processing times and track efficiency.</w:t>
      </w:r>
      <w:r w:rsidR="00EB7075">
        <w:t xml:space="preserve"> </w:t>
      </w:r>
      <w:r>
        <w:t>T</w:t>
      </w:r>
      <w:r>
        <w:rPr>
          <w:rFonts w:cs="Arial"/>
          <w:szCs w:val="18"/>
        </w:rPr>
        <w:t xml:space="preserve">he </w:t>
      </w:r>
      <w:r w:rsidR="00E5460F">
        <w:rPr>
          <w:rFonts w:cs="Arial"/>
          <w:szCs w:val="18"/>
        </w:rPr>
        <w:t>Vet Board</w:t>
      </w:r>
      <w:r w:rsidR="00EB7075">
        <w:t xml:space="preserve"> has made some improvements to its information technology (IT) infrastructure and a further upgrade, anticipated to take effect from November 2018, </w:t>
      </w:r>
      <w:r w:rsidR="00EB7075" w:rsidRPr="00122E74">
        <w:t>will increase its capacity for electronic processing and stakeholder interaction</w:t>
      </w:r>
      <w:r w:rsidR="00EB7075">
        <w:t>, including further automation</w:t>
      </w:r>
      <w:r w:rsidR="00EB7075" w:rsidRPr="00122E74">
        <w:t>.</w:t>
      </w:r>
      <w:r w:rsidR="00EB7075">
        <w:t xml:space="preserve"> The upgrade will allow implementation of web-based forms and information transfer, electronic payments, automated communications and accurate reporting of administrative processes. </w:t>
      </w:r>
    </w:p>
    <w:p w14:paraId="263607A8" w14:textId="389A324F" w:rsidR="00EB7075" w:rsidRDefault="00EB7075" w:rsidP="00EB7075">
      <w:r>
        <w:lastRenderedPageBreak/>
        <w:t xml:space="preserve">In the meantime, </w:t>
      </w:r>
      <w:r w:rsidR="00D354B9">
        <w:rPr>
          <w:rFonts w:cs="Arial"/>
          <w:szCs w:val="18"/>
        </w:rPr>
        <w:t xml:space="preserve">the </w:t>
      </w:r>
      <w:r w:rsidR="00E5460F">
        <w:rPr>
          <w:rFonts w:cs="Arial"/>
          <w:szCs w:val="18"/>
        </w:rPr>
        <w:t>Vet Board</w:t>
      </w:r>
      <w:r>
        <w:t xml:space="preserve"> has </w:t>
      </w:r>
      <w:r w:rsidRPr="00122E74">
        <w:t xml:space="preserve">made improvements to its website and transitioned forms relating to its most </w:t>
      </w:r>
      <w:r>
        <w:t>frequently used</w:t>
      </w:r>
      <w:r w:rsidRPr="00122E74">
        <w:t xml:space="preserve"> processes to fillable PDF format (i.e., complaints</w:t>
      </w:r>
      <w:r>
        <w:t xml:space="preserve"> and practitioner </w:t>
      </w:r>
      <w:r w:rsidRPr="00122E74">
        <w:t>registrations</w:t>
      </w:r>
      <w:r w:rsidR="00BA25FB">
        <w:t>, accounting for 33 per cent of forms</w:t>
      </w:r>
      <w:r w:rsidRPr="00122E74">
        <w:t>).</w:t>
      </w:r>
      <w:r>
        <w:t xml:space="preserve"> </w:t>
      </w:r>
      <w:r w:rsidR="00D354B9">
        <w:t>T</w:t>
      </w:r>
      <w:r w:rsidR="00D354B9">
        <w:rPr>
          <w:rFonts w:cs="Arial"/>
          <w:szCs w:val="18"/>
        </w:rPr>
        <w:t xml:space="preserve">he </w:t>
      </w:r>
      <w:r w:rsidR="00E5460F">
        <w:rPr>
          <w:rFonts w:cs="Arial"/>
          <w:szCs w:val="18"/>
        </w:rPr>
        <w:t>Vet Board</w:t>
      </w:r>
      <w:r w:rsidRPr="00122E74">
        <w:t xml:space="preserve"> has </w:t>
      </w:r>
      <w:r>
        <w:t>also put steps in place</w:t>
      </w:r>
      <w:r w:rsidRPr="00122E74">
        <w:t xml:space="preserve"> to </w:t>
      </w:r>
      <w:r>
        <w:t>more reliably</w:t>
      </w:r>
      <w:r w:rsidRPr="00122E74">
        <w:t xml:space="preserve"> advise or remind practitioners about regulatory requirements and associated timeframes and deadlines. It has publicly committed to </w:t>
      </w:r>
      <w:r>
        <w:t xml:space="preserve">a new Service Charter, that addresses the key elements and intent of the </w:t>
      </w:r>
      <w:proofErr w:type="spellStart"/>
      <w:proofErr w:type="gramStart"/>
      <w:r>
        <w:t>SoE</w:t>
      </w:r>
      <w:proofErr w:type="spellEnd"/>
      <w:r>
        <w:t>, and</w:t>
      </w:r>
      <w:proofErr w:type="gramEnd"/>
      <w:r>
        <w:t xml:space="preserve"> includes </w:t>
      </w:r>
      <w:r w:rsidRPr="00122E74">
        <w:t>a set of responsiveness standards</w:t>
      </w:r>
      <w:r>
        <w:t xml:space="preserve"> for </w:t>
      </w:r>
      <w:r w:rsidR="00D354B9">
        <w:rPr>
          <w:rFonts w:cs="Arial"/>
          <w:szCs w:val="18"/>
        </w:rPr>
        <w:t xml:space="preserve">the </w:t>
      </w:r>
      <w:r w:rsidR="00E5460F">
        <w:rPr>
          <w:rFonts w:cs="Arial"/>
          <w:szCs w:val="18"/>
        </w:rPr>
        <w:t>Vet Board</w:t>
      </w:r>
      <w:r>
        <w:t>’s regulatory processes.</w:t>
      </w:r>
      <w:r w:rsidR="00D354B9">
        <w:t xml:space="preserve">  </w:t>
      </w:r>
    </w:p>
    <w:tbl>
      <w:tblPr>
        <w:tblStyle w:val="TableGrid"/>
        <w:tblW w:w="0" w:type="auto"/>
        <w:tblLook w:val="04A0" w:firstRow="1" w:lastRow="0" w:firstColumn="1" w:lastColumn="0" w:noHBand="0" w:noVBand="1"/>
      </w:tblPr>
      <w:tblGrid>
        <w:gridCol w:w="9016"/>
      </w:tblGrid>
      <w:tr w:rsidR="00EB7075" w14:paraId="395C2AFA" w14:textId="77777777" w:rsidTr="00E57C5F">
        <w:tc>
          <w:tcPr>
            <w:tcW w:w="9016" w:type="dxa"/>
            <w:shd w:val="clear" w:color="auto" w:fill="E36C0A" w:themeFill="accent6" w:themeFillShade="BF"/>
          </w:tcPr>
          <w:p w14:paraId="01D09120" w14:textId="17EB7BF1" w:rsidR="00EB7075" w:rsidRPr="00EE7884" w:rsidRDefault="00EB7075" w:rsidP="00EB7075">
            <w:pPr>
              <w:rPr>
                <w:i/>
              </w:rPr>
            </w:pPr>
            <w:r w:rsidRPr="00946710">
              <w:rPr>
                <w:b/>
                <w:i/>
                <w:color w:val="FFFFFF" w:themeColor="background1"/>
              </w:rPr>
              <w:t>Case study, communicating administrative timeframes:</w:t>
            </w:r>
            <w:r w:rsidRPr="00946710">
              <w:rPr>
                <w:i/>
                <w:color w:val="FFFFFF" w:themeColor="background1"/>
              </w:rPr>
              <w:t xml:space="preserve"> To improve its communications for 2018 registration renewals, </w:t>
            </w:r>
            <w:r w:rsidR="00D354B9" w:rsidRPr="00D354B9">
              <w:rPr>
                <w:i/>
                <w:color w:val="FFFFFF" w:themeColor="background1"/>
              </w:rPr>
              <w:t xml:space="preserve">the </w:t>
            </w:r>
            <w:r w:rsidR="00E5460F">
              <w:rPr>
                <w:i/>
                <w:color w:val="FFFFFF" w:themeColor="background1"/>
              </w:rPr>
              <w:t>Vet Board</w:t>
            </w:r>
            <w:r w:rsidRPr="00946710">
              <w:rPr>
                <w:i/>
                <w:color w:val="FFFFFF" w:themeColor="background1"/>
              </w:rPr>
              <w:t xml:space="preserve"> used a</w:t>
            </w:r>
            <w:r>
              <w:rPr>
                <w:i/>
                <w:color w:val="FFFFFF" w:themeColor="background1"/>
              </w:rPr>
              <w:t>n</w:t>
            </w:r>
            <w:r w:rsidRPr="00946710">
              <w:rPr>
                <w:i/>
                <w:color w:val="FFFFFF" w:themeColor="background1"/>
              </w:rPr>
              <w:t xml:space="preserve"> </w:t>
            </w:r>
            <w:r>
              <w:rPr>
                <w:i/>
                <w:color w:val="FFFFFF" w:themeColor="background1"/>
              </w:rPr>
              <w:t xml:space="preserve">expanded range of </w:t>
            </w:r>
            <w:r w:rsidRPr="00946710">
              <w:rPr>
                <w:i/>
                <w:color w:val="FFFFFF" w:themeColor="background1"/>
              </w:rPr>
              <w:t xml:space="preserve">methods to remind registrants of renewals due and direct them to renewal options and the availability of </w:t>
            </w:r>
            <w:r w:rsidR="00D354B9" w:rsidRPr="00D354B9">
              <w:rPr>
                <w:i/>
                <w:color w:val="FFFFFF" w:themeColor="background1"/>
              </w:rPr>
              <w:t xml:space="preserve">the </w:t>
            </w:r>
            <w:r w:rsidR="00E5460F">
              <w:rPr>
                <w:i/>
                <w:color w:val="FFFFFF" w:themeColor="background1"/>
              </w:rPr>
              <w:t>Vet Board</w:t>
            </w:r>
            <w:r w:rsidRPr="00946710">
              <w:rPr>
                <w:i/>
                <w:color w:val="FFFFFF" w:themeColor="background1"/>
              </w:rPr>
              <w:t xml:space="preserve">’s online portal. This included use of a third-party bulk email service, emails direct from </w:t>
            </w:r>
            <w:r w:rsidR="00D354B9" w:rsidRPr="00D354B9">
              <w:rPr>
                <w:i/>
                <w:color w:val="FFFFFF" w:themeColor="background1"/>
              </w:rPr>
              <w:t xml:space="preserve">the </w:t>
            </w:r>
            <w:r w:rsidR="00E5460F">
              <w:rPr>
                <w:i/>
                <w:color w:val="FFFFFF" w:themeColor="background1"/>
              </w:rPr>
              <w:t>Vet Board</w:t>
            </w:r>
            <w:r w:rsidRPr="00946710">
              <w:rPr>
                <w:i/>
                <w:color w:val="FFFFFF" w:themeColor="background1"/>
              </w:rPr>
              <w:t xml:space="preserve">, mobile phone SMS and hard-copy posted letters. </w:t>
            </w:r>
            <w:r w:rsidR="00D354B9">
              <w:rPr>
                <w:i/>
                <w:color w:val="FFFFFF" w:themeColor="background1"/>
              </w:rPr>
              <w:t>T</w:t>
            </w:r>
            <w:r w:rsidR="00D354B9" w:rsidRPr="00D354B9">
              <w:rPr>
                <w:i/>
                <w:color w:val="FFFFFF" w:themeColor="background1"/>
              </w:rPr>
              <w:t xml:space="preserve">he </w:t>
            </w:r>
            <w:r w:rsidR="00E5460F">
              <w:rPr>
                <w:i/>
                <w:color w:val="FFFFFF" w:themeColor="background1"/>
              </w:rPr>
              <w:t>Vet Board</w:t>
            </w:r>
            <w:r w:rsidRPr="00946710">
              <w:rPr>
                <w:i/>
                <w:color w:val="FFFFFF" w:themeColor="background1"/>
              </w:rPr>
              <w:t xml:space="preserve"> </w:t>
            </w:r>
            <w:r w:rsidR="00460CF0">
              <w:rPr>
                <w:i/>
                <w:color w:val="FFFFFF" w:themeColor="background1"/>
              </w:rPr>
              <w:t>observed</w:t>
            </w:r>
            <w:r w:rsidR="00460CF0" w:rsidRPr="00946710">
              <w:rPr>
                <w:i/>
                <w:color w:val="FFFFFF" w:themeColor="background1"/>
              </w:rPr>
              <w:t xml:space="preserve"> </w:t>
            </w:r>
            <w:r>
              <w:rPr>
                <w:i/>
                <w:color w:val="FFFFFF" w:themeColor="background1"/>
              </w:rPr>
              <w:t xml:space="preserve">that </w:t>
            </w:r>
            <w:r w:rsidRPr="00946710">
              <w:rPr>
                <w:i/>
                <w:color w:val="FFFFFF" w:themeColor="background1"/>
              </w:rPr>
              <w:t xml:space="preserve">contact via mobile SMS </w:t>
            </w:r>
            <w:r w:rsidR="004D1679">
              <w:rPr>
                <w:i/>
                <w:color w:val="FFFFFF" w:themeColor="background1"/>
              </w:rPr>
              <w:t>appeared to be</w:t>
            </w:r>
            <w:r w:rsidR="004D1679" w:rsidRPr="00946710">
              <w:rPr>
                <w:i/>
                <w:color w:val="FFFFFF" w:themeColor="background1"/>
              </w:rPr>
              <w:t xml:space="preserve"> </w:t>
            </w:r>
            <w:r w:rsidRPr="00946710">
              <w:rPr>
                <w:i/>
                <w:color w:val="FFFFFF" w:themeColor="background1"/>
              </w:rPr>
              <w:t xml:space="preserve">a </w:t>
            </w:r>
            <w:r>
              <w:rPr>
                <w:i/>
                <w:color w:val="FFFFFF" w:themeColor="background1"/>
              </w:rPr>
              <w:t xml:space="preserve">very </w:t>
            </w:r>
            <w:r w:rsidRPr="00946710">
              <w:rPr>
                <w:i/>
                <w:color w:val="FFFFFF" w:themeColor="background1"/>
              </w:rPr>
              <w:t>successful communication mechanism</w:t>
            </w:r>
            <w:r w:rsidR="004D1679">
              <w:rPr>
                <w:i/>
                <w:color w:val="FFFFFF" w:themeColor="background1"/>
              </w:rPr>
              <w:t xml:space="preserve">. </w:t>
            </w:r>
            <w:r w:rsidR="00D354B9">
              <w:rPr>
                <w:i/>
                <w:color w:val="FFFFFF" w:themeColor="background1"/>
              </w:rPr>
              <w:t>O</w:t>
            </w:r>
            <w:r w:rsidR="004D1679">
              <w:rPr>
                <w:i/>
                <w:color w:val="FFFFFF" w:themeColor="background1"/>
              </w:rPr>
              <w:t>bservations</w:t>
            </w:r>
            <w:r w:rsidR="00D354B9">
              <w:rPr>
                <w:i/>
                <w:color w:val="FFFFFF" w:themeColor="background1"/>
              </w:rPr>
              <w:t xml:space="preserve"> by Vet Board staff indicated</w:t>
            </w:r>
            <w:r w:rsidRPr="00946710">
              <w:rPr>
                <w:i/>
                <w:color w:val="FFFFFF" w:themeColor="background1"/>
              </w:rPr>
              <w:t xml:space="preserve"> many practitioners</w:t>
            </w:r>
            <w:r w:rsidR="00D354B9">
              <w:rPr>
                <w:i/>
                <w:color w:val="FFFFFF" w:themeColor="background1"/>
              </w:rPr>
              <w:t xml:space="preserve"> seemed</w:t>
            </w:r>
            <w:r w:rsidRPr="00946710">
              <w:rPr>
                <w:i/>
                <w:color w:val="FFFFFF" w:themeColor="background1"/>
              </w:rPr>
              <w:t xml:space="preserve"> </w:t>
            </w:r>
            <w:r w:rsidR="004D1679">
              <w:rPr>
                <w:i/>
                <w:color w:val="FFFFFF" w:themeColor="background1"/>
              </w:rPr>
              <w:t xml:space="preserve">to </w:t>
            </w:r>
            <w:r w:rsidRPr="00946710">
              <w:rPr>
                <w:i/>
                <w:color w:val="FFFFFF" w:themeColor="background1"/>
              </w:rPr>
              <w:t>renew their registration and updat</w:t>
            </w:r>
            <w:r w:rsidR="004D1679">
              <w:rPr>
                <w:i/>
                <w:color w:val="FFFFFF" w:themeColor="background1"/>
              </w:rPr>
              <w:t>e</w:t>
            </w:r>
            <w:r w:rsidRPr="00946710">
              <w:rPr>
                <w:i/>
                <w:color w:val="FFFFFF" w:themeColor="background1"/>
              </w:rPr>
              <w:t xml:space="preserve"> their contact information online after receiving an SMS</w:t>
            </w:r>
            <w:r>
              <w:rPr>
                <w:i/>
                <w:color w:val="FFFFFF" w:themeColor="background1"/>
              </w:rPr>
              <w:t xml:space="preserve">. </w:t>
            </w:r>
            <w:r w:rsidR="00D354B9">
              <w:rPr>
                <w:i/>
                <w:color w:val="FFFFFF" w:themeColor="background1"/>
              </w:rPr>
              <w:t xml:space="preserve"> </w:t>
            </w:r>
            <w:r>
              <w:rPr>
                <w:i/>
                <w:color w:val="FFFFFF" w:themeColor="background1"/>
              </w:rPr>
              <w:t>In all, just under 96</w:t>
            </w:r>
            <w:r w:rsidR="00FE75CE">
              <w:rPr>
                <w:i/>
                <w:color w:val="FFFFFF" w:themeColor="background1"/>
              </w:rPr>
              <w:t xml:space="preserve"> per cent</w:t>
            </w:r>
            <w:r>
              <w:rPr>
                <w:i/>
                <w:color w:val="FFFFFF" w:themeColor="background1"/>
              </w:rPr>
              <w:t xml:space="preserve"> of practitioners used the online portal for registration renewal. </w:t>
            </w:r>
            <w:r w:rsidR="00D354B9">
              <w:rPr>
                <w:i/>
                <w:color w:val="FFFFFF" w:themeColor="background1"/>
              </w:rPr>
              <w:t xml:space="preserve">  </w:t>
            </w:r>
          </w:p>
        </w:tc>
      </w:tr>
    </w:tbl>
    <w:p w14:paraId="1FE99510" w14:textId="17A478A0" w:rsidR="00EB7075" w:rsidRDefault="00E57C5F" w:rsidP="00EB7075">
      <w:r>
        <w:rPr>
          <w:rFonts w:cs="Arial"/>
          <w:szCs w:val="18"/>
        </w:rPr>
        <w:t xml:space="preserve">The </w:t>
      </w:r>
      <w:r w:rsidR="00E5460F">
        <w:rPr>
          <w:rFonts w:cs="Arial"/>
          <w:szCs w:val="18"/>
        </w:rPr>
        <w:t>Vet Board</w:t>
      </w:r>
      <w:r w:rsidR="00EB7075">
        <w:t xml:space="preserve"> has had limited capacity to systematically capture quantitative data about administrative burden. While it could have manually estimated</w:t>
      </w:r>
      <w:r w:rsidR="00EB7075" w:rsidRPr="00122E74">
        <w:t xml:space="preserve"> </w:t>
      </w:r>
      <w:r w:rsidR="00EB7075">
        <w:t xml:space="preserve">some </w:t>
      </w:r>
      <w:r w:rsidR="00EB7075" w:rsidRPr="00122E74">
        <w:t xml:space="preserve">quantitative data </w:t>
      </w:r>
      <w:r w:rsidR="00EB7075">
        <w:t>about</w:t>
      </w:r>
      <w:r w:rsidR="00EB7075" w:rsidRPr="00122E74">
        <w:t xml:space="preserve"> baseline burden</w:t>
      </w:r>
      <w:r w:rsidR="00EB7075">
        <w:t xml:space="preserve">, and this </w:t>
      </w:r>
      <w:r w:rsidR="00EB7075" w:rsidRPr="00122E74">
        <w:t>would have enabled more effective measurement of improvements</w:t>
      </w:r>
      <w:r w:rsidR="00EB7075">
        <w:t xml:space="preserve">, this would have been a disproportionately onerous task given </w:t>
      </w:r>
      <w:r>
        <w:rPr>
          <w:rFonts w:cs="Arial"/>
          <w:szCs w:val="18"/>
        </w:rPr>
        <w:t xml:space="preserve">the </w:t>
      </w:r>
      <w:r w:rsidR="00E5460F">
        <w:rPr>
          <w:rFonts w:cs="Arial"/>
          <w:szCs w:val="18"/>
        </w:rPr>
        <w:t>Vet Board</w:t>
      </w:r>
      <w:r w:rsidR="00EB7075">
        <w:t>’s relatively limited resources</w:t>
      </w:r>
      <w:r w:rsidR="00EB7075" w:rsidRPr="00122E74">
        <w:t xml:space="preserve">. </w:t>
      </w:r>
      <w:r w:rsidR="00F21638">
        <w:t xml:space="preserve">Introduction of new software </w:t>
      </w:r>
      <w:r w:rsidR="00BE0669">
        <w:t xml:space="preserve">for managing investigations </w:t>
      </w:r>
      <w:r w:rsidR="00F21638">
        <w:t>and an upgrade of existing</w:t>
      </w:r>
      <w:r w:rsidR="00BE0669">
        <w:t xml:space="preserve"> registration</w:t>
      </w:r>
      <w:r w:rsidR="00F21638">
        <w:t xml:space="preserve"> software</w:t>
      </w:r>
      <w:r w:rsidR="00EB7075">
        <w:t xml:space="preserve"> </w:t>
      </w:r>
      <w:r w:rsidR="00EB7075" w:rsidRPr="00122E74">
        <w:t xml:space="preserve">is expected to </w:t>
      </w:r>
      <w:r w:rsidR="00EB7075">
        <w:t>automate</w:t>
      </w:r>
      <w:r w:rsidR="00EB7075" w:rsidRPr="00122E74">
        <w:t xml:space="preserve"> th</w:t>
      </w:r>
      <w:r w:rsidR="00EB7075">
        <w:t xml:space="preserve">is additional level of data capture, which </w:t>
      </w:r>
      <w:r w:rsidR="00EB7075" w:rsidRPr="00122E74">
        <w:t xml:space="preserve">could inform </w:t>
      </w:r>
      <w:r w:rsidR="00EB7075">
        <w:t>inputs to</w:t>
      </w:r>
      <w:r w:rsidR="00EB7075" w:rsidRPr="00122E74">
        <w:t xml:space="preserve"> fu</w:t>
      </w:r>
      <w:r w:rsidR="00EB7075">
        <w:t>ture</w:t>
      </w:r>
      <w:r w:rsidR="00EB7075" w:rsidRPr="00122E74">
        <w:t xml:space="preserve"> Statements of Expectation</w:t>
      </w:r>
      <w:r w:rsidR="00EB7075">
        <w:t xml:space="preserve">. In the meantime, </w:t>
      </w:r>
      <w:r>
        <w:rPr>
          <w:rFonts w:cs="Arial"/>
          <w:szCs w:val="18"/>
        </w:rPr>
        <w:t xml:space="preserve">the </w:t>
      </w:r>
      <w:r w:rsidR="00E5460F">
        <w:rPr>
          <w:rFonts w:cs="Arial"/>
          <w:szCs w:val="18"/>
        </w:rPr>
        <w:t>Vet Board</w:t>
      </w:r>
      <w:r>
        <w:t xml:space="preserve"> </w:t>
      </w:r>
      <w:r w:rsidR="00EB7075">
        <w:t>has started</w:t>
      </w:r>
      <w:r w:rsidR="00EB7075" w:rsidRPr="00122E74">
        <w:t xml:space="preserve"> seek</w:t>
      </w:r>
      <w:r w:rsidR="00EB7075">
        <w:t>ing</w:t>
      </w:r>
      <w:r w:rsidR="00EB7075" w:rsidRPr="00122E74">
        <w:t xml:space="preserve"> qualitative feedback from veterinary practitioners and the public about ease of use of </w:t>
      </w:r>
      <w:r>
        <w:t>Vet Board</w:t>
      </w:r>
      <w:r w:rsidR="00EB7075" w:rsidRPr="00122E74">
        <w:t xml:space="preserve"> forms. It has received positive feedback from users about its new fillable PDF complaint form and new graduate registration form, with both rated as easy to complete. </w:t>
      </w:r>
      <w:r w:rsidR="00EB7075" w:rsidRPr="00882284">
        <w:t>While qualitative in nature, this feedback is indicative of some reduction of administrative burden.</w:t>
      </w:r>
    </w:p>
    <w:p w14:paraId="5F0841EE" w14:textId="77777777" w:rsidR="00EB7075" w:rsidRDefault="00767B77" w:rsidP="00EB7075">
      <w:pPr>
        <w:pStyle w:val="Heading2"/>
      </w:pPr>
      <w:bookmarkStart w:id="27" w:name="_Toc530038812"/>
      <w:bookmarkStart w:id="28" w:name="_Toc530573068"/>
      <w:r>
        <w:t>Risk-based s</w:t>
      </w:r>
      <w:r w:rsidR="00EB7075">
        <w:t>trategies</w:t>
      </w:r>
      <w:bookmarkEnd w:id="27"/>
      <w:bookmarkEnd w:id="28"/>
      <w:r w:rsidR="00EB7075">
        <w:t xml:space="preserve"> </w:t>
      </w:r>
    </w:p>
    <w:tbl>
      <w:tblPr>
        <w:tblStyle w:val="TableGrid"/>
        <w:tblW w:w="0" w:type="auto"/>
        <w:tblLook w:val="04A0" w:firstRow="1" w:lastRow="0" w:firstColumn="1" w:lastColumn="0" w:noHBand="0" w:noVBand="1"/>
      </w:tblPr>
      <w:tblGrid>
        <w:gridCol w:w="9016"/>
      </w:tblGrid>
      <w:tr w:rsidR="00EB7075" w14:paraId="659723D2" w14:textId="77777777" w:rsidTr="00E57C5F">
        <w:tc>
          <w:tcPr>
            <w:tcW w:w="9016" w:type="dxa"/>
            <w:shd w:val="clear" w:color="auto" w:fill="FDE9D9" w:themeFill="accent6" w:themeFillTint="33"/>
          </w:tcPr>
          <w:p w14:paraId="5AD62D5D" w14:textId="0B14734A" w:rsidR="00EB7075" w:rsidRPr="00BB290F" w:rsidRDefault="00EB7075" w:rsidP="00EB7075">
            <w:pPr>
              <w:rPr>
                <w:i/>
              </w:rPr>
            </w:pPr>
            <w:r w:rsidRPr="00911EA1">
              <w:rPr>
                <w:b/>
                <w:i/>
              </w:rPr>
              <w:t>Statement of Expectation:</w:t>
            </w:r>
            <w:r>
              <w:rPr>
                <w:i/>
              </w:rPr>
              <w:t xml:space="preserve"> </w:t>
            </w:r>
            <w:r w:rsidRPr="00BB290F">
              <w:rPr>
                <w:i/>
              </w:rPr>
              <w:t xml:space="preserve">I expect the Board to establish a clear approach to risk-assessment and risk-based regulation, and to publish these objectives to ensure they are available to all regulated parties. I also expect the Board to review current practices [as at 2017] and develop risk-based compliance strategies where appropriate. </w:t>
            </w:r>
          </w:p>
        </w:tc>
      </w:tr>
    </w:tbl>
    <w:p w14:paraId="40041BA5" w14:textId="3EF5F2BB" w:rsidR="00D66289" w:rsidRDefault="00E57C5F" w:rsidP="00EB7075">
      <w:r>
        <w:rPr>
          <w:rFonts w:cs="Arial"/>
          <w:szCs w:val="18"/>
        </w:rPr>
        <w:t xml:space="preserve">The </w:t>
      </w:r>
      <w:r w:rsidR="00E5460F">
        <w:rPr>
          <w:rFonts w:cs="Arial"/>
          <w:szCs w:val="18"/>
        </w:rPr>
        <w:t>Vet Board</w:t>
      </w:r>
      <w:r>
        <w:t xml:space="preserve"> </w:t>
      </w:r>
      <w:r w:rsidR="00EB7075">
        <w:t xml:space="preserve">has taken steps to revise its practices and adopt risk-based approaches to its operations, including by generally raising the profile of risk analysis in its standard procedures and templates. It has revised its mission, strategic goals and intended strategies for delivery. These measures address operational, security and financial risks, but don’t include a clear description of regulatory risks. </w:t>
      </w:r>
      <w:r>
        <w:t>T</w:t>
      </w:r>
      <w:r>
        <w:rPr>
          <w:rFonts w:cs="Arial"/>
          <w:szCs w:val="18"/>
        </w:rPr>
        <w:t xml:space="preserve">he </w:t>
      </w:r>
      <w:r w:rsidR="00E5460F">
        <w:rPr>
          <w:rFonts w:cs="Arial"/>
          <w:szCs w:val="18"/>
        </w:rPr>
        <w:t>Vet Board</w:t>
      </w:r>
      <w:r w:rsidR="00EB7075">
        <w:t xml:space="preserve"> could more clearly set out the regulatory risks it has identified, how its strategies will control the associated </w:t>
      </w:r>
      <w:r w:rsidR="00EB7075" w:rsidRPr="00BB290F">
        <w:t xml:space="preserve">harms, </w:t>
      </w:r>
      <w:r w:rsidR="00EB7075">
        <w:t xml:space="preserve">and </w:t>
      </w:r>
      <w:r w:rsidR="00EB7075" w:rsidRPr="00BB290F">
        <w:t xml:space="preserve">how </w:t>
      </w:r>
      <w:r w:rsidR="00EB7075">
        <w:t xml:space="preserve">its </w:t>
      </w:r>
      <w:r w:rsidR="00EB7075" w:rsidRPr="00BB290F">
        <w:t>compliance effort has been calibrated to the level of risk</w:t>
      </w:r>
      <w:r w:rsidR="00EB7075">
        <w:t xml:space="preserve">. </w:t>
      </w:r>
    </w:p>
    <w:p w14:paraId="724623BA" w14:textId="420FF1DC" w:rsidR="00EB7075" w:rsidRDefault="00EB7075" w:rsidP="00EB7075">
      <w:r>
        <w:t xml:space="preserve">Having said this, from information presented in its Annual Report and newsletters, </w:t>
      </w:r>
      <w:r w:rsidR="00E57C5F">
        <w:rPr>
          <w:rFonts w:cs="Arial"/>
          <w:szCs w:val="18"/>
        </w:rPr>
        <w:t xml:space="preserve">the </w:t>
      </w:r>
      <w:r w:rsidR="00E5460F">
        <w:rPr>
          <w:rFonts w:cs="Arial"/>
          <w:szCs w:val="18"/>
        </w:rPr>
        <w:t>Vet Board</w:t>
      </w:r>
      <w:r w:rsidR="00E57C5F">
        <w:t xml:space="preserve"> </w:t>
      </w:r>
      <w:r>
        <w:t xml:space="preserve">appears to be doing the kinds of information gathering and analysis consistent with risk-based compliance strategies. </w:t>
      </w:r>
      <w:r w:rsidR="00CD72A7">
        <w:t>T</w:t>
      </w:r>
      <w:r w:rsidR="00E57C5F">
        <w:rPr>
          <w:rFonts w:cs="Arial"/>
          <w:szCs w:val="18"/>
        </w:rPr>
        <w:t xml:space="preserve">he </w:t>
      </w:r>
      <w:r w:rsidR="00E5460F">
        <w:rPr>
          <w:rFonts w:cs="Arial"/>
          <w:szCs w:val="18"/>
        </w:rPr>
        <w:t>Vet Board</w:t>
      </w:r>
      <w:r>
        <w:t xml:space="preserve">’s approach to complaint investigation, which escalates through higher levels of intervention according to the severity of the issue and conduct of the respondent, is also consistent with a risk-based compliance approach. </w:t>
      </w:r>
      <w:r w:rsidR="00E57C5F">
        <w:t xml:space="preserve"> </w:t>
      </w:r>
    </w:p>
    <w:p w14:paraId="07D57AC1" w14:textId="38776555" w:rsidR="00EB7075" w:rsidRDefault="00EB7075" w:rsidP="00EB7075">
      <w:r>
        <w:t>In view of this</w:t>
      </w:r>
      <w:r w:rsidRPr="00882284">
        <w:t xml:space="preserve">, </w:t>
      </w:r>
      <w:r w:rsidR="00E57C5F">
        <w:rPr>
          <w:rFonts w:cs="Arial"/>
          <w:szCs w:val="18"/>
        </w:rPr>
        <w:t xml:space="preserve">the </w:t>
      </w:r>
      <w:r w:rsidR="00E5460F">
        <w:rPr>
          <w:rFonts w:cs="Arial"/>
          <w:szCs w:val="18"/>
        </w:rPr>
        <w:t>Vet Board</w:t>
      </w:r>
      <w:r w:rsidRPr="00882284">
        <w:t xml:space="preserve"> could more clearly articulate how it uses its observations of trends in the sector to make an analysis of regulatory issues that then inform a set of risk-based strategies for compliance management,</w:t>
      </w:r>
      <w:r w:rsidRPr="00BB290F">
        <w:t xml:space="preserve"> and regulatory practice generally. </w:t>
      </w:r>
      <w:r>
        <w:t xml:space="preserve">These </w:t>
      </w:r>
      <w:r w:rsidRPr="00BB290F">
        <w:t xml:space="preserve">risk-based objectives </w:t>
      </w:r>
      <w:r>
        <w:t>could then be</w:t>
      </w:r>
      <w:r w:rsidRPr="00BB290F">
        <w:t xml:space="preserve"> published</w:t>
      </w:r>
      <w:r>
        <w:t xml:space="preserve"> through its website or newsletters, to educate practitioners about </w:t>
      </w:r>
      <w:r w:rsidR="00E57C5F">
        <w:rPr>
          <w:rFonts w:cs="Arial"/>
          <w:szCs w:val="18"/>
        </w:rPr>
        <w:t xml:space="preserve">the </w:t>
      </w:r>
      <w:r w:rsidR="00E5460F">
        <w:rPr>
          <w:rFonts w:cs="Arial"/>
          <w:szCs w:val="18"/>
        </w:rPr>
        <w:t>Vet Board</w:t>
      </w:r>
      <w:r>
        <w:t xml:space="preserve">’s priority areas. </w:t>
      </w:r>
      <w:r w:rsidR="00E57C5F">
        <w:t xml:space="preserve">  </w:t>
      </w:r>
    </w:p>
    <w:tbl>
      <w:tblPr>
        <w:tblStyle w:val="TableGrid"/>
        <w:tblW w:w="0" w:type="auto"/>
        <w:tblLook w:val="04A0" w:firstRow="1" w:lastRow="0" w:firstColumn="1" w:lastColumn="0" w:noHBand="0" w:noVBand="1"/>
      </w:tblPr>
      <w:tblGrid>
        <w:gridCol w:w="9016"/>
      </w:tblGrid>
      <w:tr w:rsidR="00EB7075" w14:paraId="6DB64918" w14:textId="77777777" w:rsidTr="00EB7075">
        <w:tc>
          <w:tcPr>
            <w:tcW w:w="9730" w:type="dxa"/>
            <w:shd w:val="clear" w:color="auto" w:fill="E36C0A" w:themeFill="accent6" w:themeFillShade="BF"/>
          </w:tcPr>
          <w:p w14:paraId="23D2EC0C" w14:textId="59B71FCC" w:rsidR="00EB7075" w:rsidRPr="00BA2571" w:rsidRDefault="00EB7075" w:rsidP="00EB7075">
            <w:pPr>
              <w:rPr>
                <w:i/>
                <w:color w:val="FFFFFF" w:themeColor="background1"/>
              </w:rPr>
            </w:pPr>
            <w:r w:rsidRPr="00BA2571">
              <w:rPr>
                <w:b/>
                <w:i/>
                <w:color w:val="FFFFFF" w:themeColor="background1"/>
              </w:rPr>
              <w:t>Case study</w:t>
            </w:r>
            <w:r>
              <w:rPr>
                <w:b/>
                <w:i/>
                <w:color w:val="FFFFFF" w:themeColor="background1"/>
              </w:rPr>
              <w:t>, risk-based regulation</w:t>
            </w:r>
            <w:r w:rsidRPr="00BA2571">
              <w:rPr>
                <w:b/>
                <w:i/>
                <w:color w:val="FFFFFF" w:themeColor="background1"/>
              </w:rPr>
              <w:t>:</w:t>
            </w:r>
            <w:r w:rsidRPr="00BA2571">
              <w:rPr>
                <w:i/>
                <w:color w:val="FFFFFF" w:themeColor="background1"/>
              </w:rPr>
              <w:t xml:space="preserve"> </w:t>
            </w:r>
            <w:r w:rsidR="00822280">
              <w:rPr>
                <w:i/>
                <w:color w:val="FFFFFF" w:themeColor="background1"/>
              </w:rPr>
              <w:t>T</w:t>
            </w:r>
            <w:r w:rsidR="00E57C5F" w:rsidRPr="00E57C5F">
              <w:rPr>
                <w:i/>
                <w:color w:val="FFFFFF" w:themeColor="background1"/>
              </w:rPr>
              <w:t xml:space="preserve">he </w:t>
            </w:r>
            <w:r w:rsidR="00E5460F">
              <w:rPr>
                <w:i/>
                <w:color w:val="FFFFFF" w:themeColor="background1"/>
              </w:rPr>
              <w:t>Vet Board</w:t>
            </w:r>
            <w:r>
              <w:rPr>
                <w:i/>
                <w:color w:val="FFFFFF" w:themeColor="background1"/>
              </w:rPr>
              <w:t>’</w:t>
            </w:r>
            <w:r w:rsidRPr="00BA2571">
              <w:rPr>
                <w:i/>
                <w:color w:val="FFFFFF" w:themeColor="background1"/>
              </w:rPr>
              <w:t xml:space="preserve">s revised approach to applications for registration provides a good case study of applying a risk-based approach to regulatory practice. To assure authenticity, the registration process previously required applicants to lodge hard-copy documents, to prevent </w:t>
            </w:r>
            <w:r>
              <w:rPr>
                <w:i/>
                <w:color w:val="FFFFFF" w:themeColor="background1"/>
              </w:rPr>
              <w:t xml:space="preserve">potential </w:t>
            </w:r>
            <w:r w:rsidRPr="00BA2571">
              <w:rPr>
                <w:i/>
                <w:color w:val="FFFFFF" w:themeColor="background1"/>
              </w:rPr>
              <w:t xml:space="preserve">fraud associated with electronic documents. </w:t>
            </w:r>
            <w:r w:rsidR="00822280">
              <w:rPr>
                <w:i/>
                <w:color w:val="FFFFFF" w:themeColor="background1"/>
              </w:rPr>
              <w:t>T</w:t>
            </w:r>
            <w:r w:rsidR="00822280" w:rsidRPr="00822280">
              <w:rPr>
                <w:i/>
                <w:color w:val="FFFFFF" w:themeColor="background1"/>
              </w:rPr>
              <w:t xml:space="preserve">he </w:t>
            </w:r>
            <w:r w:rsidR="00E5460F">
              <w:rPr>
                <w:i/>
                <w:color w:val="FFFFFF" w:themeColor="background1"/>
              </w:rPr>
              <w:t>Vet Board</w:t>
            </w:r>
            <w:r w:rsidRPr="00BA2571">
              <w:rPr>
                <w:i/>
                <w:color w:val="FFFFFF" w:themeColor="background1"/>
              </w:rPr>
              <w:t xml:space="preserve"> re-assessed the value of this procedure in light of new technology, including new techniques for detecting fraud in electronic documents and access to highly reliable university records of graduates awarded veterinary qualifications</w:t>
            </w:r>
            <w:r w:rsidR="00954522">
              <w:rPr>
                <w:i/>
                <w:color w:val="FFFFFF" w:themeColor="background1"/>
              </w:rPr>
              <w:t xml:space="preserve"> </w:t>
            </w:r>
            <w:r w:rsidR="00A53F36">
              <w:rPr>
                <w:i/>
                <w:color w:val="FFFFFF" w:themeColor="background1"/>
              </w:rPr>
              <w:t>and/or</w:t>
            </w:r>
            <w:r w:rsidR="00954522">
              <w:rPr>
                <w:i/>
                <w:color w:val="FFFFFF" w:themeColor="background1"/>
              </w:rPr>
              <w:t xml:space="preserve"> </w:t>
            </w:r>
            <w:r w:rsidR="00A53F36">
              <w:rPr>
                <w:i/>
                <w:color w:val="FFFFFF" w:themeColor="background1"/>
              </w:rPr>
              <w:t>letters of professional standing issued</w:t>
            </w:r>
            <w:r w:rsidR="00F61700">
              <w:rPr>
                <w:i/>
                <w:color w:val="FFFFFF" w:themeColor="background1"/>
              </w:rPr>
              <w:t xml:space="preserve"> directly to the </w:t>
            </w:r>
            <w:r w:rsidR="00E5460F">
              <w:rPr>
                <w:i/>
                <w:color w:val="FFFFFF" w:themeColor="background1"/>
              </w:rPr>
              <w:t>Vet Board</w:t>
            </w:r>
            <w:r w:rsidR="00A53F36">
              <w:rPr>
                <w:i/>
                <w:color w:val="FFFFFF" w:themeColor="background1"/>
              </w:rPr>
              <w:t xml:space="preserve"> by </w:t>
            </w:r>
            <w:r w:rsidR="00175602">
              <w:rPr>
                <w:i/>
                <w:color w:val="FFFFFF" w:themeColor="background1"/>
              </w:rPr>
              <w:t>registration authorities in other jurisdictions</w:t>
            </w:r>
            <w:r w:rsidRPr="00BA2571">
              <w:rPr>
                <w:i/>
                <w:color w:val="FFFFFF" w:themeColor="background1"/>
              </w:rPr>
              <w:t xml:space="preserve">. On this basis, </w:t>
            </w:r>
            <w:r w:rsidR="00822280" w:rsidRPr="00822280">
              <w:rPr>
                <w:i/>
                <w:color w:val="FFFFFF" w:themeColor="background1"/>
              </w:rPr>
              <w:t xml:space="preserve">the </w:t>
            </w:r>
            <w:r w:rsidR="00E5460F">
              <w:rPr>
                <w:i/>
                <w:color w:val="FFFFFF" w:themeColor="background1"/>
              </w:rPr>
              <w:t>Vet Board</w:t>
            </w:r>
            <w:r w:rsidRPr="00BA2571">
              <w:rPr>
                <w:i/>
                <w:color w:val="FFFFFF" w:themeColor="background1"/>
              </w:rPr>
              <w:t xml:space="preserve"> assessed the risk of fraudulent application for registration is very low, and the additional burden associated with lodgement of hard-copy documentation was disproportionate to the risk. While applicants are still required to provide authenticated documentation, the ability to use electronic lodgement significantly reduces the time and cost burden connected with the application process.</w:t>
            </w:r>
            <w:r w:rsidR="00822280">
              <w:rPr>
                <w:i/>
                <w:color w:val="FFFFFF" w:themeColor="background1"/>
              </w:rPr>
              <w:t xml:space="preserve"> </w:t>
            </w:r>
          </w:p>
        </w:tc>
      </w:tr>
    </w:tbl>
    <w:p w14:paraId="051F1B87" w14:textId="77777777" w:rsidR="00EB7075" w:rsidRPr="00BB290F" w:rsidRDefault="00EB7075" w:rsidP="00EB7075">
      <w:pPr>
        <w:pStyle w:val="Heading2"/>
      </w:pPr>
      <w:bookmarkStart w:id="29" w:name="_Toc530038813"/>
      <w:bookmarkStart w:id="30" w:name="_Toc530573069"/>
      <w:r w:rsidRPr="00BB290F">
        <w:lastRenderedPageBreak/>
        <w:t>Compliance related assistance and advice</w:t>
      </w:r>
      <w:bookmarkEnd w:id="29"/>
      <w:bookmarkEnd w:id="30"/>
      <w:r w:rsidRPr="00BB290F">
        <w:t xml:space="preserve"> </w:t>
      </w:r>
    </w:p>
    <w:tbl>
      <w:tblPr>
        <w:tblStyle w:val="TableGrid"/>
        <w:tblW w:w="0" w:type="auto"/>
        <w:tblLook w:val="04A0" w:firstRow="1" w:lastRow="0" w:firstColumn="1" w:lastColumn="0" w:noHBand="0" w:noVBand="1"/>
      </w:tblPr>
      <w:tblGrid>
        <w:gridCol w:w="9016"/>
      </w:tblGrid>
      <w:tr w:rsidR="00EB7075" w14:paraId="7D69949C" w14:textId="77777777" w:rsidTr="00822280">
        <w:tc>
          <w:tcPr>
            <w:tcW w:w="9016" w:type="dxa"/>
            <w:shd w:val="clear" w:color="auto" w:fill="FDE9D9" w:themeFill="accent6" w:themeFillTint="33"/>
          </w:tcPr>
          <w:p w14:paraId="156FBC9F" w14:textId="2CEE51FE" w:rsidR="00EB7075" w:rsidRDefault="00EB7075" w:rsidP="00EB7075">
            <w:pPr>
              <w:rPr>
                <w:i/>
              </w:rPr>
            </w:pPr>
            <w:r w:rsidRPr="00911EA1">
              <w:rPr>
                <w:b/>
                <w:i/>
              </w:rPr>
              <w:t>Statement of Expectation:</w:t>
            </w:r>
            <w:r w:rsidRPr="00BB290F">
              <w:rPr>
                <w:i/>
              </w:rPr>
              <w:t xml:space="preserve"> I expect the Board to improve the clarity and currency of advice provided to regulated parties to ensure it is both comprehensive and easy to understand. The Board must ensure 100% of advice provided to its members and the community is reviewed and updated at an appropriate frequency to ensure currency and relevance. Advice must be clear, concise and written in plain English. </w:t>
            </w:r>
          </w:p>
          <w:p w14:paraId="7AA3EA89" w14:textId="595D79EB" w:rsidR="00EB7075" w:rsidRPr="00BB290F" w:rsidRDefault="00EB7075" w:rsidP="00EB7075">
            <w:pPr>
              <w:rPr>
                <w:i/>
              </w:rPr>
            </w:pPr>
            <w:r w:rsidRPr="00BB290F">
              <w:rPr>
                <w:i/>
              </w:rPr>
              <w:t xml:space="preserve">In dealing with stakeholders, I expect </w:t>
            </w:r>
            <w:proofErr w:type="gramStart"/>
            <w:r w:rsidRPr="00BB290F">
              <w:rPr>
                <w:i/>
              </w:rPr>
              <w:t>all of</w:t>
            </w:r>
            <w:proofErr w:type="gramEnd"/>
            <w:r w:rsidRPr="00BB290F">
              <w:rPr>
                <w:i/>
              </w:rPr>
              <w:t xml:space="preserve"> your regulatory staff to be helpful, respectful, impartial, proportionate, predictable, transparent. I also expect that the Board will engage with stakeholders to seek feedback on your progression against these principles and report this to me as part of your annual reporting arrangements</w:t>
            </w:r>
            <w:r>
              <w:rPr>
                <w:i/>
              </w:rPr>
              <w:t xml:space="preserve">. </w:t>
            </w:r>
          </w:p>
        </w:tc>
      </w:tr>
    </w:tbl>
    <w:p w14:paraId="567714D7" w14:textId="30852DA1" w:rsidR="00EB7075" w:rsidRDefault="00822280" w:rsidP="00EB7075">
      <w:r>
        <w:rPr>
          <w:rFonts w:cs="Arial"/>
          <w:szCs w:val="18"/>
        </w:rPr>
        <w:t xml:space="preserve">The </w:t>
      </w:r>
      <w:r w:rsidR="00E5460F">
        <w:rPr>
          <w:rFonts w:cs="Arial"/>
          <w:szCs w:val="18"/>
        </w:rPr>
        <w:t>Vet Board</w:t>
      </w:r>
      <w:r w:rsidR="00EB7075">
        <w:t xml:space="preserve"> has established work programs for reviewing its advice and guidance materials, including the veterinary </w:t>
      </w:r>
      <w:r w:rsidR="00EB7075" w:rsidRPr="009F2A0D">
        <w:rPr>
          <w:i/>
        </w:rPr>
        <w:t>Professional Conduct</w:t>
      </w:r>
      <w:r w:rsidR="00EB7075">
        <w:t xml:space="preserve"> Guidelines. Updates have been made to its guidelines for </w:t>
      </w:r>
      <w:r w:rsidR="00EB7075" w:rsidRPr="00B74E25">
        <w:rPr>
          <w:i/>
        </w:rPr>
        <w:t>Supply and use of drugs, scheduled drugs and other medications</w:t>
      </w:r>
      <w:r w:rsidR="00EB7075">
        <w:rPr>
          <w:i/>
        </w:rPr>
        <w:t xml:space="preserve"> in veterinary practice</w:t>
      </w:r>
      <w:r w:rsidR="00EB7075">
        <w:t xml:space="preserve">, and </w:t>
      </w:r>
      <w:r w:rsidR="00EB7075" w:rsidRPr="00B74E25">
        <w:rPr>
          <w:i/>
        </w:rPr>
        <w:t>Veterinary medical records</w:t>
      </w:r>
      <w:r w:rsidR="00EB7075">
        <w:t xml:space="preserve">. Feedback on these initial updates has been sought from practitioners and this will be used to develop a model for revision of remaining guidelines, expected to occur over the first half of 2019. Additional stakeholder consultation has been built into the process for these further revisions. To provide systematic assurance of guidance materials and other advice, </w:t>
      </w:r>
      <w:r w:rsidR="00BA2D25">
        <w:t xml:space="preserve">the </w:t>
      </w:r>
      <w:r w:rsidR="00E5460F">
        <w:t>Vet Board</w:t>
      </w:r>
      <w:r w:rsidR="00BA2D25">
        <w:t xml:space="preserve">’s Professional Standards Committee has </w:t>
      </w:r>
      <w:r w:rsidR="00EB7075">
        <w:rPr>
          <w:rFonts w:cs="Arial"/>
          <w:szCs w:val="18"/>
        </w:rPr>
        <w:t xml:space="preserve">responsibility for ongoing review of </w:t>
      </w:r>
      <w:r w:rsidR="006365D8">
        <w:rPr>
          <w:rFonts w:cs="Arial"/>
          <w:szCs w:val="18"/>
        </w:rPr>
        <w:t>the</w:t>
      </w:r>
      <w:r w:rsidR="00771DA0">
        <w:rPr>
          <w:rFonts w:cs="Arial"/>
          <w:szCs w:val="18"/>
        </w:rPr>
        <w:t xml:space="preserve"> </w:t>
      </w:r>
      <w:r w:rsidR="00E5460F">
        <w:rPr>
          <w:rFonts w:cs="Arial"/>
          <w:szCs w:val="18"/>
        </w:rPr>
        <w:t>Vet Board</w:t>
      </w:r>
      <w:r w:rsidR="00EB7075">
        <w:rPr>
          <w:rFonts w:cs="Arial"/>
          <w:szCs w:val="18"/>
        </w:rPr>
        <w:t>’s website and documents</w:t>
      </w:r>
      <w:r w:rsidR="00FB25AF">
        <w:rPr>
          <w:rFonts w:cs="Arial"/>
          <w:szCs w:val="18"/>
        </w:rPr>
        <w:t>,</w:t>
      </w:r>
      <w:r w:rsidR="00EB7075">
        <w:rPr>
          <w:rFonts w:cs="Arial"/>
          <w:szCs w:val="18"/>
        </w:rPr>
        <w:t xml:space="preserve"> </w:t>
      </w:r>
      <w:r w:rsidR="00FB25AF">
        <w:rPr>
          <w:rFonts w:cs="Arial"/>
          <w:szCs w:val="18"/>
        </w:rPr>
        <w:t xml:space="preserve">with </w:t>
      </w:r>
      <w:r w:rsidR="00EB7075">
        <w:rPr>
          <w:rFonts w:cs="Arial"/>
          <w:szCs w:val="18"/>
        </w:rPr>
        <w:t xml:space="preserve">reports to be made to the </w:t>
      </w:r>
      <w:r w:rsidR="00E5460F">
        <w:rPr>
          <w:rFonts w:cs="Arial"/>
          <w:szCs w:val="18"/>
        </w:rPr>
        <w:t>Vet Board</w:t>
      </w:r>
      <w:r w:rsidR="00EB7075">
        <w:rPr>
          <w:rFonts w:cs="Arial"/>
          <w:szCs w:val="18"/>
        </w:rPr>
        <w:t xml:space="preserve"> annually. </w:t>
      </w:r>
      <w:r>
        <w:rPr>
          <w:rFonts w:cs="Arial"/>
          <w:szCs w:val="18"/>
        </w:rPr>
        <w:t xml:space="preserve"> </w:t>
      </w:r>
    </w:p>
    <w:p w14:paraId="316752CC" w14:textId="05BFE7D7" w:rsidR="00EB7075" w:rsidRDefault="00EB7075" w:rsidP="00EB7075">
      <w:r>
        <w:t xml:space="preserve">Recent changes to </w:t>
      </w:r>
      <w:r w:rsidR="00822280">
        <w:rPr>
          <w:rFonts w:cs="Arial"/>
          <w:szCs w:val="18"/>
        </w:rPr>
        <w:t xml:space="preserve">the </w:t>
      </w:r>
      <w:r w:rsidR="00E5460F">
        <w:rPr>
          <w:rFonts w:cs="Arial"/>
          <w:szCs w:val="18"/>
        </w:rPr>
        <w:t>Vet Board</w:t>
      </w:r>
      <w:r>
        <w:t xml:space="preserve">’s website improve its ease of use through the addition of navigation menus to assist information discovery and the inclusion of news updates on the homepage, enabling timely information to be made available to practitioners about current issues affecting the profession. This supplements updates provided through </w:t>
      </w:r>
      <w:r w:rsidR="00822280">
        <w:rPr>
          <w:rFonts w:cs="Arial"/>
          <w:szCs w:val="18"/>
        </w:rPr>
        <w:t xml:space="preserve">the </w:t>
      </w:r>
      <w:r w:rsidR="00E5460F">
        <w:rPr>
          <w:rFonts w:cs="Arial"/>
          <w:szCs w:val="18"/>
        </w:rPr>
        <w:t>Vet Board</w:t>
      </w:r>
      <w:r>
        <w:t xml:space="preserve">’s quarterly newsletter. </w:t>
      </w:r>
      <w:r w:rsidRPr="007E0281">
        <w:t xml:space="preserve">To address plain English expression, </w:t>
      </w:r>
      <w:r w:rsidR="00822280">
        <w:rPr>
          <w:rFonts w:cs="Arial"/>
          <w:szCs w:val="18"/>
        </w:rPr>
        <w:t xml:space="preserve">the </w:t>
      </w:r>
      <w:r w:rsidR="00E5460F">
        <w:rPr>
          <w:rFonts w:cs="Arial"/>
          <w:szCs w:val="18"/>
        </w:rPr>
        <w:t>Vet Board</w:t>
      </w:r>
      <w:r w:rsidRPr="007E0281">
        <w:t xml:space="preserve"> has commenced a comprehensive review of its communications and engagement with stakeholders, with the aim of establishing a communications protocol covering all aspects of interactions with its stakeholders</w:t>
      </w:r>
      <w:r>
        <w:t xml:space="preserve">. </w:t>
      </w:r>
      <w:r w:rsidR="00822280">
        <w:t>T</w:t>
      </w:r>
      <w:r w:rsidR="00822280">
        <w:rPr>
          <w:rFonts w:cs="Arial"/>
          <w:szCs w:val="18"/>
        </w:rPr>
        <w:t xml:space="preserve">he </w:t>
      </w:r>
      <w:r w:rsidR="00E5460F">
        <w:rPr>
          <w:rFonts w:cs="Arial"/>
          <w:szCs w:val="18"/>
        </w:rPr>
        <w:t>Vet Board</w:t>
      </w:r>
      <w:r w:rsidRPr="007E0281">
        <w:t>’s Service Charter includes a</w:t>
      </w:r>
      <w:r>
        <w:t>n</w:t>
      </w:r>
      <w:r w:rsidRPr="007E0281">
        <w:t xml:space="preserve"> </w:t>
      </w:r>
      <w:r>
        <w:t xml:space="preserve">overall </w:t>
      </w:r>
      <w:r w:rsidRPr="007E0281">
        <w:t xml:space="preserve">commitment to provide straightforward advice and to adapt its communication to </w:t>
      </w:r>
      <w:r>
        <w:t xml:space="preserve">the </w:t>
      </w:r>
      <w:r w:rsidRPr="007E0281">
        <w:t>specific needs of stakeholders</w:t>
      </w:r>
      <w:r>
        <w:t xml:space="preserve"> as much as possible. </w:t>
      </w:r>
      <w:r w:rsidR="00822280">
        <w:t xml:space="preserve">  </w:t>
      </w:r>
    </w:p>
    <w:p w14:paraId="63E03C04" w14:textId="289BCC5D" w:rsidR="00EB7075" w:rsidRDefault="00822280" w:rsidP="00EB7075">
      <w:r>
        <w:rPr>
          <w:rFonts w:cs="Arial"/>
          <w:szCs w:val="18"/>
        </w:rPr>
        <w:t xml:space="preserve">The </w:t>
      </w:r>
      <w:r w:rsidR="00E5460F">
        <w:rPr>
          <w:rFonts w:cs="Arial"/>
          <w:szCs w:val="18"/>
        </w:rPr>
        <w:t>Vet Board</w:t>
      </w:r>
      <w:r w:rsidR="00EB7075" w:rsidRPr="007E6821">
        <w:t xml:space="preserve"> receives only a small number of request</w:t>
      </w:r>
      <w:r w:rsidR="00EB7075">
        <w:t>s</w:t>
      </w:r>
      <w:r w:rsidR="00EB7075" w:rsidRPr="007E6821">
        <w:t xml:space="preserve"> for hard copy materials. Hard copy materials are used primarily upon initial registration of graduating practitioners, with guidance and other support documents accompanying registration certificates (around 300 per year). </w:t>
      </w:r>
      <w:r>
        <w:rPr>
          <w:rFonts w:cs="Arial"/>
          <w:szCs w:val="18"/>
        </w:rPr>
        <w:t xml:space="preserve">The </w:t>
      </w:r>
      <w:r w:rsidR="00E5460F">
        <w:rPr>
          <w:rFonts w:cs="Arial"/>
          <w:szCs w:val="18"/>
        </w:rPr>
        <w:t>Vet Board</w:t>
      </w:r>
      <w:r w:rsidRPr="007E6821">
        <w:t xml:space="preserve"> </w:t>
      </w:r>
      <w:r w:rsidR="00EB7075" w:rsidRPr="007E6821">
        <w:t xml:space="preserve">manages printing of hard copy materials in-house, giving it full control over the currency of content and an ability to print documents only as required. </w:t>
      </w:r>
      <w:r>
        <w:rPr>
          <w:rFonts w:cs="Arial"/>
          <w:szCs w:val="18"/>
        </w:rPr>
        <w:t xml:space="preserve">The </w:t>
      </w:r>
      <w:r w:rsidR="00E5460F">
        <w:rPr>
          <w:rFonts w:cs="Arial"/>
          <w:szCs w:val="18"/>
        </w:rPr>
        <w:t>Vet Board</w:t>
      </w:r>
      <w:r w:rsidRPr="007E6821">
        <w:t xml:space="preserve"> </w:t>
      </w:r>
      <w:r w:rsidR="00EB7075" w:rsidRPr="007E6821">
        <w:t>is planning to redesign its range of support materials in line with its broader branding refresh, including HTML versions of documents and printable versions that can be downloaded</w:t>
      </w:r>
      <w:r w:rsidR="00EB7075">
        <w:t xml:space="preserve"> by stakeholders who prefer hard copies</w:t>
      </w:r>
      <w:r w:rsidR="00EB7075" w:rsidRPr="007E6821">
        <w:t>.</w:t>
      </w:r>
      <w:r w:rsidR="00EB7075">
        <w:t xml:space="preserve"> </w:t>
      </w:r>
      <w:r>
        <w:t xml:space="preserve"> </w:t>
      </w:r>
    </w:p>
    <w:p w14:paraId="2C6B527A" w14:textId="68DEAC03" w:rsidR="00EB7075" w:rsidRDefault="00822280" w:rsidP="00EB7075">
      <w:r>
        <w:rPr>
          <w:rFonts w:cs="Arial"/>
          <w:szCs w:val="18"/>
        </w:rPr>
        <w:t xml:space="preserve">The </w:t>
      </w:r>
      <w:r w:rsidR="00E5460F">
        <w:rPr>
          <w:rFonts w:cs="Arial"/>
          <w:szCs w:val="18"/>
        </w:rPr>
        <w:t>Vet Board</w:t>
      </w:r>
      <w:r w:rsidR="00EB7075">
        <w:t xml:space="preserve">’s new Service Charter includes a commitment to standards of behaviour aligning to those detailed in the </w:t>
      </w:r>
      <w:proofErr w:type="spellStart"/>
      <w:r w:rsidR="00EB7075">
        <w:t>SoE</w:t>
      </w:r>
      <w:proofErr w:type="spellEnd"/>
      <w:r w:rsidR="00EB7075">
        <w:t xml:space="preserve">, promising </w:t>
      </w:r>
      <w:r>
        <w:t xml:space="preserve">the </w:t>
      </w:r>
      <w:r w:rsidR="00E5460F">
        <w:t>Vet Board</w:t>
      </w:r>
      <w:r w:rsidR="00EB7075">
        <w:t xml:space="preserve"> will be </w:t>
      </w:r>
      <w:r w:rsidR="00EB7075" w:rsidRPr="007E0281">
        <w:rPr>
          <w:i/>
        </w:rPr>
        <w:t>Fair</w:t>
      </w:r>
      <w:r w:rsidR="00EB7075">
        <w:t xml:space="preserve"> (impartial, proportionate); </w:t>
      </w:r>
      <w:r w:rsidR="00EB7075" w:rsidRPr="007E0281">
        <w:rPr>
          <w:i/>
        </w:rPr>
        <w:t>Open</w:t>
      </w:r>
      <w:r w:rsidR="00EB7075">
        <w:t xml:space="preserve"> (transparent); </w:t>
      </w:r>
      <w:r w:rsidR="00EB7075" w:rsidRPr="007E0281">
        <w:rPr>
          <w:i/>
        </w:rPr>
        <w:t>Attentive</w:t>
      </w:r>
      <w:r w:rsidR="00EB7075">
        <w:t xml:space="preserve"> (helpful); </w:t>
      </w:r>
      <w:r w:rsidR="00EB7075" w:rsidRPr="007E0281">
        <w:rPr>
          <w:i/>
        </w:rPr>
        <w:t>Respectful</w:t>
      </w:r>
      <w:r w:rsidR="00EB7075">
        <w:t xml:space="preserve"> and </w:t>
      </w:r>
      <w:r w:rsidR="00EB7075" w:rsidRPr="007E0281">
        <w:rPr>
          <w:i/>
        </w:rPr>
        <w:t>Consistent</w:t>
      </w:r>
      <w:r w:rsidR="00EB7075">
        <w:t xml:space="preserve"> (predictable)</w:t>
      </w:r>
      <w:r w:rsidR="00EB7075" w:rsidRPr="00BB290F">
        <w:t xml:space="preserve"> </w:t>
      </w:r>
      <w:r w:rsidR="00EB7075">
        <w:t xml:space="preserve">in dealing with practitioners and the community. </w:t>
      </w:r>
      <w:r>
        <w:rPr>
          <w:rFonts w:cs="Arial"/>
          <w:szCs w:val="18"/>
        </w:rPr>
        <w:t xml:space="preserve">The </w:t>
      </w:r>
      <w:r w:rsidR="00E5460F">
        <w:rPr>
          <w:rFonts w:cs="Arial"/>
          <w:szCs w:val="18"/>
        </w:rPr>
        <w:t>Vet Board</w:t>
      </w:r>
      <w:r w:rsidRPr="00BB290F">
        <w:t xml:space="preserve"> </w:t>
      </w:r>
      <w:r w:rsidR="00EB7075" w:rsidRPr="00BB290F">
        <w:t>is working to model these standards of conduct through its updated forms and processes, and through information it communicates on its website and its public documents</w:t>
      </w:r>
      <w:r w:rsidR="00EB7075" w:rsidRPr="00882284">
        <w:t xml:space="preserve">. For future </w:t>
      </w:r>
      <w:proofErr w:type="spellStart"/>
      <w:r w:rsidR="00EB7075" w:rsidRPr="00882284">
        <w:t>SoEs</w:t>
      </w:r>
      <w:proofErr w:type="spellEnd"/>
      <w:r w:rsidR="00EB7075" w:rsidRPr="00882284">
        <w:t>, consideration could potentially be given to measuring performance against these standards of conduct.</w:t>
      </w:r>
      <w:r w:rsidR="00EB7075">
        <w:t xml:space="preserve"> </w:t>
      </w:r>
    </w:p>
    <w:p w14:paraId="2C47D0D0" w14:textId="77777777" w:rsidR="00EB7075" w:rsidRDefault="00EB7075" w:rsidP="00EB7075">
      <w:pPr>
        <w:pStyle w:val="Heading2"/>
      </w:pPr>
      <w:bookmarkStart w:id="31" w:name="_Toc530038814"/>
      <w:bookmarkStart w:id="32" w:name="_Toc530573070"/>
      <w:r>
        <w:t>Accountability and transparency</w:t>
      </w:r>
      <w:bookmarkEnd w:id="31"/>
      <w:bookmarkEnd w:id="32"/>
      <w:r>
        <w:t xml:space="preserve"> </w:t>
      </w:r>
    </w:p>
    <w:tbl>
      <w:tblPr>
        <w:tblStyle w:val="TableGrid"/>
        <w:tblW w:w="0" w:type="auto"/>
        <w:tblLook w:val="04A0" w:firstRow="1" w:lastRow="0" w:firstColumn="1" w:lastColumn="0" w:noHBand="0" w:noVBand="1"/>
      </w:tblPr>
      <w:tblGrid>
        <w:gridCol w:w="9016"/>
      </w:tblGrid>
      <w:tr w:rsidR="00EB7075" w14:paraId="42118664" w14:textId="77777777" w:rsidTr="00822280">
        <w:tc>
          <w:tcPr>
            <w:tcW w:w="9016" w:type="dxa"/>
            <w:shd w:val="clear" w:color="auto" w:fill="FDE9D9" w:themeFill="accent6" w:themeFillTint="33"/>
          </w:tcPr>
          <w:p w14:paraId="5A2281C5" w14:textId="78046B6D" w:rsidR="00EB7075" w:rsidRDefault="00EB7075" w:rsidP="00EB7075">
            <w:pPr>
              <w:rPr>
                <w:i/>
              </w:rPr>
            </w:pPr>
            <w:r w:rsidRPr="00911EA1">
              <w:rPr>
                <w:b/>
                <w:i/>
              </w:rPr>
              <w:t>Statement of Expectation:</w:t>
            </w:r>
            <w:r w:rsidRPr="009D69CE">
              <w:rPr>
                <w:i/>
              </w:rPr>
              <w:t xml:space="preserve"> I expect the Board to be transparent in its operation with all stakeholders and regulated partie</w:t>
            </w:r>
            <w:r w:rsidR="009B1883">
              <w:rPr>
                <w:i/>
              </w:rPr>
              <w:t>s</w:t>
            </w:r>
            <w:r w:rsidRPr="009D69CE">
              <w:rPr>
                <w:i/>
              </w:rPr>
              <w:t>, by clearly documenting the rational</w:t>
            </w:r>
            <w:r w:rsidR="005E1FE2">
              <w:rPr>
                <w:i/>
              </w:rPr>
              <w:t>e</w:t>
            </w:r>
            <w:r w:rsidRPr="009D69CE">
              <w:rPr>
                <w:i/>
              </w:rPr>
              <w:t xml:space="preserve"> for its statutory decision making and communicating these regularly and effectively to affected parties. I expect the Board will provide information to stakeholders about trends and topical issues affecting the industry within appropriate timeframes. </w:t>
            </w:r>
          </w:p>
          <w:p w14:paraId="78D943F8" w14:textId="426906CE" w:rsidR="00EB7075" w:rsidRPr="009D69CE" w:rsidRDefault="00EB7075" w:rsidP="00EB7075">
            <w:pPr>
              <w:rPr>
                <w:i/>
              </w:rPr>
            </w:pPr>
            <w:r w:rsidRPr="009D69CE">
              <w:rPr>
                <w:i/>
              </w:rPr>
              <w:t xml:space="preserve">I expect a summary of the findings and recommendations </w:t>
            </w:r>
            <w:r w:rsidR="009225E4">
              <w:rPr>
                <w:i/>
              </w:rPr>
              <w:t>[</w:t>
            </w:r>
            <w:r w:rsidRPr="009D69CE">
              <w:rPr>
                <w:i/>
              </w:rPr>
              <w:t xml:space="preserve">of the report of the 2017 external audit of </w:t>
            </w:r>
            <w:r w:rsidR="00E5460F">
              <w:rPr>
                <w:i/>
              </w:rPr>
              <w:t>the</w:t>
            </w:r>
            <w:r w:rsidR="00CD72A7">
              <w:rPr>
                <w:i/>
              </w:rPr>
              <w:t xml:space="preserve"> </w:t>
            </w:r>
            <w:r w:rsidR="00E5460F">
              <w:rPr>
                <w:i/>
              </w:rPr>
              <w:t>Vet Board</w:t>
            </w:r>
            <w:r w:rsidRPr="009D69CE">
              <w:rPr>
                <w:i/>
              </w:rPr>
              <w:t>] to be made publicly available on the Board’s website. I also expect the Board to report its responses to these recommendations, release a plan to address them and report progress against these recommendations on the Board’s website and as part of its annual reporting arrangements.  In developing actions to achieve these recommendations, the Board is expected to consult with the Red Tape Commissioner [now Office of the Commissioner for Better Regulation], veterinary practitioners, industry stakeholders and the broader community as appropriate.</w:t>
            </w:r>
          </w:p>
        </w:tc>
      </w:tr>
    </w:tbl>
    <w:p w14:paraId="355D8990" w14:textId="29EF86F9" w:rsidR="00EB7075" w:rsidRDefault="00822280" w:rsidP="00EB7075">
      <w:r>
        <w:rPr>
          <w:rFonts w:cs="Arial"/>
          <w:szCs w:val="18"/>
        </w:rPr>
        <w:t xml:space="preserve">The </w:t>
      </w:r>
      <w:r w:rsidR="00E5460F">
        <w:rPr>
          <w:rFonts w:cs="Arial"/>
          <w:szCs w:val="18"/>
        </w:rPr>
        <w:t>Vet Board</w:t>
      </w:r>
      <w:r>
        <w:t xml:space="preserve"> </w:t>
      </w:r>
      <w:r w:rsidR="00EB7075">
        <w:t xml:space="preserve">uses several ways to provide information to its regulated community and the public about its expectations of practitioners and its rationale for decision making. Through its website and Annual Report, </w:t>
      </w:r>
      <w:r>
        <w:t>t</w:t>
      </w:r>
      <w:r>
        <w:rPr>
          <w:rFonts w:cs="Arial"/>
          <w:szCs w:val="18"/>
        </w:rPr>
        <w:t xml:space="preserve">he </w:t>
      </w:r>
      <w:r w:rsidR="00E5460F">
        <w:rPr>
          <w:rFonts w:cs="Arial"/>
          <w:szCs w:val="18"/>
        </w:rPr>
        <w:t>Vet Board</w:t>
      </w:r>
      <w:r>
        <w:t xml:space="preserve"> </w:t>
      </w:r>
      <w:r w:rsidR="00EB7075">
        <w:t xml:space="preserve">informs the profession of qualifications required to meet registration standards. Case studies in its newsletters illustrate </w:t>
      </w:r>
      <w:r w:rsidR="00491B39">
        <w:rPr>
          <w:rFonts w:cs="Arial"/>
          <w:szCs w:val="18"/>
        </w:rPr>
        <w:t>t</w:t>
      </w:r>
      <w:r>
        <w:rPr>
          <w:rFonts w:cs="Arial"/>
          <w:szCs w:val="18"/>
        </w:rPr>
        <w:t xml:space="preserve">he </w:t>
      </w:r>
      <w:r w:rsidR="00E5460F">
        <w:rPr>
          <w:rFonts w:cs="Arial"/>
          <w:szCs w:val="18"/>
        </w:rPr>
        <w:t>Vet Board</w:t>
      </w:r>
      <w:r w:rsidR="00EB7075">
        <w:t xml:space="preserve">’s rationale in specific circumstances and draw links to implications for better practice. </w:t>
      </w:r>
      <w:r>
        <w:rPr>
          <w:rFonts w:cs="Arial"/>
          <w:szCs w:val="18"/>
        </w:rPr>
        <w:t xml:space="preserve">The </w:t>
      </w:r>
      <w:r w:rsidR="00E5460F">
        <w:rPr>
          <w:rFonts w:cs="Arial"/>
          <w:szCs w:val="18"/>
        </w:rPr>
        <w:t>Vet Board</w:t>
      </w:r>
      <w:r w:rsidR="00EB7075">
        <w:t xml:space="preserve">’s website homepage includes information on important developments (such as the </w:t>
      </w:r>
      <w:r w:rsidR="00EB7075">
        <w:lastRenderedPageBreak/>
        <w:t xml:space="preserve">announcement of Victorian Government’s Animal Welfare Strategy) and its Annual Report covers trends in complaint issues observed over the year. </w:t>
      </w:r>
      <w:r>
        <w:t xml:space="preserve"> </w:t>
      </w:r>
    </w:p>
    <w:p w14:paraId="60732DFB" w14:textId="04A3F526" w:rsidR="00EB7075" w:rsidRDefault="00822280" w:rsidP="00EB7075">
      <w:r>
        <w:rPr>
          <w:rFonts w:cs="Arial"/>
          <w:szCs w:val="18"/>
        </w:rPr>
        <w:t xml:space="preserve">The </w:t>
      </w:r>
      <w:r w:rsidR="00E5460F">
        <w:rPr>
          <w:rFonts w:cs="Arial"/>
          <w:szCs w:val="18"/>
        </w:rPr>
        <w:t>Vet Board</w:t>
      </w:r>
      <w:r w:rsidR="00EB7075">
        <w:t xml:space="preserve"> started publishing summaries of </w:t>
      </w:r>
      <w:r w:rsidR="00E5460F">
        <w:t>Vet Board</w:t>
      </w:r>
      <w:r w:rsidR="00EB7075">
        <w:t xml:space="preserve"> meetings in January 2018, as committed to in its </w:t>
      </w:r>
      <w:proofErr w:type="spellStart"/>
      <w:r w:rsidR="00EB7075">
        <w:t>SoE</w:t>
      </w:r>
      <w:proofErr w:type="spellEnd"/>
      <w:r w:rsidR="00EB7075">
        <w:t xml:space="preserve"> response, but ceased after April 2018.  Although </w:t>
      </w:r>
      <w:r>
        <w:rPr>
          <w:rFonts w:cs="Arial"/>
          <w:szCs w:val="18"/>
        </w:rPr>
        <w:t xml:space="preserve">the </w:t>
      </w:r>
      <w:r w:rsidR="00E5460F">
        <w:rPr>
          <w:rFonts w:cs="Arial"/>
          <w:szCs w:val="18"/>
        </w:rPr>
        <w:t>Vet Board</w:t>
      </w:r>
      <w:r>
        <w:t xml:space="preserve"> </w:t>
      </w:r>
      <w:r w:rsidR="00EB7075">
        <w:t xml:space="preserve">had committed to this target, the summaries in their current form are unlikely to provide much additional regulatory guidance, as the information tends to be procedural in nature and doesn’t convey a strong sense of </w:t>
      </w:r>
      <w:r>
        <w:t>t</w:t>
      </w:r>
      <w:r>
        <w:rPr>
          <w:rFonts w:cs="Arial"/>
          <w:szCs w:val="18"/>
        </w:rPr>
        <w:t xml:space="preserve">he </w:t>
      </w:r>
      <w:r w:rsidR="00E5460F">
        <w:rPr>
          <w:rFonts w:cs="Arial"/>
          <w:szCs w:val="18"/>
        </w:rPr>
        <w:t>Vet Board</w:t>
      </w:r>
      <w:r w:rsidR="00EB7075">
        <w:t xml:space="preserve">’s regulatory priorities.  An alternative approach could be to provide summaries of </w:t>
      </w:r>
      <w:r>
        <w:t>t</w:t>
      </w:r>
      <w:r>
        <w:rPr>
          <w:rFonts w:cs="Arial"/>
          <w:szCs w:val="18"/>
        </w:rPr>
        <w:t xml:space="preserve">he </w:t>
      </w:r>
      <w:r w:rsidR="00E5460F">
        <w:rPr>
          <w:rFonts w:cs="Arial"/>
          <w:szCs w:val="18"/>
        </w:rPr>
        <w:t>Vet Board</w:t>
      </w:r>
      <w:r w:rsidR="00EB7075">
        <w:t xml:space="preserve">’s discussions or decisions about regulatory issues significant to practitioners or the community. </w:t>
      </w:r>
      <w:r>
        <w:t xml:space="preserve"> </w:t>
      </w:r>
    </w:p>
    <w:tbl>
      <w:tblPr>
        <w:tblStyle w:val="TableGrid"/>
        <w:tblW w:w="0" w:type="auto"/>
        <w:tblLook w:val="04A0" w:firstRow="1" w:lastRow="0" w:firstColumn="1" w:lastColumn="0" w:noHBand="0" w:noVBand="1"/>
      </w:tblPr>
      <w:tblGrid>
        <w:gridCol w:w="9016"/>
      </w:tblGrid>
      <w:tr w:rsidR="00EB7075" w14:paraId="5129F70A" w14:textId="77777777" w:rsidTr="00EB7075">
        <w:tc>
          <w:tcPr>
            <w:tcW w:w="9730" w:type="dxa"/>
            <w:shd w:val="clear" w:color="auto" w:fill="E36C0A" w:themeFill="accent6" w:themeFillShade="BF"/>
          </w:tcPr>
          <w:p w14:paraId="3DB7D9C4" w14:textId="28502E67" w:rsidR="00EB7075" w:rsidRDefault="00EB7075" w:rsidP="00EB7075">
            <w:r w:rsidRPr="00BA2571">
              <w:rPr>
                <w:b/>
                <w:i/>
                <w:color w:val="FFFFFF" w:themeColor="background1"/>
              </w:rPr>
              <w:t>Case study</w:t>
            </w:r>
            <w:r>
              <w:rPr>
                <w:b/>
                <w:i/>
                <w:color w:val="FFFFFF" w:themeColor="background1"/>
              </w:rPr>
              <w:t>, transparency of decision-making</w:t>
            </w:r>
            <w:r w:rsidRPr="00BA2571">
              <w:rPr>
                <w:b/>
                <w:i/>
                <w:color w:val="FFFFFF" w:themeColor="background1"/>
              </w:rPr>
              <w:t>:</w:t>
            </w:r>
            <w:r w:rsidRPr="00BA2571">
              <w:rPr>
                <w:i/>
                <w:color w:val="FFFFFF" w:themeColor="background1"/>
              </w:rPr>
              <w:t xml:space="preserve"> </w:t>
            </w:r>
            <w:r>
              <w:rPr>
                <w:i/>
                <w:color w:val="FFFFFF" w:themeColor="background1"/>
              </w:rPr>
              <w:t xml:space="preserve">A case study provided in </w:t>
            </w:r>
            <w:r w:rsidR="00822280">
              <w:rPr>
                <w:i/>
                <w:color w:val="FFFFFF" w:themeColor="background1"/>
              </w:rPr>
              <w:t>t</w:t>
            </w:r>
            <w:r w:rsidR="00822280" w:rsidRPr="00822280">
              <w:rPr>
                <w:i/>
                <w:color w:val="FFFFFF" w:themeColor="background1"/>
              </w:rPr>
              <w:t xml:space="preserve">he </w:t>
            </w:r>
            <w:r w:rsidR="00E5460F">
              <w:rPr>
                <w:i/>
                <w:color w:val="FFFFFF" w:themeColor="background1"/>
              </w:rPr>
              <w:t>Vet Board</w:t>
            </w:r>
            <w:r>
              <w:rPr>
                <w:i/>
                <w:color w:val="FFFFFF" w:themeColor="background1"/>
              </w:rPr>
              <w:t>’</w:t>
            </w:r>
            <w:r w:rsidRPr="00BA2571">
              <w:rPr>
                <w:i/>
                <w:color w:val="FFFFFF" w:themeColor="background1"/>
              </w:rPr>
              <w:t xml:space="preserve">s </w:t>
            </w:r>
            <w:r>
              <w:rPr>
                <w:i/>
                <w:color w:val="FFFFFF" w:themeColor="background1"/>
              </w:rPr>
              <w:t xml:space="preserve">September 2018 newsletter provides a good example of transparency of decision-making rationale in practice.  In the newsletter, </w:t>
            </w:r>
            <w:r w:rsidR="00822280">
              <w:rPr>
                <w:i/>
                <w:color w:val="FFFFFF" w:themeColor="background1"/>
              </w:rPr>
              <w:t>t</w:t>
            </w:r>
            <w:r w:rsidR="00822280" w:rsidRPr="00822280">
              <w:rPr>
                <w:i/>
                <w:color w:val="FFFFFF" w:themeColor="background1"/>
              </w:rPr>
              <w:t xml:space="preserve">he </w:t>
            </w:r>
            <w:r w:rsidR="00E5460F">
              <w:rPr>
                <w:i/>
                <w:color w:val="FFFFFF" w:themeColor="background1"/>
              </w:rPr>
              <w:t>Vet Board</w:t>
            </w:r>
            <w:r w:rsidR="00822280" w:rsidRPr="00822280">
              <w:rPr>
                <w:i/>
                <w:color w:val="FFFFFF" w:themeColor="background1"/>
              </w:rPr>
              <w:t xml:space="preserve"> </w:t>
            </w:r>
            <w:r>
              <w:rPr>
                <w:i/>
                <w:color w:val="FFFFFF" w:themeColor="background1"/>
              </w:rPr>
              <w:t xml:space="preserve">provides a detailed case study </w:t>
            </w:r>
            <w:r w:rsidR="0001604B">
              <w:rPr>
                <w:i/>
                <w:color w:val="FFFFFF" w:themeColor="background1"/>
              </w:rPr>
              <w:t>comparing</w:t>
            </w:r>
            <w:r>
              <w:rPr>
                <w:i/>
                <w:color w:val="FFFFFF" w:themeColor="background1"/>
              </w:rPr>
              <w:t xml:space="preserve"> two instances of complaint relating to allegations of negligence </w:t>
            </w:r>
            <w:r w:rsidRPr="009E72AE">
              <w:rPr>
                <w:i/>
                <w:color w:val="FFFFFF" w:themeColor="background1"/>
              </w:rPr>
              <w:t>involving the management of multiple births</w:t>
            </w:r>
            <w:r>
              <w:rPr>
                <w:i/>
                <w:color w:val="FFFFFF" w:themeColor="background1"/>
              </w:rPr>
              <w:t xml:space="preserve"> (domestic pets). </w:t>
            </w:r>
            <w:r w:rsidRPr="009E72AE">
              <w:rPr>
                <w:i/>
                <w:color w:val="FFFFFF" w:themeColor="background1"/>
              </w:rPr>
              <w:t xml:space="preserve">In the first </w:t>
            </w:r>
            <w:r>
              <w:rPr>
                <w:i/>
                <w:color w:val="FFFFFF" w:themeColor="background1"/>
              </w:rPr>
              <w:t>instance</w:t>
            </w:r>
            <w:r w:rsidRPr="009E72AE">
              <w:rPr>
                <w:i/>
                <w:color w:val="FFFFFF" w:themeColor="background1"/>
              </w:rPr>
              <w:t xml:space="preserve">, an Informal Hearing Panel found there had been unprofessional conduct and counselled the practitioner. In the second </w:t>
            </w:r>
            <w:r>
              <w:rPr>
                <w:i/>
                <w:color w:val="FFFFFF" w:themeColor="background1"/>
              </w:rPr>
              <w:t>instance,</w:t>
            </w:r>
            <w:r w:rsidRPr="009E72AE">
              <w:rPr>
                <w:i/>
                <w:color w:val="FFFFFF" w:themeColor="background1"/>
              </w:rPr>
              <w:t xml:space="preserve"> a Panel found there had been no unprofessional conduct by the practitioner.</w:t>
            </w:r>
            <w:r>
              <w:rPr>
                <w:i/>
                <w:color w:val="FFFFFF" w:themeColor="background1"/>
              </w:rPr>
              <w:t xml:space="preserve"> The case studies give a detailed but anonymi</w:t>
            </w:r>
            <w:r w:rsidR="008C208E">
              <w:rPr>
                <w:i/>
                <w:color w:val="FFFFFF" w:themeColor="background1"/>
              </w:rPr>
              <w:t>s</w:t>
            </w:r>
            <w:r>
              <w:rPr>
                <w:i/>
                <w:color w:val="FFFFFF" w:themeColor="background1"/>
              </w:rPr>
              <w:t xml:space="preserve">ed description of the circumstances, including the criteria that underpinned </w:t>
            </w:r>
            <w:r w:rsidR="00822280">
              <w:rPr>
                <w:i/>
                <w:color w:val="FFFFFF" w:themeColor="background1"/>
              </w:rPr>
              <w:t>t</w:t>
            </w:r>
            <w:r w:rsidR="00822280" w:rsidRPr="00822280">
              <w:rPr>
                <w:i/>
                <w:color w:val="FFFFFF" w:themeColor="background1"/>
              </w:rPr>
              <w:t xml:space="preserve">he </w:t>
            </w:r>
            <w:r w:rsidR="00E5460F">
              <w:rPr>
                <w:i/>
                <w:color w:val="FFFFFF" w:themeColor="background1"/>
              </w:rPr>
              <w:t>Vet Board</w:t>
            </w:r>
            <w:r>
              <w:rPr>
                <w:i/>
                <w:color w:val="FFFFFF" w:themeColor="background1"/>
              </w:rPr>
              <w:t>’s reasoning in each instance, and a summari</w:t>
            </w:r>
            <w:r w:rsidR="008C208E">
              <w:rPr>
                <w:i/>
                <w:color w:val="FFFFFF" w:themeColor="background1"/>
              </w:rPr>
              <w:t>s</w:t>
            </w:r>
            <w:r>
              <w:rPr>
                <w:i/>
                <w:color w:val="FFFFFF" w:themeColor="background1"/>
              </w:rPr>
              <w:t xml:space="preserve">ed reflection on the implications for veterinary practice with respect to managing multiple births in domestic pets. </w:t>
            </w:r>
          </w:p>
        </w:tc>
      </w:tr>
    </w:tbl>
    <w:p w14:paraId="51F7155F" w14:textId="7C64EB6D" w:rsidR="00EB7075" w:rsidRDefault="00AC37B8" w:rsidP="00EB7075">
      <w:r>
        <w:t xml:space="preserve">The </w:t>
      </w:r>
      <w:r w:rsidR="00EB7075">
        <w:t xml:space="preserve">information published in </w:t>
      </w:r>
      <w:r w:rsidR="00822280">
        <w:t>t</w:t>
      </w:r>
      <w:r w:rsidR="00822280">
        <w:rPr>
          <w:rFonts w:cs="Arial"/>
          <w:szCs w:val="18"/>
        </w:rPr>
        <w:t xml:space="preserve">he </w:t>
      </w:r>
      <w:r w:rsidR="00E5460F">
        <w:rPr>
          <w:rFonts w:cs="Arial"/>
          <w:szCs w:val="18"/>
        </w:rPr>
        <w:t>Vet Board</w:t>
      </w:r>
      <w:r w:rsidR="00EB7075">
        <w:t xml:space="preserve">’s Annual Report 2017-18, </w:t>
      </w:r>
      <w:r>
        <w:t>demonstrates</w:t>
      </w:r>
      <w:r w:rsidR="00EB7075">
        <w:t xml:space="preserve"> an external audit was conducted, a report with recommendations was received, and plans and actions taken in response. However, </w:t>
      </w:r>
      <w:r w:rsidR="00822280">
        <w:t>t</w:t>
      </w:r>
      <w:r w:rsidR="00822280">
        <w:rPr>
          <w:rFonts w:cs="Arial"/>
          <w:szCs w:val="18"/>
        </w:rPr>
        <w:t xml:space="preserve">he </w:t>
      </w:r>
      <w:r w:rsidR="00E5460F">
        <w:rPr>
          <w:rFonts w:cs="Arial"/>
          <w:szCs w:val="18"/>
        </w:rPr>
        <w:t>Vet Board</w:t>
      </w:r>
      <w:r w:rsidR="00EB7075">
        <w:t xml:space="preserve"> has not published the summary of findings from the external audit or its response to the audit and </w:t>
      </w:r>
      <w:r w:rsidR="00B2602F">
        <w:t xml:space="preserve">its </w:t>
      </w:r>
      <w:r w:rsidR="00EB7075">
        <w:t xml:space="preserve">corresponding plan. </w:t>
      </w:r>
      <w:r w:rsidR="00EB7075" w:rsidRPr="00882284">
        <w:t xml:space="preserve">Publishing the summary of findings together with </w:t>
      </w:r>
      <w:r w:rsidR="00822280">
        <w:rPr>
          <w:rFonts w:cs="Arial"/>
          <w:szCs w:val="18"/>
        </w:rPr>
        <w:t xml:space="preserve">the </w:t>
      </w:r>
      <w:r w:rsidR="00E5460F">
        <w:rPr>
          <w:rFonts w:cs="Arial"/>
          <w:szCs w:val="18"/>
        </w:rPr>
        <w:t>Vet Board</w:t>
      </w:r>
      <w:r w:rsidR="00EB7075" w:rsidRPr="00882284">
        <w:t>’s high</w:t>
      </w:r>
      <w:r w:rsidR="00822280">
        <w:t>-</w:t>
      </w:r>
      <w:r w:rsidR="00EB7075" w:rsidRPr="00882284">
        <w:t>level response could be a relatively uncomplicated way of providing</w:t>
      </w:r>
      <w:r w:rsidR="00EB7075">
        <w:t xml:space="preserve"> additional transparency and accountability to </w:t>
      </w:r>
      <w:r w:rsidR="00822280">
        <w:t>t</w:t>
      </w:r>
      <w:r w:rsidR="00822280">
        <w:rPr>
          <w:rFonts w:cs="Arial"/>
          <w:szCs w:val="18"/>
        </w:rPr>
        <w:t xml:space="preserve">he </w:t>
      </w:r>
      <w:r w:rsidR="00E5460F">
        <w:rPr>
          <w:rFonts w:cs="Arial"/>
          <w:szCs w:val="18"/>
        </w:rPr>
        <w:t>Vet Board</w:t>
      </w:r>
      <w:r w:rsidR="00EB7075">
        <w:t xml:space="preserve">’s practitioners and wider community. </w:t>
      </w:r>
    </w:p>
    <w:p w14:paraId="0EFBB615" w14:textId="46A8A152" w:rsidR="00EB7075" w:rsidRDefault="00822280" w:rsidP="00EB7075">
      <w:r>
        <w:rPr>
          <w:rFonts w:cs="Arial"/>
          <w:szCs w:val="18"/>
        </w:rPr>
        <w:t xml:space="preserve">The </w:t>
      </w:r>
      <w:r w:rsidR="00E5460F">
        <w:rPr>
          <w:rFonts w:cs="Arial"/>
          <w:szCs w:val="18"/>
        </w:rPr>
        <w:t>Vet Board</w:t>
      </w:r>
      <w:r w:rsidR="00EB7075">
        <w:t xml:space="preserve">’s Annual Report covered its progress against </w:t>
      </w:r>
      <w:proofErr w:type="gramStart"/>
      <w:r w:rsidR="00EB7075">
        <w:t>the majority of</w:t>
      </w:r>
      <w:proofErr w:type="gramEnd"/>
      <w:r w:rsidR="00EB7075">
        <w:t xml:space="preserve"> the targets set out in the </w:t>
      </w:r>
      <w:proofErr w:type="spellStart"/>
      <w:r w:rsidR="00EB7075">
        <w:t>SoE</w:t>
      </w:r>
      <w:proofErr w:type="spellEnd"/>
      <w:r w:rsidR="00EB7075">
        <w:t xml:space="preserve"> and response, but there are some elements that were not addressed. In some cases, this was due to a misalignment of the periods covered by the Annual Report versus the </w:t>
      </w:r>
      <w:proofErr w:type="spellStart"/>
      <w:r w:rsidR="00EB7075">
        <w:t>SoE</w:t>
      </w:r>
      <w:proofErr w:type="spellEnd"/>
      <w:r w:rsidR="00EB7075">
        <w:t xml:space="preserve">, (noting some targets also have timelines beyond the publish date of this evaluation report). However, there were some targets where progress or comment could have been provided, and a small amount of additional information or explanation would have provided a more comprehensive progress update (such as the summary of audit findings noted above). </w:t>
      </w:r>
      <w:r>
        <w:t xml:space="preserve"> </w:t>
      </w:r>
    </w:p>
    <w:p w14:paraId="6984EB90" w14:textId="1B6CC67D" w:rsidR="00EB7075" w:rsidRDefault="00EB7075" w:rsidP="00EB7075">
      <w:r>
        <w:t xml:space="preserve">Overall, </w:t>
      </w:r>
      <w:r w:rsidR="00822280">
        <w:t>t</w:t>
      </w:r>
      <w:r w:rsidR="00822280">
        <w:rPr>
          <w:rFonts w:cs="Arial"/>
          <w:szCs w:val="18"/>
        </w:rPr>
        <w:t xml:space="preserve">he </w:t>
      </w:r>
      <w:r w:rsidR="00E5460F">
        <w:rPr>
          <w:rFonts w:cs="Arial"/>
          <w:szCs w:val="18"/>
        </w:rPr>
        <w:t>Vet Board</w:t>
      </w:r>
      <w:r>
        <w:t xml:space="preserve"> has made significant progress towards meeting this expectation but has omitted some central actions. To some extent, the targets in the </w:t>
      </w:r>
      <w:proofErr w:type="spellStart"/>
      <w:r>
        <w:t>SoE</w:t>
      </w:r>
      <w:proofErr w:type="spellEnd"/>
      <w:r>
        <w:t xml:space="preserve"> response for this element also limit </w:t>
      </w:r>
      <w:r w:rsidR="00822280">
        <w:t>t</w:t>
      </w:r>
      <w:r w:rsidR="00822280">
        <w:rPr>
          <w:rFonts w:cs="Arial"/>
          <w:szCs w:val="18"/>
        </w:rPr>
        <w:t xml:space="preserve">he </w:t>
      </w:r>
      <w:r w:rsidR="00E5460F">
        <w:rPr>
          <w:rFonts w:cs="Arial"/>
          <w:szCs w:val="18"/>
        </w:rPr>
        <w:t>Vet Board</w:t>
      </w:r>
      <w:r>
        <w:t xml:space="preserve">’s opportunity to demonstrate performance. For example, a strict assessment of the identified targets as stated in the response would not have captured </w:t>
      </w:r>
      <w:r w:rsidR="00822280">
        <w:t>t</w:t>
      </w:r>
      <w:r w:rsidR="00822280">
        <w:rPr>
          <w:rFonts w:cs="Arial"/>
          <w:szCs w:val="18"/>
        </w:rPr>
        <w:t xml:space="preserve">he </w:t>
      </w:r>
      <w:r w:rsidR="00E5460F">
        <w:rPr>
          <w:rFonts w:cs="Arial"/>
          <w:szCs w:val="18"/>
        </w:rPr>
        <w:t>Vet Board</w:t>
      </w:r>
      <w:r>
        <w:t xml:space="preserve">’s role in providing topical information to practitioners and in helping the veterinary community understand </w:t>
      </w:r>
      <w:r w:rsidR="00822280">
        <w:t>t</w:t>
      </w:r>
      <w:r w:rsidR="00822280">
        <w:rPr>
          <w:rFonts w:cs="Arial"/>
          <w:szCs w:val="18"/>
        </w:rPr>
        <w:t xml:space="preserve">he </w:t>
      </w:r>
      <w:r w:rsidR="00E5460F">
        <w:rPr>
          <w:rFonts w:cs="Arial"/>
          <w:szCs w:val="18"/>
        </w:rPr>
        <w:t>Vet Board</w:t>
      </w:r>
      <w:r>
        <w:t>’s rationale for regulatory decisions</w:t>
      </w:r>
      <w:r w:rsidRPr="00882284">
        <w:t xml:space="preserve">. However, these issues are reflected in the expectation and there is good evidence that </w:t>
      </w:r>
      <w:r w:rsidR="00822280">
        <w:t>t</w:t>
      </w:r>
      <w:r w:rsidR="00822280">
        <w:rPr>
          <w:rFonts w:cs="Arial"/>
          <w:szCs w:val="18"/>
        </w:rPr>
        <w:t xml:space="preserve">he </w:t>
      </w:r>
      <w:r w:rsidR="00E5460F">
        <w:rPr>
          <w:rFonts w:cs="Arial"/>
          <w:szCs w:val="18"/>
        </w:rPr>
        <w:t>Vet Board</w:t>
      </w:r>
      <w:r w:rsidRPr="00882284">
        <w:t xml:space="preserve"> is fulfilling these roles. This could be taken into consideration in the drafting of future </w:t>
      </w:r>
      <w:proofErr w:type="spellStart"/>
      <w:r w:rsidRPr="00882284">
        <w:t>SoEs</w:t>
      </w:r>
      <w:proofErr w:type="spellEnd"/>
      <w:r w:rsidRPr="00882284">
        <w:t xml:space="preserve"> and responses.</w:t>
      </w:r>
      <w:r>
        <w:t xml:space="preserve"> </w:t>
      </w:r>
    </w:p>
    <w:p w14:paraId="2B4DEC66" w14:textId="77777777" w:rsidR="00EB7075" w:rsidRDefault="00EB7075" w:rsidP="00EB7075">
      <w:pPr>
        <w:pStyle w:val="Heading2"/>
      </w:pPr>
      <w:bookmarkStart w:id="33" w:name="_Toc530038815"/>
      <w:bookmarkStart w:id="34" w:name="_Toc530573071"/>
      <w:r>
        <w:t>Evaluation processes</w:t>
      </w:r>
      <w:bookmarkEnd w:id="33"/>
      <w:bookmarkEnd w:id="34"/>
    </w:p>
    <w:tbl>
      <w:tblPr>
        <w:tblStyle w:val="TableGrid"/>
        <w:tblW w:w="0" w:type="auto"/>
        <w:tblLook w:val="04A0" w:firstRow="1" w:lastRow="0" w:firstColumn="1" w:lastColumn="0" w:noHBand="0" w:noVBand="1"/>
      </w:tblPr>
      <w:tblGrid>
        <w:gridCol w:w="9016"/>
      </w:tblGrid>
      <w:tr w:rsidR="00EB7075" w14:paraId="3A2BE7E7" w14:textId="77777777" w:rsidTr="00EB7075">
        <w:tc>
          <w:tcPr>
            <w:tcW w:w="9730" w:type="dxa"/>
            <w:shd w:val="clear" w:color="auto" w:fill="FDE9D9" w:themeFill="accent6" w:themeFillTint="33"/>
          </w:tcPr>
          <w:p w14:paraId="6772CCE9" w14:textId="0C79ED39" w:rsidR="00EB7075" w:rsidRPr="009D69CE" w:rsidRDefault="00EB7075" w:rsidP="00EB7075">
            <w:pPr>
              <w:rPr>
                <w:i/>
              </w:rPr>
            </w:pPr>
            <w:r w:rsidRPr="00911EA1">
              <w:rPr>
                <w:b/>
                <w:i/>
              </w:rPr>
              <w:t>Statement of Expectation:</w:t>
            </w:r>
            <w:r>
              <w:rPr>
                <w:i/>
              </w:rPr>
              <w:t xml:space="preserve"> </w:t>
            </w:r>
            <w:r w:rsidRPr="009D69CE">
              <w:rPr>
                <w:i/>
              </w:rPr>
              <w:t xml:space="preserve">I expect the Board will evaluate the performance improvements contained in this </w:t>
            </w:r>
            <w:proofErr w:type="spellStart"/>
            <w:r w:rsidRPr="009D69CE">
              <w:rPr>
                <w:i/>
              </w:rPr>
              <w:t>S</w:t>
            </w:r>
            <w:r>
              <w:rPr>
                <w:i/>
              </w:rPr>
              <w:t>o</w:t>
            </w:r>
            <w:r w:rsidRPr="009D69CE">
              <w:rPr>
                <w:i/>
              </w:rPr>
              <w:t>E</w:t>
            </w:r>
            <w:proofErr w:type="spellEnd"/>
            <w:r w:rsidRPr="009D69CE">
              <w:rPr>
                <w:i/>
              </w:rPr>
              <w:t xml:space="preserve"> during the period of its validity to ensure progress is made against these expectations.</w:t>
            </w:r>
          </w:p>
        </w:tc>
      </w:tr>
    </w:tbl>
    <w:p w14:paraId="416C59EA" w14:textId="71ACBAD6" w:rsidR="00EB7075" w:rsidRDefault="00677F25" w:rsidP="00EB7075">
      <w:r>
        <w:t xml:space="preserve">The </w:t>
      </w:r>
      <w:r w:rsidR="00E5460F">
        <w:t>Vet Board</w:t>
      </w:r>
      <w:r w:rsidR="00EB7075">
        <w:t xml:space="preserve">’s Annual Report covered its progress against </w:t>
      </w:r>
      <w:proofErr w:type="gramStart"/>
      <w:r w:rsidR="00EB7075">
        <w:t>the majority of</w:t>
      </w:r>
      <w:proofErr w:type="gramEnd"/>
      <w:r w:rsidR="00EB7075">
        <w:t xml:space="preserve"> the targets set out in the </w:t>
      </w:r>
      <w:proofErr w:type="spellStart"/>
      <w:r w:rsidR="00EB7075">
        <w:t>SoE</w:t>
      </w:r>
      <w:proofErr w:type="spellEnd"/>
      <w:r w:rsidR="00EB7075">
        <w:t xml:space="preserve"> and response, but there were some elements that were not addressed. In some cases, this was due to a misalignment of the periods covered by the Annual Report versus the </w:t>
      </w:r>
      <w:proofErr w:type="spellStart"/>
      <w:r w:rsidR="00EB7075">
        <w:t>SoE</w:t>
      </w:r>
      <w:proofErr w:type="spellEnd"/>
      <w:r w:rsidR="00EB7075">
        <w:t xml:space="preserve">, (noting some targets have timelines beyond the publish date of this evaluation report). </w:t>
      </w:r>
      <w:r w:rsidR="00DC2E2D">
        <w:t>In other cases</w:t>
      </w:r>
      <w:r w:rsidR="00EB7075">
        <w:t>, there are targets where progress or comment could have been provided, and a small amount of additional information or explanation would have provided a more comprehensive progress update.</w:t>
      </w:r>
      <w:r w:rsidR="00AC37B8">
        <w:t xml:space="preserve"> </w:t>
      </w:r>
      <w:r w:rsidR="00EB7075">
        <w:t xml:space="preserve">This would include a published summary and response of </w:t>
      </w:r>
      <w:r>
        <w:t xml:space="preserve">the </w:t>
      </w:r>
      <w:r w:rsidR="00E5460F">
        <w:t>Vet Board</w:t>
      </w:r>
      <w:r w:rsidR="00EB7075">
        <w:t xml:space="preserve">’s external audit, and some additional information about </w:t>
      </w:r>
      <w:r>
        <w:t xml:space="preserve">the </w:t>
      </w:r>
      <w:r w:rsidR="00E5460F">
        <w:t xml:space="preserve">Vet </w:t>
      </w:r>
      <w:r>
        <w:t>Board</w:t>
      </w:r>
      <w:r w:rsidR="00EB7075">
        <w:t xml:space="preserve">’s strategies for managing risk from a regulatory perspective. </w:t>
      </w:r>
      <w:r w:rsidR="00DC2E2D">
        <w:t xml:space="preserve">However, </w:t>
      </w:r>
      <w:r>
        <w:t xml:space="preserve">the </w:t>
      </w:r>
      <w:r w:rsidR="00E5460F">
        <w:t>Vet Board</w:t>
      </w:r>
      <w:r w:rsidR="00DC2E2D">
        <w:t xml:space="preserve"> anticipa</w:t>
      </w:r>
      <w:r>
        <w:t>tes adopting a more detailed,</w:t>
      </w:r>
      <w:r w:rsidR="00DC2E2D">
        <w:t xml:space="preserve"> comprehensive approach for its 2018-19 Annual Report. </w:t>
      </w:r>
    </w:p>
    <w:p w14:paraId="74C24D68" w14:textId="77777777" w:rsidR="00EB7075" w:rsidRDefault="00EB7075" w:rsidP="00EB7075">
      <w:pPr>
        <w:pStyle w:val="Heading2"/>
      </w:pPr>
      <w:r>
        <w:t xml:space="preserve">  </w:t>
      </w:r>
      <w:bookmarkStart w:id="35" w:name="_Toc530038816"/>
      <w:bookmarkStart w:id="36" w:name="_Toc530573072"/>
      <w:r>
        <w:t>Reporting processes</w:t>
      </w:r>
      <w:bookmarkEnd w:id="35"/>
      <w:bookmarkEnd w:id="36"/>
      <w:r>
        <w:t xml:space="preserve"> </w:t>
      </w:r>
    </w:p>
    <w:tbl>
      <w:tblPr>
        <w:tblStyle w:val="TableGrid"/>
        <w:tblW w:w="0" w:type="auto"/>
        <w:tblLook w:val="04A0" w:firstRow="1" w:lastRow="0" w:firstColumn="1" w:lastColumn="0" w:noHBand="0" w:noVBand="1"/>
      </w:tblPr>
      <w:tblGrid>
        <w:gridCol w:w="9016"/>
      </w:tblGrid>
      <w:tr w:rsidR="00EB7075" w14:paraId="4E2C0B2B" w14:textId="77777777" w:rsidTr="00677F25">
        <w:tc>
          <w:tcPr>
            <w:tcW w:w="9016" w:type="dxa"/>
            <w:shd w:val="clear" w:color="auto" w:fill="FDE9D9" w:themeFill="accent6" w:themeFillTint="33"/>
          </w:tcPr>
          <w:p w14:paraId="5D208218" w14:textId="77777777" w:rsidR="00EB7075" w:rsidRPr="00FB770A" w:rsidRDefault="00EB7075" w:rsidP="00EB7075">
            <w:pPr>
              <w:rPr>
                <w:i/>
              </w:rPr>
            </w:pPr>
            <w:r w:rsidRPr="00911EA1">
              <w:rPr>
                <w:b/>
                <w:i/>
              </w:rPr>
              <w:t>Statement of Expectation:</w:t>
            </w:r>
            <w:r w:rsidRPr="00FB770A">
              <w:rPr>
                <w:i/>
              </w:rPr>
              <w:t xml:space="preserve"> As part of annual reporting, regulators are expected to report on: </w:t>
            </w:r>
          </w:p>
          <w:p w14:paraId="432BC18A" w14:textId="77777777" w:rsidR="00EB7075" w:rsidRPr="00E638B3" w:rsidRDefault="00EB7075" w:rsidP="00EB7075">
            <w:pPr>
              <w:pStyle w:val="ListParagraph"/>
              <w:numPr>
                <w:ilvl w:val="0"/>
                <w:numId w:val="19"/>
              </w:numPr>
              <w:spacing w:after="120" w:line="220" w:lineRule="exact"/>
              <w:rPr>
                <w:rFonts w:ascii="Arial" w:hAnsi="Arial" w:cs="Arial"/>
                <w:i/>
                <w:sz w:val="18"/>
                <w:szCs w:val="18"/>
              </w:rPr>
            </w:pPr>
            <w:r w:rsidRPr="00E638B3">
              <w:rPr>
                <w:rFonts w:ascii="Arial" w:hAnsi="Arial" w:cs="Arial"/>
                <w:i/>
                <w:sz w:val="18"/>
                <w:szCs w:val="18"/>
              </w:rPr>
              <w:t xml:space="preserve">Current baseline levels of performance targets set in this </w:t>
            </w:r>
            <w:proofErr w:type="spellStart"/>
            <w:r w:rsidRPr="00E638B3">
              <w:rPr>
                <w:rFonts w:ascii="Arial" w:hAnsi="Arial" w:cs="Arial"/>
                <w:i/>
                <w:sz w:val="18"/>
                <w:szCs w:val="18"/>
              </w:rPr>
              <w:t>SoE</w:t>
            </w:r>
            <w:proofErr w:type="spellEnd"/>
            <w:r w:rsidRPr="00E638B3">
              <w:rPr>
                <w:rFonts w:ascii="Arial" w:hAnsi="Arial" w:cs="Arial"/>
                <w:i/>
                <w:sz w:val="18"/>
                <w:szCs w:val="18"/>
              </w:rPr>
              <w:t xml:space="preserve">; and </w:t>
            </w:r>
          </w:p>
          <w:p w14:paraId="00AC976A" w14:textId="77777777" w:rsidR="00EB7075" w:rsidRPr="00E638B3" w:rsidRDefault="00EB7075" w:rsidP="00EB7075">
            <w:pPr>
              <w:pStyle w:val="ListParagraph"/>
              <w:numPr>
                <w:ilvl w:val="0"/>
                <w:numId w:val="19"/>
              </w:numPr>
              <w:spacing w:after="120" w:line="220" w:lineRule="exact"/>
              <w:rPr>
                <w:rFonts w:ascii="Arial" w:hAnsi="Arial" w:cs="Arial"/>
                <w:i/>
                <w:sz w:val="18"/>
                <w:szCs w:val="18"/>
              </w:rPr>
            </w:pPr>
            <w:r w:rsidRPr="00E638B3">
              <w:rPr>
                <w:rFonts w:ascii="Arial" w:hAnsi="Arial" w:cs="Arial"/>
                <w:i/>
                <w:sz w:val="18"/>
                <w:szCs w:val="18"/>
              </w:rPr>
              <w:lastRenderedPageBreak/>
              <w:t xml:space="preserve">Activities to be undertaken to reach the performance targets and improvements set out in this </w:t>
            </w:r>
            <w:proofErr w:type="spellStart"/>
            <w:r w:rsidRPr="00E638B3">
              <w:rPr>
                <w:rFonts w:ascii="Arial" w:hAnsi="Arial" w:cs="Arial"/>
                <w:i/>
                <w:sz w:val="18"/>
                <w:szCs w:val="18"/>
              </w:rPr>
              <w:t>SoE</w:t>
            </w:r>
            <w:proofErr w:type="spellEnd"/>
            <w:r w:rsidRPr="00E638B3">
              <w:rPr>
                <w:rFonts w:ascii="Arial" w:hAnsi="Arial" w:cs="Arial"/>
                <w:i/>
                <w:sz w:val="18"/>
                <w:szCs w:val="18"/>
              </w:rPr>
              <w:t xml:space="preserve">. </w:t>
            </w:r>
          </w:p>
          <w:p w14:paraId="78396D89" w14:textId="0A888EF8" w:rsidR="00EB7075" w:rsidRDefault="00EB7075" w:rsidP="00EB7075">
            <w:r w:rsidRPr="00FB770A">
              <w:rPr>
                <w:i/>
              </w:rPr>
              <w:t xml:space="preserve">I also expect these </w:t>
            </w:r>
            <w:proofErr w:type="spellStart"/>
            <w:r w:rsidRPr="00FB770A">
              <w:rPr>
                <w:i/>
              </w:rPr>
              <w:t>SoE</w:t>
            </w:r>
            <w:proofErr w:type="spellEnd"/>
            <w:r w:rsidRPr="00FB770A">
              <w:rPr>
                <w:i/>
              </w:rPr>
              <w:t xml:space="preserve"> performance targets will be incorporated into the Board’s Corporate Plan and that this </w:t>
            </w:r>
            <w:proofErr w:type="spellStart"/>
            <w:r w:rsidRPr="00FB770A">
              <w:rPr>
                <w:i/>
              </w:rPr>
              <w:t>SoE</w:t>
            </w:r>
            <w:proofErr w:type="spellEnd"/>
            <w:r w:rsidRPr="00FB770A">
              <w:rPr>
                <w:i/>
              </w:rPr>
              <w:t xml:space="preserve"> should be published on the Board</w:t>
            </w:r>
            <w:r w:rsidR="00A043AC">
              <w:rPr>
                <w:i/>
              </w:rPr>
              <w:t>’</w:t>
            </w:r>
            <w:r w:rsidRPr="00FB770A">
              <w:rPr>
                <w:i/>
              </w:rPr>
              <w:t xml:space="preserve">s website upon receipt.  I expect that by 31 December 2017, the </w:t>
            </w:r>
            <w:r w:rsidR="009225E4">
              <w:rPr>
                <w:i/>
              </w:rPr>
              <w:t>B</w:t>
            </w:r>
            <w:r w:rsidRPr="00FB770A">
              <w:rPr>
                <w:i/>
              </w:rPr>
              <w:t xml:space="preserve">oard will respond to this </w:t>
            </w:r>
            <w:proofErr w:type="spellStart"/>
            <w:r w:rsidRPr="00FB770A">
              <w:rPr>
                <w:i/>
              </w:rPr>
              <w:t>SoE</w:t>
            </w:r>
            <w:proofErr w:type="spellEnd"/>
            <w:r w:rsidRPr="00FB770A">
              <w:rPr>
                <w:i/>
              </w:rPr>
              <w:t xml:space="preserve">, outlining how it intends to achieve the performance improvements and targets set out in this </w:t>
            </w:r>
            <w:proofErr w:type="spellStart"/>
            <w:r w:rsidRPr="00FB770A">
              <w:rPr>
                <w:i/>
              </w:rPr>
              <w:t>SoE</w:t>
            </w:r>
            <w:proofErr w:type="spellEnd"/>
            <w:r w:rsidRPr="00FB770A">
              <w:rPr>
                <w:i/>
              </w:rPr>
              <w:t>. This response should include details of the specific activities that will be undertaken by the Board.</w:t>
            </w:r>
            <w:r>
              <w:t xml:space="preserve">  </w:t>
            </w:r>
          </w:p>
        </w:tc>
      </w:tr>
    </w:tbl>
    <w:p w14:paraId="0AB5534E" w14:textId="66CDC289" w:rsidR="00EB7075" w:rsidRPr="00882284" w:rsidRDefault="00677F25" w:rsidP="00EB7075">
      <w:r>
        <w:lastRenderedPageBreak/>
        <w:t xml:space="preserve">The </w:t>
      </w:r>
      <w:r w:rsidR="00E5460F">
        <w:t>Vet Board</w:t>
      </w:r>
      <w:r w:rsidR="00EB7075">
        <w:t xml:space="preserve"> met the requirements to respond to </w:t>
      </w:r>
      <w:proofErr w:type="gramStart"/>
      <w:r w:rsidR="00EB7075">
        <w:t xml:space="preserve">the  </w:t>
      </w:r>
      <w:proofErr w:type="spellStart"/>
      <w:r w:rsidR="00EB7075">
        <w:t>SoE</w:t>
      </w:r>
      <w:proofErr w:type="spellEnd"/>
      <w:proofErr w:type="gramEnd"/>
      <w:r w:rsidR="00EB7075">
        <w:t xml:space="preserve"> by 31 December 2017 and to publish key </w:t>
      </w:r>
      <w:proofErr w:type="spellStart"/>
      <w:r w:rsidR="00EB7075">
        <w:t>SoE</w:t>
      </w:r>
      <w:proofErr w:type="spellEnd"/>
      <w:r w:rsidR="00EB7075">
        <w:t xml:space="preserve"> documents. It is taking action to address the targets, with some elements requiring further action as noted through this evaluation.  As noted above, </w:t>
      </w:r>
      <w:r>
        <w:t xml:space="preserve">the </w:t>
      </w:r>
      <w:r w:rsidR="00E5460F">
        <w:t>Vet Board</w:t>
      </w:r>
      <w:r w:rsidR="00EB7075">
        <w:t xml:space="preserve">’s Annual Report covered its progress against </w:t>
      </w:r>
      <w:proofErr w:type="gramStart"/>
      <w:r w:rsidR="00EB7075">
        <w:t>the majority of</w:t>
      </w:r>
      <w:proofErr w:type="gramEnd"/>
      <w:r w:rsidR="00EB7075">
        <w:t xml:space="preserve"> the targets set out in the </w:t>
      </w:r>
      <w:proofErr w:type="spellStart"/>
      <w:r w:rsidR="00EB7075">
        <w:t>SoE</w:t>
      </w:r>
      <w:proofErr w:type="spellEnd"/>
      <w:r w:rsidR="00EB7075">
        <w:t xml:space="preserve"> and response. In terms of a Corporate Plan or equivalent, while </w:t>
      </w:r>
      <w:r>
        <w:t xml:space="preserve">the </w:t>
      </w:r>
      <w:r w:rsidR="00E5460F">
        <w:t>Vet Board</w:t>
      </w:r>
      <w:r w:rsidR="00EB7075">
        <w:t xml:space="preserve"> has published its revised </w:t>
      </w:r>
      <w:r w:rsidR="00E5460F">
        <w:t>Vet Board</w:t>
      </w:r>
      <w:r w:rsidR="00EB7075">
        <w:t xml:space="preserve"> Strategy, and there are some parallels that can be drawn between the </w:t>
      </w:r>
      <w:proofErr w:type="spellStart"/>
      <w:r w:rsidR="00EB7075">
        <w:t>SoE</w:t>
      </w:r>
      <w:proofErr w:type="spellEnd"/>
      <w:r w:rsidR="00EB7075">
        <w:t xml:space="preserve"> and </w:t>
      </w:r>
      <w:r>
        <w:t>Vet Board</w:t>
      </w:r>
      <w:r w:rsidR="00EB7075">
        <w:t xml:space="preserve">’s strategies, the </w:t>
      </w:r>
      <w:proofErr w:type="spellStart"/>
      <w:r w:rsidR="00EB7075">
        <w:t>SoE</w:t>
      </w:r>
      <w:proofErr w:type="spellEnd"/>
      <w:r w:rsidR="00EB7075">
        <w:t xml:space="preserve"> targets could be more clearly integrated. </w:t>
      </w:r>
      <w:r w:rsidR="00EB7075" w:rsidRPr="00882284">
        <w:t xml:space="preserve">Some additional information would need to be included for the </w:t>
      </w:r>
      <w:r w:rsidR="00E5460F">
        <w:t>Vet Board</w:t>
      </w:r>
      <w:r w:rsidR="00EB7075" w:rsidRPr="00882284">
        <w:t xml:space="preserve"> Strategy to serve as an equivalent to a high-level Corporate Plan. </w:t>
      </w:r>
    </w:p>
    <w:p w14:paraId="69499347" w14:textId="4AE46526" w:rsidR="00EB7075" w:rsidRDefault="00677F25" w:rsidP="00EB7075">
      <w:r>
        <w:t xml:space="preserve">The </w:t>
      </w:r>
      <w:r w:rsidR="00E5460F">
        <w:t>Vet Board</w:t>
      </w:r>
      <w:r w:rsidR="00EB7075" w:rsidRPr="00882284">
        <w:t xml:space="preserve"> could also consider other channels, such as its quarterly newsletter or website homepage, to communicate performance achievements or progress updates,</w:t>
      </w:r>
      <w:r w:rsidR="00EB7075">
        <w:t xml:space="preserve"> especially where these relate to matters directly affecting practitioner registration or handling of professional conduct complaints. For example, when announcing a given action or improvement that benefits practitioners, </w:t>
      </w:r>
      <w:r>
        <w:t xml:space="preserve">the </w:t>
      </w:r>
      <w:r w:rsidR="00E5460F">
        <w:t>Vet Board</w:t>
      </w:r>
      <w:r w:rsidR="00EB7075">
        <w:t xml:space="preserve"> could note the action also fulfils an obligation agreed to under its </w:t>
      </w:r>
      <w:proofErr w:type="spellStart"/>
      <w:r w:rsidR="00EB7075">
        <w:t>SoE</w:t>
      </w:r>
      <w:proofErr w:type="spellEnd"/>
      <w:r w:rsidR="00EB7075">
        <w:t xml:space="preserve">. </w:t>
      </w:r>
      <w:r>
        <w:t xml:space="preserve"> </w:t>
      </w:r>
    </w:p>
    <w:p w14:paraId="46A3F09F" w14:textId="77777777" w:rsidR="00EB7075" w:rsidRPr="00B84BB9" w:rsidRDefault="00EB7075" w:rsidP="00EB7075">
      <w:pPr>
        <w:pStyle w:val="Heading1"/>
      </w:pPr>
      <w:bookmarkStart w:id="37" w:name="_Toc439949484"/>
      <w:bookmarkStart w:id="38" w:name="_Toc530038817"/>
      <w:bookmarkStart w:id="39" w:name="_Toc530573073"/>
      <w:r>
        <w:t>Detailed process evaluation</w:t>
      </w:r>
      <w:bookmarkEnd w:id="37"/>
      <w:bookmarkEnd w:id="38"/>
      <w:bookmarkEnd w:id="39"/>
    </w:p>
    <w:p w14:paraId="1A52D7D5" w14:textId="37095286" w:rsidR="00EB7075" w:rsidRDefault="00EB7075" w:rsidP="00EB7075">
      <w:r>
        <w:t xml:space="preserve">The analysis for the process evaluation is based on </w:t>
      </w:r>
      <w:r w:rsidR="00425462">
        <w:t xml:space="preserve">a comparison </w:t>
      </w:r>
      <w:r>
        <w:t xml:space="preserve">of </w:t>
      </w:r>
      <w:r w:rsidR="00425462">
        <w:t xml:space="preserve">the content, process and effect of </w:t>
      </w:r>
      <w:r w:rsidR="00677F25">
        <w:t xml:space="preserve">the </w:t>
      </w:r>
      <w:r w:rsidR="00E5460F">
        <w:t>Vet Board</w:t>
      </w:r>
      <w:r w:rsidR="00677F25">
        <w:t>’s</w:t>
      </w:r>
      <w:r w:rsidR="00425462">
        <w:t xml:space="preserve"> </w:t>
      </w:r>
      <w:proofErr w:type="spellStart"/>
      <w:r w:rsidR="00425462">
        <w:t>SoE</w:t>
      </w:r>
      <w:proofErr w:type="spellEnd"/>
      <w:r w:rsidR="00425462">
        <w:t xml:space="preserve"> and response against the stated requirements and intention of the </w:t>
      </w:r>
      <w:proofErr w:type="spellStart"/>
      <w:r>
        <w:t>SoE</w:t>
      </w:r>
      <w:proofErr w:type="spellEnd"/>
      <w:r>
        <w:t xml:space="preserve"> framework: </w:t>
      </w:r>
    </w:p>
    <w:p w14:paraId="772ED892" w14:textId="7BAFB1D9" w:rsidR="00EB7075" w:rsidRPr="00677F25" w:rsidRDefault="00EB7075" w:rsidP="00EB7075">
      <w:pPr>
        <w:pStyle w:val="ListParagraph"/>
        <w:numPr>
          <w:ilvl w:val="0"/>
          <w:numId w:val="20"/>
        </w:numPr>
        <w:spacing w:after="120" w:line="220" w:lineRule="exact"/>
        <w:rPr>
          <w:rFonts w:ascii="Arial" w:hAnsi="Arial" w:cs="Arial"/>
          <w:sz w:val="18"/>
          <w:szCs w:val="18"/>
        </w:rPr>
      </w:pPr>
      <w:r w:rsidRPr="00677F25">
        <w:rPr>
          <w:rFonts w:ascii="Arial" w:hAnsi="Arial" w:cs="Arial"/>
          <w:sz w:val="18"/>
          <w:szCs w:val="18"/>
        </w:rPr>
        <w:t xml:space="preserve">Content - whether </w:t>
      </w:r>
      <w:r w:rsidR="00677F25" w:rsidRPr="00677F25">
        <w:rPr>
          <w:rFonts w:ascii="Arial" w:hAnsi="Arial" w:cs="Arial"/>
          <w:sz w:val="18"/>
          <w:szCs w:val="18"/>
        </w:rPr>
        <w:t xml:space="preserve">the </w:t>
      </w:r>
      <w:r w:rsidR="00E5460F">
        <w:rPr>
          <w:rFonts w:ascii="Arial" w:hAnsi="Arial" w:cs="Arial"/>
          <w:sz w:val="18"/>
          <w:szCs w:val="18"/>
        </w:rPr>
        <w:t>Vet Board</w:t>
      </w:r>
      <w:r w:rsidRPr="00677F25">
        <w:rPr>
          <w:rFonts w:ascii="Arial" w:hAnsi="Arial" w:cs="Arial"/>
          <w:sz w:val="18"/>
          <w:szCs w:val="18"/>
        </w:rPr>
        <w:t xml:space="preserve">’s </w:t>
      </w:r>
      <w:proofErr w:type="spellStart"/>
      <w:r w:rsidRPr="00677F25">
        <w:rPr>
          <w:rFonts w:ascii="Arial" w:hAnsi="Arial" w:cs="Arial"/>
          <w:sz w:val="18"/>
          <w:szCs w:val="18"/>
        </w:rPr>
        <w:t>SoE</w:t>
      </w:r>
      <w:proofErr w:type="spellEnd"/>
      <w:r w:rsidRPr="00677F25">
        <w:rPr>
          <w:rFonts w:ascii="Arial" w:hAnsi="Arial" w:cs="Arial"/>
          <w:sz w:val="18"/>
          <w:szCs w:val="18"/>
        </w:rPr>
        <w:t xml:space="preserve"> contains the necessary elements under the </w:t>
      </w:r>
      <w:proofErr w:type="spellStart"/>
      <w:r w:rsidRPr="00677F25">
        <w:rPr>
          <w:rFonts w:ascii="Arial" w:hAnsi="Arial" w:cs="Arial"/>
          <w:sz w:val="18"/>
          <w:szCs w:val="18"/>
        </w:rPr>
        <w:t>SoE</w:t>
      </w:r>
      <w:proofErr w:type="spellEnd"/>
      <w:r w:rsidRPr="00677F25">
        <w:rPr>
          <w:rFonts w:ascii="Arial" w:hAnsi="Arial" w:cs="Arial"/>
          <w:sz w:val="18"/>
          <w:szCs w:val="18"/>
        </w:rPr>
        <w:t xml:space="preserve"> Framework </w:t>
      </w:r>
    </w:p>
    <w:p w14:paraId="5B376335" w14:textId="1E46C380" w:rsidR="00EB7075" w:rsidRPr="00677F25" w:rsidRDefault="00EB7075" w:rsidP="00EB7075">
      <w:pPr>
        <w:pStyle w:val="ListParagraph"/>
        <w:numPr>
          <w:ilvl w:val="0"/>
          <w:numId w:val="20"/>
        </w:numPr>
        <w:spacing w:after="120" w:line="220" w:lineRule="exact"/>
        <w:rPr>
          <w:rFonts w:ascii="Arial" w:hAnsi="Arial" w:cs="Arial"/>
          <w:sz w:val="18"/>
          <w:szCs w:val="18"/>
        </w:rPr>
      </w:pPr>
      <w:r w:rsidRPr="00677F25">
        <w:rPr>
          <w:rFonts w:ascii="Arial" w:hAnsi="Arial" w:cs="Arial"/>
          <w:sz w:val="18"/>
          <w:szCs w:val="18"/>
        </w:rPr>
        <w:t xml:space="preserve">Process - how well the process for developing </w:t>
      </w:r>
      <w:r w:rsidR="00677F25" w:rsidRPr="00677F25">
        <w:rPr>
          <w:rFonts w:ascii="Arial" w:hAnsi="Arial" w:cs="Arial"/>
          <w:sz w:val="18"/>
          <w:szCs w:val="18"/>
        </w:rPr>
        <w:t xml:space="preserve">the </w:t>
      </w:r>
      <w:r w:rsidR="00E5460F">
        <w:rPr>
          <w:rFonts w:ascii="Arial" w:hAnsi="Arial" w:cs="Arial"/>
          <w:sz w:val="18"/>
          <w:szCs w:val="18"/>
        </w:rPr>
        <w:t>Vet Board</w:t>
      </w:r>
      <w:r w:rsidRPr="00677F25">
        <w:rPr>
          <w:rFonts w:ascii="Arial" w:hAnsi="Arial" w:cs="Arial"/>
          <w:sz w:val="18"/>
          <w:szCs w:val="18"/>
        </w:rPr>
        <w:t xml:space="preserve">’s </w:t>
      </w:r>
      <w:proofErr w:type="spellStart"/>
      <w:r w:rsidRPr="00677F25">
        <w:rPr>
          <w:rFonts w:ascii="Arial" w:hAnsi="Arial" w:cs="Arial"/>
          <w:sz w:val="18"/>
          <w:szCs w:val="18"/>
        </w:rPr>
        <w:t>SoE</w:t>
      </w:r>
      <w:proofErr w:type="spellEnd"/>
      <w:r w:rsidRPr="00677F25">
        <w:rPr>
          <w:rFonts w:ascii="Arial" w:hAnsi="Arial" w:cs="Arial"/>
          <w:sz w:val="18"/>
          <w:szCs w:val="18"/>
        </w:rPr>
        <w:t xml:space="preserve"> and response aligned to the process set out in the </w:t>
      </w:r>
      <w:proofErr w:type="spellStart"/>
      <w:r w:rsidRPr="00677F25">
        <w:rPr>
          <w:rFonts w:ascii="Arial" w:hAnsi="Arial" w:cs="Arial"/>
          <w:sz w:val="18"/>
          <w:szCs w:val="18"/>
        </w:rPr>
        <w:t>SoE</w:t>
      </w:r>
      <w:proofErr w:type="spellEnd"/>
      <w:r w:rsidRPr="00677F25">
        <w:rPr>
          <w:rFonts w:ascii="Arial" w:hAnsi="Arial" w:cs="Arial"/>
          <w:sz w:val="18"/>
          <w:szCs w:val="18"/>
        </w:rPr>
        <w:t xml:space="preserve"> Framework </w:t>
      </w:r>
    </w:p>
    <w:p w14:paraId="76E5BFFE" w14:textId="1BC6CE1C" w:rsidR="00EB7075" w:rsidRPr="00677F25" w:rsidRDefault="00425462" w:rsidP="00EB7075">
      <w:pPr>
        <w:pStyle w:val="ListParagraph"/>
        <w:numPr>
          <w:ilvl w:val="0"/>
          <w:numId w:val="20"/>
        </w:numPr>
        <w:spacing w:after="120" w:line="220" w:lineRule="exact"/>
        <w:rPr>
          <w:rFonts w:ascii="Arial" w:hAnsi="Arial" w:cs="Arial"/>
          <w:sz w:val="18"/>
          <w:szCs w:val="18"/>
        </w:rPr>
      </w:pPr>
      <w:r w:rsidRPr="00677F25">
        <w:rPr>
          <w:rFonts w:ascii="Arial" w:hAnsi="Arial" w:cs="Arial"/>
          <w:sz w:val="18"/>
          <w:szCs w:val="18"/>
        </w:rPr>
        <w:t xml:space="preserve">Effect - </w:t>
      </w:r>
      <w:r w:rsidR="00EB7075" w:rsidRPr="00677F25">
        <w:rPr>
          <w:rFonts w:ascii="Arial" w:hAnsi="Arial" w:cs="Arial"/>
          <w:sz w:val="18"/>
          <w:szCs w:val="18"/>
        </w:rPr>
        <w:t xml:space="preserve">whether </w:t>
      </w:r>
      <w:r w:rsidR="00677F25" w:rsidRPr="00677F25">
        <w:rPr>
          <w:rFonts w:ascii="Arial" w:hAnsi="Arial" w:cs="Arial"/>
          <w:sz w:val="18"/>
          <w:szCs w:val="18"/>
        </w:rPr>
        <w:t xml:space="preserve">the </w:t>
      </w:r>
      <w:r w:rsidR="00E5460F">
        <w:rPr>
          <w:rFonts w:ascii="Arial" w:hAnsi="Arial" w:cs="Arial"/>
          <w:sz w:val="18"/>
          <w:szCs w:val="18"/>
        </w:rPr>
        <w:t>Vet Board</w:t>
      </w:r>
      <w:r w:rsidR="00EB7075" w:rsidRPr="00677F25">
        <w:rPr>
          <w:rFonts w:ascii="Arial" w:hAnsi="Arial" w:cs="Arial"/>
          <w:sz w:val="18"/>
          <w:szCs w:val="18"/>
        </w:rPr>
        <w:t xml:space="preserve">’s </w:t>
      </w:r>
      <w:proofErr w:type="spellStart"/>
      <w:r w:rsidR="00EB7075" w:rsidRPr="00677F25">
        <w:rPr>
          <w:rFonts w:ascii="Arial" w:hAnsi="Arial" w:cs="Arial"/>
          <w:sz w:val="18"/>
          <w:szCs w:val="18"/>
        </w:rPr>
        <w:t>SoE</w:t>
      </w:r>
      <w:proofErr w:type="spellEnd"/>
      <w:r w:rsidR="00EB7075" w:rsidRPr="00677F25">
        <w:rPr>
          <w:rFonts w:ascii="Arial" w:hAnsi="Arial" w:cs="Arial"/>
          <w:sz w:val="18"/>
          <w:szCs w:val="18"/>
        </w:rPr>
        <w:t xml:space="preserve"> and response support improved regulatory outcomes and facilitate reduction of regulatory costs on veterinary practitioners and the community</w:t>
      </w:r>
      <w:r w:rsidR="00AD77E5">
        <w:rPr>
          <w:rFonts w:ascii="Arial" w:hAnsi="Arial" w:cs="Arial"/>
          <w:sz w:val="18"/>
          <w:szCs w:val="18"/>
        </w:rPr>
        <w:t>.</w:t>
      </w:r>
      <w:r w:rsidR="00C050B5" w:rsidRPr="00677F25">
        <w:rPr>
          <w:rFonts w:ascii="Arial" w:hAnsi="Arial" w:cs="Arial"/>
          <w:sz w:val="18"/>
          <w:szCs w:val="18"/>
        </w:rPr>
        <w:t xml:space="preserve"> </w:t>
      </w:r>
    </w:p>
    <w:p w14:paraId="67036802" w14:textId="77777777" w:rsidR="00EB7075" w:rsidRDefault="00EB7075" w:rsidP="00EB7075">
      <w:pPr>
        <w:pStyle w:val="Heading2"/>
      </w:pPr>
      <w:bookmarkStart w:id="40" w:name="_Toc530038818"/>
      <w:bookmarkStart w:id="41" w:name="_Toc530573074"/>
      <w:r>
        <w:t>Content</w:t>
      </w:r>
      <w:bookmarkEnd w:id="40"/>
      <w:bookmarkEnd w:id="41"/>
    </w:p>
    <w:p w14:paraId="08BA14EF" w14:textId="39830055" w:rsidR="00EB7075" w:rsidRDefault="00677F25" w:rsidP="00EB7075">
      <w:r>
        <w:t xml:space="preserve">The </w:t>
      </w:r>
      <w:r w:rsidR="00E5460F">
        <w:t>Vet Board</w:t>
      </w:r>
      <w:r w:rsidR="00EB7075" w:rsidRPr="00996561">
        <w:t xml:space="preserve">’s </w:t>
      </w:r>
      <w:proofErr w:type="spellStart"/>
      <w:r w:rsidR="00EB7075" w:rsidRPr="00996561">
        <w:t>SoE</w:t>
      </w:r>
      <w:proofErr w:type="spellEnd"/>
      <w:r w:rsidR="00EB7075">
        <w:t xml:space="preserve"> </w:t>
      </w:r>
      <w:r w:rsidR="00EB7075" w:rsidRPr="00996561">
        <w:t xml:space="preserve">and response </w:t>
      </w:r>
      <w:r w:rsidR="00EB7075">
        <w:t xml:space="preserve">for </w:t>
      </w:r>
      <w:r w:rsidR="00EB7075" w:rsidRPr="00996561">
        <w:t>Jan</w:t>
      </w:r>
      <w:r w:rsidR="00944DEB">
        <w:t>uary</w:t>
      </w:r>
      <w:r w:rsidR="00EB7075" w:rsidRPr="00996561">
        <w:t xml:space="preserve"> 2018 - June 2019 covers the necessary minimum elements under the </w:t>
      </w:r>
      <w:proofErr w:type="spellStart"/>
      <w:r w:rsidR="00EB7075" w:rsidRPr="00996561">
        <w:t>SoE</w:t>
      </w:r>
      <w:proofErr w:type="spellEnd"/>
      <w:r w:rsidR="00EB7075" w:rsidRPr="00996561">
        <w:t xml:space="preserve"> framework.</w:t>
      </w:r>
      <w:r w:rsidR="00EB7075">
        <w:t xml:space="preserve"> T</w:t>
      </w:r>
      <w:r w:rsidR="00EB7075" w:rsidRPr="00996561">
        <w:t>argets and actions</w:t>
      </w:r>
      <w:r w:rsidR="00EB7075">
        <w:t xml:space="preserve"> are covered</w:t>
      </w:r>
      <w:r w:rsidR="00EB7075" w:rsidRPr="00996561">
        <w:t xml:space="preserve"> under the mandatory elements of Timeliness, Risk-based strategies and Compliance related advice and assistance. It covers further targets and actions under the element of Accountability and transparency</w:t>
      </w:r>
      <w:r w:rsidR="00EB7075">
        <w:t>, and additional expectations under Evaluation and Reporting</w:t>
      </w:r>
      <w:r w:rsidR="00EB7075" w:rsidRPr="00996561">
        <w:t>.</w:t>
      </w:r>
      <w:r w:rsidR="00EB7075">
        <w:t xml:space="preserve"> Within each expectation, the statement and response are detailed and extensive, and somewhat comparable to statements of expectation issued to larger regulatory entities with wider remits and greater resources in proportion to </w:t>
      </w:r>
      <w:r w:rsidR="00A21F61">
        <w:t xml:space="preserve">the </w:t>
      </w:r>
      <w:r w:rsidR="00E5460F">
        <w:t>Vet Board</w:t>
      </w:r>
      <w:r w:rsidR="00EB7075">
        <w:t xml:space="preserve">.  For smaller entities like </w:t>
      </w:r>
      <w:r w:rsidR="00A21F61">
        <w:t>Vet Board</w:t>
      </w:r>
      <w:r w:rsidR="00EB7075">
        <w:t xml:space="preserve">, an </w:t>
      </w:r>
      <w:proofErr w:type="spellStart"/>
      <w:r w:rsidR="00EB7075">
        <w:t>SoE</w:t>
      </w:r>
      <w:proofErr w:type="spellEnd"/>
      <w:r w:rsidR="00EB7075">
        <w:t xml:space="preserve"> and response focusing on a lower number of high-value targets may deliver greater overall benefit to both the regulator and regulated community. </w:t>
      </w:r>
      <w:r>
        <w:t xml:space="preserve">    </w:t>
      </w:r>
    </w:p>
    <w:p w14:paraId="65C1C021" w14:textId="77777777" w:rsidR="00EB7075" w:rsidRDefault="00EB7075" w:rsidP="00EB7075">
      <w:pPr>
        <w:pStyle w:val="Heading2"/>
      </w:pPr>
      <w:bookmarkStart w:id="42" w:name="_Toc530038819"/>
      <w:bookmarkStart w:id="43" w:name="_Toc530573075"/>
      <w:r>
        <w:t>Process</w:t>
      </w:r>
      <w:bookmarkEnd w:id="42"/>
      <w:bookmarkEnd w:id="43"/>
    </w:p>
    <w:p w14:paraId="54F4B1BD" w14:textId="1AF92C2F" w:rsidR="00EB7075" w:rsidRDefault="00EB7075" w:rsidP="00EB7075">
      <w:r>
        <w:t>A</w:t>
      </w:r>
      <w:r w:rsidRPr="00996561">
        <w:t xml:space="preserve">dministrative requirements </w:t>
      </w:r>
      <w:r>
        <w:t xml:space="preserve">under the </w:t>
      </w:r>
      <w:proofErr w:type="spellStart"/>
      <w:r>
        <w:t>SoE</w:t>
      </w:r>
      <w:proofErr w:type="spellEnd"/>
      <w:r>
        <w:t xml:space="preserve"> framework </w:t>
      </w:r>
      <w:r w:rsidRPr="00996561">
        <w:t>were met</w:t>
      </w:r>
      <w:r>
        <w:t xml:space="preserve"> and t</w:t>
      </w:r>
      <w:r w:rsidRPr="00996561">
        <w:t xml:space="preserve">here are processes in place for </w:t>
      </w:r>
      <w:r w:rsidR="00944DEB">
        <w:t xml:space="preserve">the </w:t>
      </w:r>
      <w:r w:rsidR="00A21F61">
        <w:t>Vet Board</w:t>
      </w:r>
      <w:r w:rsidRPr="00996561">
        <w:t xml:space="preserve"> that satisfy the </w:t>
      </w:r>
      <w:r>
        <w:t xml:space="preserve">intent of the </w:t>
      </w:r>
      <w:proofErr w:type="spellStart"/>
      <w:r>
        <w:t>SoE</w:t>
      </w:r>
      <w:proofErr w:type="spellEnd"/>
      <w:r>
        <w:t xml:space="preserve"> framework</w:t>
      </w:r>
      <w:r w:rsidRPr="00996561">
        <w:t>.</w:t>
      </w:r>
      <w:r>
        <w:t xml:space="preserve"> For example, </w:t>
      </w:r>
      <w:r w:rsidR="000D11A1">
        <w:t xml:space="preserve">the department undertakes an annual governance health check for </w:t>
      </w:r>
      <w:r w:rsidR="00176211">
        <w:t>all its</w:t>
      </w:r>
      <w:r w:rsidR="000D11A1">
        <w:t xml:space="preserve"> regulators and statutory bodies. </w:t>
      </w:r>
      <w:r w:rsidR="00A21F61">
        <w:t xml:space="preserve">The </w:t>
      </w:r>
      <w:r w:rsidR="00E5460F">
        <w:t>Vet Board</w:t>
      </w:r>
      <w:r>
        <w:t xml:space="preserve"> </w:t>
      </w:r>
      <w:r w:rsidR="000D11A1">
        <w:t>is covered by th</w:t>
      </w:r>
      <w:r w:rsidR="00AC37B8">
        <w:t>is</w:t>
      </w:r>
      <w:r>
        <w:t xml:space="preserve"> annual governance health check</w:t>
      </w:r>
      <w:r w:rsidR="000D11A1">
        <w:t xml:space="preserve"> and </w:t>
      </w:r>
      <w:proofErr w:type="gramStart"/>
      <w:r w:rsidR="000D11A1">
        <w:t>is able to</w:t>
      </w:r>
      <w:proofErr w:type="gramEnd"/>
      <w:r w:rsidR="000D11A1">
        <w:t xml:space="preserve"> provide comment on the department’s findings.</w:t>
      </w:r>
      <w:r>
        <w:t xml:space="preserve"> </w:t>
      </w:r>
      <w:r w:rsidR="000D11A1">
        <w:t xml:space="preserve">This process </w:t>
      </w:r>
      <w:r>
        <w:t xml:space="preserve">requires </w:t>
      </w:r>
      <w:r w:rsidR="00A21F61">
        <w:t xml:space="preserve">the </w:t>
      </w:r>
      <w:r w:rsidR="00E5460F">
        <w:t>Vet Board</w:t>
      </w:r>
      <w:r>
        <w:t xml:space="preserve"> to come to </w:t>
      </w:r>
      <w:r w:rsidRPr="000C55ED">
        <w:t>a view about its own performance and consider how it will respond to any identified improvements</w:t>
      </w:r>
      <w:r>
        <w:t>, broadly serving the intent of a self-assessment and good regulatory practice plan.</w:t>
      </w:r>
      <w:r w:rsidRPr="00996561">
        <w:t xml:space="preserve"> However, </w:t>
      </w:r>
      <w:r w:rsidR="00F2375C">
        <w:t xml:space="preserve">while </w:t>
      </w:r>
      <w:r>
        <w:t>this process</w:t>
      </w:r>
      <w:r w:rsidR="00F2375C">
        <w:t xml:space="preserve"> can inform </w:t>
      </w:r>
      <w:r w:rsidR="00747CA6">
        <w:t xml:space="preserve">development of </w:t>
      </w:r>
      <w:r w:rsidR="00F2375C">
        <w:t xml:space="preserve">the </w:t>
      </w:r>
      <w:proofErr w:type="spellStart"/>
      <w:r w:rsidR="00F2375C">
        <w:t>SoE</w:t>
      </w:r>
      <w:proofErr w:type="spellEnd"/>
      <w:r w:rsidR="00747CA6">
        <w:t xml:space="preserve"> and response</w:t>
      </w:r>
      <w:r w:rsidR="00176211">
        <w:t xml:space="preserve">, </w:t>
      </w:r>
      <w:r w:rsidR="00F2375C">
        <w:t>it can</w:t>
      </w:r>
      <w:r w:rsidR="00944DEB">
        <w:t>not</w:t>
      </w:r>
      <w:r w:rsidR="00F2375C">
        <w:t xml:space="preserve"> fully meet</w:t>
      </w:r>
      <w:r>
        <w:t xml:space="preserve"> </w:t>
      </w:r>
      <w:r w:rsidR="00F2375C">
        <w:t>the</w:t>
      </w:r>
      <w:r>
        <w:t xml:space="preserve"> consultation </w:t>
      </w:r>
      <w:r w:rsidR="00F2375C">
        <w:t xml:space="preserve">requirements under the </w:t>
      </w:r>
      <w:proofErr w:type="spellStart"/>
      <w:r w:rsidR="00F2375C">
        <w:t>SoE</w:t>
      </w:r>
      <w:proofErr w:type="spellEnd"/>
      <w:r w:rsidR="00F2375C">
        <w:t xml:space="preserve"> framework</w:t>
      </w:r>
      <w:r>
        <w:t xml:space="preserve">.  </w:t>
      </w:r>
      <w:r w:rsidR="00176211">
        <w:t>To meet these requirements, t</w:t>
      </w:r>
      <w:r w:rsidR="00F2375C">
        <w:t xml:space="preserve">he department </w:t>
      </w:r>
      <w:r w:rsidR="00747CA6">
        <w:t>undertook a consultation</w:t>
      </w:r>
      <w:r w:rsidR="00F2375C">
        <w:t xml:space="preserve"> with </w:t>
      </w:r>
      <w:r w:rsidR="00A21F61">
        <w:t xml:space="preserve">the </w:t>
      </w:r>
      <w:r w:rsidR="00E5460F">
        <w:t>Vet Board</w:t>
      </w:r>
      <w:r w:rsidR="00F2375C">
        <w:t xml:space="preserve"> </w:t>
      </w:r>
      <w:r w:rsidR="00A21F61">
        <w:t xml:space="preserve">specifically </w:t>
      </w:r>
      <w:r w:rsidR="00F2375C">
        <w:t xml:space="preserve">on the development of the </w:t>
      </w:r>
      <w:proofErr w:type="spellStart"/>
      <w:r w:rsidR="00F2375C">
        <w:t>SoE</w:t>
      </w:r>
      <w:proofErr w:type="spellEnd"/>
      <w:r w:rsidR="00F2375C">
        <w:t xml:space="preserve"> and response</w:t>
      </w:r>
      <w:r w:rsidR="00176211">
        <w:t>.</w:t>
      </w:r>
      <w:r w:rsidR="00747CA6">
        <w:t xml:space="preserve"> </w:t>
      </w:r>
      <w:r w:rsidR="002239D6">
        <w:t>For</w:t>
      </w:r>
      <w:r w:rsidR="00747CA6">
        <w:t xml:space="preserve"> </w:t>
      </w:r>
      <w:r w:rsidR="00176211">
        <w:t xml:space="preserve">future </w:t>
      </w:r>
      <w:proofErr w:type="spellStart"/>
      <w:r w:rsidR="00176211">
        <w:t>SoEs</w:t>
      </w:r>
      <w:proofErr w:type="spellEnd"/>
      <w:r w:rsidR="00176211">
        <w:t>,</w:t>
      </w:r>
      <w:r w:rsidR="00944DEB">
        <w:t xml:space="preserve"> the</w:t>
      </w:r>
      <w:r w:rsidR="00176211">
        <w:t xml:space="preserve"> </w:t>
      </w:r>
      <w:r w:rsidR="00A21F61">
        <w:t>Vet Board</w:t>
      </w:r>
      <w:r w:rsidR="00F2375C">
        <w:t xml:space="preserve"> would prefer a </w:t>
      </w:r>
      <w:r w:rsidRPr="00996561">
        <w:t xml:space="preserve">more </w:t>
      </w:r>
      <w:r w:rsidR="00F2375C">
        <w:t>iterative</w:t>
      </w:r>
      <w:r w:rsidR="00F2375C" w:rsidRPr="00996561">
        <w:t xml:space="preserve"> </w:t>
      </w:r>
      <w:r w:rsidRPr="00996561">
        <w:t>process</w:t>
      </w:r>
      <w:r w:rsidR="00F2375C">
        <w:t xml:space="preserve"> with additional consultation </w:t>
      </w:r>
      <w:proofErr w:type="gramStart"/>
      <w:r w:rsidR="00F2375C">
        <w:t>opportunities, and</w:t>
      </w:r>
      <w:proofErr w:type="gramEnd"/>
      <w:r w:rsidR="00F2375C">
        <w:t xml:space="preserve"> consider</w:t>
      </w:r>
      <w:r w:rsidR="00A21F61">
        <w:t>s</w:t>
      </w:r>
      <w:r w:rsidR="00F2375C">
        <w:t xml:space="preserve"> this</w:t>
      </w:r>
      <w:r w:rsidRPr="00996561">
        <w:t xml:space="preserve"> would foster greater alignment with </w:t>
      </w:r>
      <w:r w:rsidR="00A21F61">
        <w:t xml:space="preserve">the </w:t>
      </w:r>
      <w:r w:rsidR="00E5460F">
        <w:t>Vet Board</w:t>
      </w:r>
      <w:r w:rsidRPr="00996561">
        <w:t xml:space="preserve">’s regulatory purpose and a greater sense of ownership of the </w:t>
      </w:r>
      <w:r>
        <w:t>targets and actions</w:t>
      </w:r>
      <w:r w:rsidRPr="00996561">
        <w:t>.</w:t>
      </w:r>
      <w:r>
        <w:t xml:space="preserve"> In view of this, t</w:t>
      </w:r>
      <w:r w:rsidRPr="00996561">
        <w:t xml:space="preserve">he development of </w:t>
      </w:r>
      <w:r w:rsidR="00944DEB">
        <w:t xml:space="preserve">the </w:t>
      </w:r>
      <w:r w:rsidR="00B2602F">
        <w:t>Vet Board’s</w:t>
      </w:r>
      <w:r w:rsidRPr="00996561">
        <w:t xml:space="preserve"> </w:t>
      </w:r>
      <w:proofErr w:type="spellStart"/>
      <w:r w:rsidRPr="00996561">
        <w:t>SoE</w:t>
      </w:r>
      <w:proofErr w:type="spellEnd"/>
      <w:r w:rsidRPr="00996561">
        <w:t xml:space="preserve"> and response could benefit from a </w:t>
      </w:r>
      <w:r w:rsidR="00AC37B8">
        <w:t>more extended</w:t>
      </w:r>
      <w:r w:rsidRPr="00996561">
        <w:t xml:space="preserve"> engagement and consultation</w:t>
      </w:r>
      <w:r w:rsidR="00AC37B8">
        <w:t xml:space="preserve"> process</w:t>
      </w:r>
      <w:r w:rsidRPr="00996561">
        <w:t xml:space="preserve"> </w:t>
      </w:r>
      <w:r>
        <w:t>between</w:t>
      </w:r>
      <w:r w:rsidRPr="00996561">
        <w:t xml:space="preserve"> </w:t>
      </w:r>
      <w:r w:rsidR="00A21F61">
        <w:t xml:space="preserve">the </w:t>
      </w:r>
      <w:r w:rsidR="00E5460F">
        <w:t>Vet Board</w:t>
      </w:r>
      <w:r w:rsidRPr="00996561">
        <w:t xml:space="preserve"> </w:t>
      </w:r>
      <w:r>
        <w:t>and</w:t>
      </w:r>
      <w:r w:rsidRPr="00996561">
        <w:t xml:space="preserve"> the department.</w:t>
      </w:r>
      <w:r>
        <w:t xml:space="preserve"> This consideration should inform future </w:t>
      </w:r>
      <w:r w:rsidR="00A21F61">
        <w:t xml:space="preserve">Vet Board </w:t>
      </w:r>
      <w:proofErr w:type="spellStart"/>
      <w:r w:rsidR="00A21F61">
        <w:t>SoE</w:t>
      </w:r>
      <w:proofErr w:type="spellEnd"/>
      <w:r w:rsidR="00A21F61">
        <w:t xml:space="preserve"> processes.</w:t>
      </w:r>
    </w:p>
    <w:p w14:paraId="4A539440" w14:textId="77777777" w:rsidR="00EB7075" w:rsidRDefault="00C369D2" w:rsidP="00EB7075">
      <w:pPr>
        <w:pStyle w:val="Heading2"/>
      </w:pPr>
      <w:bookmarkStart w:id="44" w:name="_Toc530038820"/>
      <w:bookmarkStart w:id="45" w:name="_Toc530573076"/>
      <w:r>
        <w:lastRenderedPageBreak/>
        <w:t>Effect (s</w:t>
      </w:r>
      <w:r w:rsidR="00EB7075">
        <w:t>upporting outcomes</w:t>
      </w:r>
      <w:bookmarkEnd w:id="44"/>
      <w:r>
        <w:t>)</w:t>
      </w:r>
      <w:bookmarkEnd w:id="45"/>
    </w:p>
    <w:p w14:paraId="036B2702" w14:textId="58595C9C" w:rsidR="00EB7075" w:rsidRDefault="00A21F61" w:rsidP="00EB7075">
      <w:r>
        <w:t xml:space="preserve">The </w:t>
      </w:r>
      <w:r w:rsidR="00E5460F">
        <w:t>Vet Board</w:t>
      </w:r>
      <w:r w:rsidR="00EB7075">
        <w:t xml:space="preserve">’s </w:t>
      </w:r>
      <w:proofErr w:type="spellStart"/>
      <w:r w:rsidR="00EB7075">
        <w:t>SoE</w:t>
      </w:r>
      <w:proofErr w:type="spellEnd"/>
      <w:r w:rsidR="00EB7075">
        <w:t xml:space="preserve"> and response are well aligned to the </w:t>
      </w:r>
      <w:proofErr w:type="spellStart"/>
      <w:r w:rsidR="00EB7075">
        <w:t>SoE</w:t>
      </w:r>
      <w:proofErr w:type="spellEnd"/>
      <w:r w:rsidR="00EB7075">
        <w:t xml:space="preserve"> Framework’s central goal of reducing regulatory burden through better design and stewardship of regulation together with better administration of regulatory processes. </w:t>
      </w:r>
      <w:r>
        <w:t xml:space="preserve">The </w:t>
      </w:r>
      <w:r w:rsidR="00E5460F">
        <w:t>Vet Board</w:t>
      </w:r>
      <w:r w:rsidR="00EB7075" w:rsidRPr="00996561">
        <w:t xml:space="preserve"> has found the targets in the </w:t>
      </w:r>
      <w:proofErr w:type="spellStart"/>
      <w:r w:rsidR="00EB7075" w:rsidRPr="00996561">
        <w:t>SoE</w:t>
      </w:r>
      <w:proofErr w:type="spellEnd"/>
      <w:r w:rsidR="00EB7075" w:rsidRPr="00996561">
        <w:t xml:space="preserve"> and response useful for identifying key focus areas for action, and generally has found the revised </w:t>
      </w:r>
      <w:proofErr w:type="spellStart"/>
      <w:r w:rsidR="00EB7075" w:rsidRPr="00996561">
        <w:t>SoE</w:t>
      </w:r>
      <w:proofErr w:type="spellEnd"/>
      <w:r w:rsidR="00EB7075" w:rsidRPr="00996561">
        <w:t xml:space="preserve"> framework </w:t>
      </w:r>
      <w:r w:rsidR="00EB7075">
        <w:t xml:space="preserve">to be a </w:t>
      </w:r>
      <w:r w:rsidR="00EB7075" w:rsidRPr="00996561">
        <w:t xml:space="preserve">more workable and tangible structure than previous </w:t>
      </w:r>
      <w:proofErr w:type="spellStart"/>
      <w:r w:rsidR="00EB7075">
        <w:t>SoE</w:t>
      </w:r>
      <w:proofErr w:type="spellEnd"/>
      <w:r w:rsidR="00EB7075">
        <w:t xml:space="preserve"> </w:t>
      </w:r>
      <w:r w:rsidR="00EB7075" w:rsidRPr="00996561">
        <w:t>approaches.</w:t>
      </w:r>
      <w:r w:rsidR="00EB7075">
        <w:t xml:space="preserve"> </w:t>
      </w:r>
    </w:p>
    <w:p w14:paraId="40C41D57" w14:textId="7742A409" w:rsidR="00EB7075" w:rsidRDefault="00EB7075" w:rsidP="00EB7075">
      <w:r>
        <w:t xml:space="preserve">An additional consideration could be to frame these over-arching objectives of red-tape reduction with reference to the unique public value regulators create through their regulatory purpose. </w:t>
      </w:r>
      <w:r w:rsidR="00A21F61">
        <w:t xml:space="preserve">The </w:t>
      </w:r>
      <w:r w:rsidR="00E5460F">
        <w:t>Vet Board</w:t>
      </w:r>
      <w:r>
        <w:t xml:space="preserve">’s unique public value is protection of the public by ensuring veterinary practitioners are registered and properly qualified, and by conducting investigations into the professional conduct and fitness to practise of veterinary practitioners. By extension, the objective of improved regulatory design and administration, in </w:t>
      </w:r>
      <w:r w:rsidR="00A21F61">
        <w:t>Vet Board</w:t>
      </w:r>
      <w:r>
        <w:t xml:space="preserve">’s case, is to achieve this goal of public protection. Clearly aligning reduction of regulatory burden to achievement of unique public value in this way may better ensure that focus on regulatory purpose is maintained and corresponding public value is created. The </w:t>
      </w:r>
      <w:proofErr w:type="spellStart"/>
      <w:r>
        <w:t>SoE</w:t>
      </w:r>
      <w:proofErr w:type="spellEnd"/>
      <w:r>
        <w:t xml:space="preserve"> framework could more explicitly articulate this aspect of better regulatory design and administration. </w:t>
      </w:r>
    </w:p>
    <w:p w14:paraId="3EA6737D" w14:textId="41C15A6A" w:rsidR="00EB7075" w:rsidRDefault="00EB7075" w:rsidP="00EB7075">
      <w:r>
        <w:t xml:space="preserve">Given </w:t>
      </w:r>
      <w:r w:rsidR="00A21F61">
        <w:t xml:space="preserve">the </w:t>
      </w:r>
      <w:r w:rsidR="00E5460F">
        <w:t>Vet Board</w:t>
      </w:r>
      <w:r>
        <w:t xml:space="preserve">’s limited resources and relatively small remit, the comprehensive and detailed nature of the </w:t>
      </w:r>
      <w:proofErr w:type="spellStart"/>
      <w:r>
        <w:t>SoE</w:t>
      </w:r>
      <w:proofErr w:type="spellEnd"/>
      <w:r>
        <w:t xml:space="preserve"> and response risks being unintentionally onerous.  While </w:t>
      </w:r>
      <w:r w:rsidR="00A21F61">
        <w:t xml:space="preserve">the </w:t>
      </w:r>
      <w:r w:rsidR="00E5460F">
        <w:t>Vet Board</w:t>
      </w:r>
      <w:r>
        <w:t xml:space="preserve">’s </w:t>
      </w:r>
      <w:proofErr w:type="spellStart"/>
      <w:r>
        <w:t>SoE</w:t>
      </w:r>
      <w:proofErr w:type="spellEnd"/>
      <w:r>
        <w:t xml:space="preserve"> and response provide a thorough execution of the framework, an alternative approach could be to focus on a lower number of high-value actions under each element of expectation. This would direct attention towards those actions yielding the highest return on stakeholder benefit for the effort expended, while maintaining proportionality. This should continue to be a factor in developing future </w:t>
      </w:r>
      <w:proofErr w:type="spellStart"/>
      <w:r>
        <w:t>SoEs</w:t>
      </w:r>
      <w:proofErr w:type="spellEnd"/>
      <w:r>
        <w:t xml:space="preserve">. The </w:t>
      </w:r>
      <w:proofErr w:type="spellStart"/>
      <w:r>
        <w:t>SoE</w:t>
      </w:r>
      <w:proofErr w:type="spellEnd"/>
      <w:r>
        <w:t xml:space="preserve"> framework makes only a limited reference to proportionality in developing </w:t>
      </w:r>
      <w:proofErr w:type="spellStart"/>
      <w:r>
        <w:t>SoE</w:t>
      </w:r>
      <w:proofErr w:type="spellEnd"/>
      <w:r>
        <w:t xml:space="preserve"> letters and responses. It may be of value to give greater prominence to this consideration in the guidance material, to provide departments with greater flexibility in developing </w:t>
      </w:r>
      <w:proofErr w:type="spellStart"/>
      <w:r>
        <w:t>SoEs</w:t>
      </w:r>
      <w:proofErr w:type="spellEnd"/>
      <w:r>
        <w:t>, and to ensure smaller entities are not unduly burdened.</w:t>
      </w:r>
      <w:r w:rsidR="00A21F61">
        <w:t xml:space="preserve"> </w:t>
      </w:r>
    </w:p>
    <w:p w14:paraId="12A956EF" w14:textId="77777777" w:rsidR="00EB7075" w:rsidRDefault="00EB7075" w:rsidP="00EB7075"/>
    <w:p w14:paraId="0578BE1C" w14:textId="77777777" w:rsidR="004371F6" w:rsidRDefault="004371F6" w:rsidP="00DF548E">
      <w:pPr>
        <w:spacing w:after="0"/>
      </w:pPr>
    </w:p>
    <w:p w14:paraId="0421DCE4" w14:textId="77777777" w:rsidR="00DF548E" w:rsidRDefault="00DF548E" w:rsidP="00DF548E">
      <w:pPr>
        <w:spacing w:after="0"/>
      </w:pPr>
    </w:p>
    <w:p w14:paraId="2223CA75" w14:textId="77777777" w:rsidR="00DF548E" w:rsidRDefault="00DF548E" w:rsidP="00DF548E">
      <w:pPr>
        <w:spacing w:after="0"/>
      </w:pPr>
    </w:p>
    <w:p w14:paraId="521AA3C0" w14:textId="77777777" w:rsidR="00DF548E" w:rsidRDefault="00DF548E" w:rsidP="00DF548E">
      <w:pPr>
        <w:spacing w:after="0"/>
      </w:pPr>
    </w:p>
    <w:p w14:paraId="6308CDE5" w14:textId="77777777" w:rsidR="00DF548E" w:rsidRDefault="00DF548E" w:rsidP="00DF548E">
      <w:pPr>
        <w:spacing w:after="0"/>
      </w:pPr>
    </w:p>
    <w:p w14:paraId="63CFBF87" w14:textId="77777777" w:rsidR="00DF548E" w:rsidRDefault="00DF548E" w:rsidP="00DF548E">
      <w:pPr>
        <w:spacing w:after="0"/>
      </w:pPr>
    </w:p>
    <w:p w14:paraId="33F3891E" w14:textId="77777777" w:rsidR="00DF548E" w:rsidRDefault="00DF548E" w:rsidP="00DF548E">
      <w:pPr>
        <w:spacing w:after="0"/>
      </w:pPr>
    </w:p>
    <w:p w14:paraId="20E00D08" w14:textId="77777777" w:rsidR="00DF548E" w:rsidRDefault="00DF548E" w:rsidP="00DF548E">
      <w:pPr>
        <w:spacing w:after="0"/>
      </w:pPr>
    </w:p>
    <w:p w14:paraId="4E60AA2C" w14:textId="77777777" w:rsidR="00DF548E" w:rsidRDefault="00DF548E" w:rsidP="00DF548E">
      <w:pPr>
        <w:spacing w:after="0"/>
      </w:pPr>
    </w:p>
    <w:p w14:paraId="6D6D31A6" w14:textId="77777777" w:rsidR="00DF548E" w:rsidRDefault="00DF548E" w:rsidP="00DF548E">
      <w:pPr>
        <w:spacing w:after="0"/>
      </w:pPr>
    </w:p>
    <w:p w14:paraId="11169B14" w14:textId="77777777" w:rsidR="00DF548E" w:rsidRPr="00DF548E" w:rsidRDefault="00DF548E" w:rsidP="00DF548E">
      <w:pPr>
        <w:spacing w:after="0"/>
      </w:pPr>
    </w:p>
    <w:p w14:paraId="2B4805CA" w14:textId="77777777" w:rsidR="00E638B3" w:rsidRDefault="00E638B3" w:rsidP="004371F6">
      <w:pPr>
        <w:pStyle w:val="authorisedby"/>
      </w:pPr>
    </w:p>
    <w:p w14:paraId="0512E0B7" w14:textId="77777777" w:rsidR="00E638B3" w:rsidRDefault="00E638B3" w:rsidP="004371F6">
      <w:pPr>
        <w:pStyle w:val="authorisedby"/>
      </w:pPr>
    </w:p>
    <w:p w14:paraId="40438726" w14:textId="77777777" w:rsidR="00E638B3" w:rsidRDefault="00E638B3" w:rsidP="004371F6">
      <w:pPr>
        <w:pStyle w:val="authorisedby"/>
      </w:pPr>
    </w:p>
    <w:p w14:paraId="79A49F42" w14:textId="77777777" w:rsidR="00E638B3" w:rsidRDefault="00E638B3" w:rsidP="004371F6">
      <w:pPr>
        <w:pStyle w:val="authorisedby"/>
      </w:pPr>
    </w:p>
    <w:p w14:paraId="3B7E9ABE" w14:textId="77777777" w:rsidR="00E638B3" w:rsidRDefault="00E638B3" w:rsidP="004371F6">
      <w:pPr>
        <w:pStyle w:val="authorisedby"/>
      </w:pPr>
    </w:p>
    <w:p w14:paraId="030336EE" w14:textId="77777777" w:rsidR="00E638B3" w:rsidRDefault="00E638B3" w:rsidP="004371F6">
      <w:pPr>
        <w:pStyle w:val="authorisedby"/>
      </w:pPr>
    </w:p>
    <w:p w14:paraId="2D5EFC03" w14:textId="77777777" w:rsidR="00E638B3" w:rsidRDefault="00E638B3" w:rsidP="004371F6">
      <w:pPr>
        <w:pStyle w:val="authorisedby"/>
      </w:pPr>
    </w:p>
    <w:p w14:paraId="2FF6D7BC" w14:textId="77777777" w:rsidR="00E638B3" w:rsidRDefault="00E638B3" w:rsidP="004371F6">
      <w:pPr>
        <w:pStyle w:val="authorisedby"/>
      </w:pPr>
    </w:p>
    <w:p w14:paraId="2BBF0D35" w14:textId="77777777" w:rsidR="00E638B3" w:rsidRDefault="00E638B3" w:rsidP="004371F6">
      <w:pPr>
        <w:pStyle w:val="authorisedby"/>
      </w:pPr>
    </w:p>
    <w:p w14:paraId="5B6A6FC9" w14:textId="77777777" w:rsidR="00E638B3" w:rsidRDefault="00E638B3" w:rsidP="004371F6">
      <w:pPr>
        <w:pStyle w:val="authorisedby"/>
      </w:pPr>
    </w:p>
    <w:p w14:paraId="1D4F6171" w14:textId="77777777" w:rsidR="00E638B3" w:rsidRDefault="00E638B3" w:rsidP="004371F6">
      <w:pPr>
        <w:pStyle w:val="authorisedby"/>
      </w:pPr>
    </w:p>
    <w:p w14:paraId="0959E35A" w14:textId="77777777" w:rsidR="00E638B3" w:rsidRDefault="00E638B3" w:rsidP="004371F6">
      <w:pPr>
        <w:pStyle w:val="authorisedby"/>
      </w:pPr>
    </w:p>
    <w:p w14:paraId="5873A91E" w14:textId="77777777" w:rsidR="00E638B3" w:rsidRDefault="00E638B3" w:rsidP="004371F6">
      <w:pPr>
        <w:pStyle w:val="authorisedby"/>
      </w:pPr>
    </w:p>
    <w:p w14:paraId="26755379" w14:textId="77777777" w:rsidR="00DF548E" w:rsidRDefault="00DF548E" w:rsidP="00DF548E">
      <w:pPr>
        <w:pStyle w:val="Heading1"/>
      </w:pPr>
      <w:bookmarkStart w:id="46" w:name="_Toc530038821"/>
      <w:bookmarkStart w:id="47" w:name="_Toc530573077"/>
      <w:r>
        <w:lastRenderedPageBreak/>
        <w:t>Appendix A – Assessment criteria</w:t>
      </w:r>
      <w:bookmarkEnd w:id="46"/>
      <w:bookmarkEnd w:id="47"/>
      <w:r>
        <w:t xml:space="preserve"> </w:t>
      </w:r>
    </w:p>
    <w:p w14:paraId="7E0FFDB4" w14:textId="77777777" w:rsidR="00DF548E" w:rsidRDefault="00DF548E" w:rsidP="00DF548E">
      <w:r>
        <w:t xml:space="preserve">The development of assessment criteria </w:t>
      </w:r>
      <w:r w:rsidR="00231D11">
        <w:t>was</w:t>
      </w:r>
      <w:r>
        <w:t xml:space="preserve"> based on </w:t>
      </w:r>
      <w:r w:rsidR="00231D11">
        <w:t xml:space="preserve">the </w:t>
      </w:r>
      <w:r>
        <w:t>objectives</w:t>
      </w:r>
      <w:r w:rsidR="00231D11">
        <w:t xml:space="preserve"> of this evaluation</w:t>
      </w:r>
      <w:r>
        <w:t xml:space="preserve">, which were derived from the </w:t>
      </w:r>
      <w:r w:rsidR="00231D11">
        <w:t xml:space="preserve">stated requirements and </w:t>
      </w:r>
      <w:r>
        <w:t>intent</w:t>
      </w:r>
      <w:r w:rsidR="00231D11">
        <w:t>ion</w:t>
      </w:r>
      <w:r>
        <w:t xml:space="preserve"> of the </w:t>
      </w:r>
      <w:proofErr w:type="spellStart"/>
      <w:r>
        <w:t>SoE</w:t>
      </w:r>
      <w:proofErr w:type="spellEnd"/>
      <w:r>
        <w:t xml:space="preserve"> framework, and were as follows: </w:t>
      </w:r>
    </w:p>
    <w:p w14:paraId="4684DDCC" w14:textId="7B35F6EE" w:rsidR="00DF548E" w:rsidRPr="00A21F61" w:rsidRDefault="00DF548E" w:rsidP="00DF548E">
      <w:pPr>
        <w:pStyle w:val="ListParagraph"/>
        <w:numPr>
          <w:ilvl w:val="0"/>
          <w:numId w:val="18"/>
        </w:numPr>
        <w:spacing w:after="120" w:line="220" w:lineRule="exact"/>
        <w:rPr>
          <w:rFonts w:ascii="Arial" w:hAnsi="Arial" w:cs="Arial"/>
          <w:sz w:val="18"/>
          <w:szCs w:val="18"/>
        </w:rPr>
      </w:pPr>
      <w:r w:rsidRPr="00A21F61">
        <w:rPr>
          <w:rFonts w:ascii="Arial" w:hAnsi="Arial" w:cs="Arial"/>
          <w:sz w:val="18"/>
          <w:szCs w:val="18"/>
        </w:rPr>
        <w:t xml:space="preserve">identify actions that could improve the development and design of </w:t>
      </w:r>
      <w:r w:rsidR="00A21F61" w:rsidRPr="00A21F61">
        <w:rPr>
          <w:rFonts w:ascii="Arial" w:hAnsi="Arial" w:cs="Arial"/>
          <w:sz w:val="18"/>
          <w:szCs w:val="18"/>
        </w:rPr>
        <w:t xml:space="preserve">the </w:t>
      </w:r>
      <w:r w:rsidR="00E5460F">
        <w:rPr>
          <w:rFonts w:ascii="Arial" w:hAnsi="Arial" w:cs="Arial"/>
          <w:sz w:val="18"/>
          <w:szCs w:val="18"/>
        </w:rPr>
        <w:t>Vet Board</w:t>
      </w:r>
      <w:r w:rsidRPr="00A21F61">
        <w:rPr>
          <w:rFonts w:ascii="Arial" w:hAnsi="Arial" w:cs="Arial"/>
          <w:sz w:val="18"/>
          <w:szCs w:val="18"/>
        </w:rPr>
        <w:t xml:space="preserve">’s next </w:t>
      </w:r>
      <w:proofErr w:type="spellStart"/>
      <w:r w:rsidRPr="00A21F61">
        <w:rPr>
          <w:rFonts w:ascii="Arial" w:hAnsi="Arial" w:cs="Arial"/>
          <w:sz w:val="18"/>
          <w:szCs w:val="18"/>
        </w:rPr>
        <w:t>SoE</w:t>
      </w:r>
      <w:proofErr w:type="spellEnd"/>
      <w:r w:rsidRPr="00A21F61">
        <w:rPr>
          <w:rFonts w:ascii="Arial" w:hAnsi="Arial" w:cs="Arial"/>
          <w:sz w:val="18"/>
          <w:szCs w:val="18"/>
        </w:rPr>
        <w:t xml:space="preserve">,  </w:t>
      </w:r>
    </w:p>
    <w:p w14:paraId="723DBB3D" w14:textId="604F121A" w:rsidR="00DF548E" w:rsidRPr="00A21F61" w:rsidRDefault="00DF548E" w:rsidP="00DF548E">
      <w:pPr>
        <w:pStyle w:val="ListParagraph"/>
        <w:numPr>
          <w:ilvl w:val="0"/>
          <w:numId w:val="18"/>
        </w:numPr>
        <w:spacing w:after="120" w:line="220" w:lineRule="exact"/>
        <w:rPr>
          <w:rFonts w:ascii="Arial" w:hAnsi="Arial" w:cs="Arial"/>
          <w:sz w:val="18"/>
          <w:szCs w:val="18"/>
        </w:rPr>
      </w:pPr>
      <w:r w:rsidRPr="00A21F61">
        <w:rPr>
          <w:rFonts w:ascii="Arial" w:hAnsi="Arial" w:cs="Arial"/>
          <w:sz w:val="18"/>
          <w:szCs w:val="18"/>
        </w:rPr>
        <w:t xml:space="preserve">determine how well </w:t>
      </w:r>
      <w:r w:rsidR="00A21F61" w:rsidRPr="00A21F61">
        <w:rPr>
          <w:rFonts w:ascii="Arial" w:hAnsi="Arial" w:cs="Arial"/>
          <w:sz w:val="18"/>
          <w:szCs w:val="18"/>
        </w:rPr>
        <w:t>Vet Board</w:t>
      </w:r>
      <w:r w:rsidRPr="00A21F61">
        <w:rPr>
          <w:rFonts w:ascii="Arial" w:hAnsi="Arial" w:cs="Arial"/>
          <w:sz w:val="18"/>
          <w:szCs w:val="18"/>
        </w:rPr>
        <w:t xml:space="preserve">’s </w:t>
      </w:r>
      <w:proofErr w:type="spellStart"/>
      <w:r w:rsidRPr="00A21F61">
        <w:rPr>
          <w:rFonts w:ascii="Arial" w:hAnsi="Arial" w:cs="Arial"/>
          <w:sz w:val="18"/>
          <w:szCs w:val="18"/>
        </w:rPr>
        <w:t>SoE</w:t>
      </w:r>
      <w:proofErr w:type="spellEnd"/>
      <w:r w:rsidRPr="00A21F61">
        <w:rPr>
          <w:rFonts w:ascii="Arial" w:hAnsi="Arial" w:cs="Arial"/>
          <w:sz w:val="18"/>
          <w:szCs w:val="18"/>
        </w:rPr>
        <w:t xml:space="preserve"> and response support </w:t>
      </w:r>
      <w:r w:rsidR="00A21F61" w:rsidRPr="00A21F61">
        <w:rPr>
          <w:rFonts w:ascii="Arial" w:hAnsi="Arial" w:cs="Arial"/>
          <w:sz w:val="18"/>
          <w:szCs w:val="18"/>
        </w:rPr>
        <w:t xml:space="preserve">the </w:t>
      </w:r>
      <w:r w:rsidR="00E5460F">
        <w:rPr>
          <w:rFonts w:ascii="Arial" w:hAnsi="Arial" w:cs="Arial"/>
          <w:sz w:val="18"/>
          <w:szCs w:val="18"/>
        </w:rPr>
        <w:t>Vet Board</w:t>
      </w:r>
      <w:r w:rsidR="00A21F61" w:rsidRPr="00A21F61">
        <w:rPr>
          <w:rFonts w:ascii="Arial" w:hAnsi="Arial" w:cs="Arial"/>
          <w:sz w:val="18"/>
          <w:szCs w:val="18"/>
        </w:rPr>
        <w:t xml:space="preserve"> </w:t>
      </w:r>
      <w:r w:rsidRPr="00A21F61">
        <w:rPr>
          <w:rFonts w:ascii="Arial" w:hAnsi="Arial" w:cs="Arial"/>
          <w:sz w:val="18"/>
          <w:szCs w:val="18"/>
        </w:rPr>
        <w:t xml:space="preserve">'s contribution to public policy outcomes, and </w:t>
      </w:r>
    </w:p>
    <w:p w14:paraId="45451516" w14:textId="77777777" w:rsidR="00DF548E" w:rsidRPr="00DF548E" w:rsidRDefault="00DF548E" w:rsidP="00DF548E">
      <w:pPr>
        <w:pStyle w:val="ListParagraph"/>
        <w:numPr>
          <w:ilvl w:val="0"/>
          <w:numId w:val="18"/>
        </w:numPr>
        <w:spacing w:after="120" w:line="220" w:lineRule="exact"/>
        <w:rPr>
          <w:rFonts w:ascii="Arial" w:hAnsi="Arial" w:cs="Arial"/>
          <w:sz w:val="18"/>
          <w:szCs w:val="18"/>
        </w:rPr>
      </w:pPr>
      <w:r w:rsidRPr="00A21F61">
        <w:rPr>
          <w:rFonts w:ascii="Arial" w:hAnsi="Arial" w:cs="Arial"/>
          <w:sz w:val="18"/>
          <w:szCs w:val="18"/>
        </w:rPr>
        <w:t>note any observations for consideration by DTF about the operation</w:t>
      </w:r>
      <w:r w:rsidRPr="00DF548E">
        <w:rPr>
          <w:rFonts w:ascii="Arial" w:hAnsi="Arial" w:cs="Arial"/>
          <w:sz w:val="18"/>
          <w:szCs w:val="18"/>
        </w:rPr>
        <w:t xml:space="preserve"> of the revised </w:t>
      </w:r>
      <w:proofErr w:type="spellStart"/>
      <w:r w:rsidRPr="00DF548E">
        <w:rPr>
          <w:rFonts w:ascii="Arial" w:hAnsi="Arial" w:cs="Arial"/>
          <w:sz w:val="18"/>
          <w:szCs w:val="18"/>
        </w:rPr>
        <w:t>SoE</w:t>
      </w:r>
      <w:proofErr w:type="spellEnd"/>
      <w:r w:rsidRPr="00DF548E">
        <w:rPr>
          <w:rFonts w:ascii="Arial" w:hAnsi="Arial" w:cs="Arial"/>
          <w:sz w:val="18"/>
          <w:szCs w:val="18"/>
        </w:rPr>
        <w:t xml:space="preserve"> framework. </w:t>
      </w:r>
    </w:p>
    <w:p w14:paraId="0646C5A3" w14:textId="54766335" w:rsidR="00DF548E" w:rsidRDefault="00DF548E" w:rsidP="007645C5">
      <w:r>
        <w:t>The evaluation made an analysis of the information needed to achieve these objectives, and the questions that would need to be answered to serve those information needs. T</w:t>
      </w:r>
      <w:r w:rsidRPr="006C4222">
        <w:t>he analysis consid</w:t>
      </w:r>
      <w:r>
        <w:t>ered</w:t>
      </w:r>
      <w:r w:rsidRPr="006C4222">
        <w:t xml:space="preserve"> what would constitute success in terms of </w:t>
      </w:r>
      <w:r w:rsidR="00A21F61">
        <w:t xml:space="preserve">the </w:t>
      </w:r>
      <w:r w:rsidR="00E5460F">
        <w:t>Vet Board</w:t>
      </w:r>
      <w:r>
        <w:t xml:space="preserve"> </w:t>
      </w:r>
      <w:r w:rsidRPr="006C4222">
        <w:t xml:space="preserve">meeting </w:t>
      </w:r>
      <w:r>
        <w:t>its</w:t>
      </w:r>
      <w:r w:rsidRPr="006C4222">
        <w:t xml:space="preserve"> </w:t>
      </w:r>
      <w:proofErr w:type="spellStart"/>
      <w:r w:rsidRPr="006C4222">
        <w:t>SoE</w:t>
      </w:r>
      <w:proofErr w:type="spellEnd"/>
      <w:r w:rsidRPr="006C4222">
        <w:t xml:space="preserve"> targets</w:t>
      </w:r>
      <w:r>
        <w:t xml:space="preserve">, and in terms of the </w:t>
      </w:r>
      <w:proofErr w:type="spellStart"/>
      <w:r>
        <w:t>SoE</w:t>
      </w:r>
      <w:proofErr w:type="spellEnd"/>
      <w:r>
        <w:t xml:space="preserve"> framework achieving its intended outcomes</w:t>
      </w:r>
      <w:r w:rsidRPr="006C4222">
        <w:t>.</w:t>
      </w:r>
      <w:r>
        <w:t xml:space="preserve"> On this basis the following set of questions was established, which formed the assessment criteria used for the evaluation. </w:t>
      </w:r>
      <w:r w:rsidR="00A21F61">
        <w:t xml:space="preserve"> </w:t>
      </w:r>
    </w:p>
    <w:p w14:paraId="6418AD1E" w14:textId="77777777" w:rsidR="00C369D2" w:rsidRPr="007645C5" w:rsidRDefault="00C369D2" w:rsidP="007645C5">
      <w:pPr>
        <w:pStyle w:val="Heading2"/>
        <w:numPr>
          <w:ilvl w:val="0"/>
          <w:numId w:val="0"/>
        </w:numPr>
      </w:pPr>
      <w:bookmarkStart w:id="48" w:name="_Toc530128217"/>
      <w:bookmarkStart w:id="49" w:name="_Toc530573078"/>
      <w:r w:rsidRPr="007645C5">
        <w:t>Performance evaluation criteria</w:t>
      </w:r>
      <w:bookmarkEnd w:id="48"/>
      <w:bookmarkEnd w:id="49"/>
    </w:p>
    <w:tbl>
      <w:tblPr>
        <w:tblStyle w:val="TableGrid"/>
        <w:tblW w:w="0" w:type="auto"/>
        <w:tblLook w:val="04A0" w:firstRow="1" w:lastRow="0" w:firstColumn="1" w:lastColumn="0" w:noHBand="0" w:noVBand="1"/>
      </w:tblPr>
      <w:tblGrid>
        <w:gridCol w:w="9016"/>
      </w:tblGrid>
      <w:tr w:rsidR="002C221E" w:rsidRPr="002C221E" w14:paraId="69AF8284" w14:textId="77777777" w:rsidTr="009D5E9A">
        <w:tc>
          <w:tcPr>
            <w:tcW w:w="9112" w:type="dxa"/>
            <w:shd w:val="clear" w:color="auto" w:fill="FABF8F" w:themeFill="accent6" w:themeFillTint="99"/>
          </w:tcPr>
          <w:p w14:paraId="21B64CDD" w14:textId="77777777" w:rsidR="00DF548E" w:rsidRPr="002C221E" w:rsidRDefault="00DF548E" w:rsidP="007645C5">
            <w:pPr>
              <w:pStyle w:val="NoSpacing"/>
              <w:spacing w:before="120" w:after="120"/>
              <w:jc w:val="center"/>
              <w:rPr>
                <w:rFonts w:ascii="Arial" w:hAnsi="Arial" w:cs="Arial"/>
                <w:b/>
                <w:color w:val="595959" w:themeColor="text1" w:themeTint="A6"/>
                <w:sz w:val="18"/>
                <w:szCs w:val="18"/>
              </w:rPr>
            </w:pPr>
            <w:r w:rsidRPr="002C221E">
              <w:rPr>
                <w:rFonts w:ascii="Arial" w:hAnsi="Arial" w:cs="Arial"/>
                <w:b/>
                <w:color w:val="595959" w:themeColor="text1" w:themeTint="A6"/>
                <w:sz w:val="18"/>
                <w:szCs w:val="18"/>
              </w:rPr>
              <w:t>TIMELINESS</w:t>
            </w:r>
          </w:p>
        </w:tc>
      </w:tr>
      <w:tr w:rsidR="009D5E9A" w:rsidRPr="00203CD2" w14:paraId="7FC5FA80" w14:textId="77777777" w:rsidTr="008C18F2">
        <w:tc>
          <w:tcPr>
            <w:tcW w:w="9112" w:type="dxa"/>
          </w:tcPr>
          <w:p w14:paraId="0D2EDFB1" w14:textId="5CC8DA71"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changes has </w:t>
            </w:r>
            <w:r w:rsidR="00A21F61"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made to its communication processes about timeframes? </w:t>
            </w:r>
          </w:p>
          <w:p w14:paraId="5A4845B1" w14:textId="20711A5D"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Has </w:t>
            </w:r>
            <w:r w:rsidR="00A21F61"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established accountable standard timeframes for addressing enquiries, applications, and complaints? Are the timeframes being met?  </w:t>
            </w:r>
          </w:p>
          <w:p w14:paraId="21A68094" w14:textId="2E0D182F"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Is </w:t>
            </w:r>
            <w:r w:rsidR="00A21F61"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’s Service Charter published? Does it address the key elements of the </w:t>
            </w:r>
            <w:proofErr w:type="spellStart"/>
            <w:r w:rsidRPr="0005040D">
              <w:rPr>
                <w:rFonts w:ascii="Arial" w:hAnsi="Arial" w:cs="Arial"/>
                <w:sz w:val="18"/>
                <w:szCs w:val="18"/>
              </w:rPr>
              <w:t>SoE</w:t>
            </w:r>
            <w:proofErr w:type="spellEnd"/>
            <w:r w:rsidRPr="0005040D">
              <w:rPr>
                <w:rFonts w:ascii="Arial" w:hAnsi="Arial" w:cs="Arial"/>
                <w:sz w:val="18"/>
                <w:szCs w:val="18"/>
              </w:rPr>
              <w:t xml:space="preserve"> and encourage stakeholder feedback? </w:t>
            </w:r>
          </w:p>
          <w:p w14:paraId="0B9F691D" w14:textId="476597F8"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How is </w:t>
            </w:r>
            <w:r w:rsidR="00A21F61"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measuring its adherence to the Service Charter, or how does it intend to? </w:t>
            </w:r>
          </w:p>
          <w:p w14:paraId="7D902B9D" w14:textId="1F83D738"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How have </w:t>
            </w:r>
            <w:r w:rsidR="00A21F61"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’s websites assets, forms and guidance notes been reviewed to ensure clarity of information on timeframes associated with administrative process and decisions making? </w:t>
            </w:r>
          </w:p>
          <w:p w14:paraId="1EE61B13" w14:textId="1FE435D2"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mechanism is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using to ensure parties are updated with outcomes or progress updates of regulatory processes? </w:t>
            </w:r>
          </w:p>
          <w:p w14:paraId="7CA9773F" w14:textId="19340963"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Have stakeholders provided any comment or feedback to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regarding clarity of decision-making timeframes and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’s adherence to its Service Charter?    </w:t>
            </w:r>
          </w:p>
          <w:p w14:paraId="0C50B9CE" w14:textId="7C58D1CF"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steps has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taken towards implementing its digital innovation plan and other improvements?  </w:t>
            </w:r>
            <w:r w:rsidR="0005040D" w:rsidRPr="0005040D">
              <w:rPr>
                <w:rFonts w:ascii="Arial" w:hAnsi="Arial" w:cs="Arial"/>
                <w:sz w:val="18"/>
                <w:szCs w:val="18"/>
              </w:rPr>
              <w:t xml:space="preserve"> </w:t>
            </w:r>
          </w:p>
          <w:p w14:paraId="0FF4C884" w14:textId="7675F0E6"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Did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benchmark existing processing times and to establish a baseline? Has it made an analysis of what parts of its processes tend to cause delays? </w:t>
            </w:r>
          </w:p>
          <w:p w14:paraId="3CBD17AA" w14:textId="25A7ADC1"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data collection is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doing (or planning) to track processing times? </w:t>
            </w:r>
          </w:p>
          <w:p w14:paraId="3D41B8F0" w14:textId="52B57823"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actions did (or will) Vet Board take to put a data collection system in place to measure time-based burden to stakeholders of completing </w:t>
            </w:r>
            <w:r w:rsidR="00120B16">
              <w:rPr>
                <w:rFonts w:ascii="Arial" w:hAnsi="Arial" w:cs="Arial"/>
                <w:sz w:val="18"/>
                <w:szCs w:val="18"/>
              </w:rPr>
              <w:t xml:space="preserve">Vet </w:t>
            </w:r>
            <w:r w:rsidR="0005040D" w:rsidRPr="0005040D">
              <w:rPr>
                <w:rFonts w:ascii="Arial" w:hAnsi="Arial" w:cs="Arial"/>
                <w:sz w:val="18"/>
                <w:szCs w:val="18"/>
              </w:rPr>
              <w:t>Board</w:t>
            </w:r>
            <w:r w:rsidRPr="0005040D">
              <w:rPr>
                <w:rFonts w:ascii="Arial" w:hAnsi="Arial" w:cs="Arial"/>
                <w:sz w:val="18"/>
                <w:szCs w:val="18"/>
              </w:rPr>
              <w:t xml:space="preserve"> processes? </w:t>
            </w:r>
          </w:p>
          <w:p w14:paraId="1D60A369" w14:textId="2CC184E1"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Has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undertaken the review of its public website and forms? What are the outcomes or further actions from the review? </w:t>
            </w:r>
          </w:p>
          <w:p w14:paraId="1F69ACEB" w14:textId="17137552"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Which application forms that have been transitioned to electronically fillable? Has the </w:t>
            </w:r>
            <w:r w:rsidR="00FE75CE">
              <w:rPr>
                <w:rFonts w:ascii="Arial" w:hAnsi="Arial" w:cs="Arial"/>
                <w:sz w:val="18"/>
                <w:szCs w:val="18"/>
              </w:rPr>
              <w:t>50</w:t>
            </w:r>
            <w:r w:rsidR="00FE75CE" w:rsidRPr="0005040D">
              <w:rPr>
                <w:rFonts w:ascii="Arial" w:hAnsi="Arial" w:cs="Arial"/>
                <w:sz w:val="18"/>
                <w:szCs w:val="18"/>
              </w:rPr>
              <w:t xml:space="preserve"> </w:t>
            </w:r>
            <w:r w:rsidRPr="0005040D">
              <w:rPr>
                <w:rFonts w:ascii="Arial" w:hAnsi="Arial" w:cs="Arial"/>
                <w:sz w:val="18"/>
                <w:szCs w:val="18"/>
              </w:rPr>
              <w:t>per</w:t>
            </w:r>
            <w:r w:rsidR="00FE75CE">
              <w:rPr>
                <w:rFonts w:ascii="Arial" w:hAnsi="Arial" w:cs="Arial"/>
                <w:sz w:val="18"/>
                <w:szCs w:val="18"/>
              </w:rPr>
              <w:t xml:space="preserve"> </w:t>
            </w:r>
            <w:r w:rsidRPr="0005040D">
              <w:rPr>
                <w:rFonts w:ascii="Arial" w:hAnsi="Arial" w:cs="Arial"/>
                <w:sz w:val="18"/>
                <w:szCs w:val="18"/>
              </w:rPr>
              <w:t xml:space="preserve">cent target been reached? </w:t>
            </w:r>
          </w:p>
          <w:p w14:paraId="341B6892" w14:textId="60888C80"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Has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completed the review of its information management system? What is the outcome or further action from the review? </w:t>
            </w:r>
          </w:p>
          <w:p w14:paraId="1A878188" w14:textId="77777777"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Has the web-based case management system and portal been implemented? Are there further actions to be taken on implementing the web portal? </w:t>
            </w:r>
          </w:p>
          <w:p w14:paraId="0B8740B5" w14:textId="77777777" w:rsidR="00D600EA" w:rsidRDefault="009D5E9A" w:rsidP="00D600E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Are stakeholders using the web portal for registration and other regulatory processes? Has there been any stakeholder feedback?</w:t>
            </w:r>
            <w:r>
              <w:rPr>
                <w:rFonts w:ascii="Arial" w:hAnsi="Arial" w:cs="Arial"/>
                <w:sz w:val="18"/>
                <w:szCs w:val="18"/>
              </w:rPr>
              <w:t xml:space="preserve"> </w:t>
            </w:r>
          </w:p>
          <w:p w14:paraId="5B8105BD" w14:textId="360C28D5" w:rsidR="00D600EA" w:rsidRPr="00D600EA" w:rsidRDefault="00D600EA" w:rsidP="00D600EA">
            <w:pPr>
              <w:pStyle w:val="ListParagraph"/>
              <w:spacing w:after="120" w:line="220" w:lineRule="exact"/>
              <w:rPr>
                <w:rFonts w:ascii="Arial" w:hAnsi="Arial" w:cs="Arial"/>
                <w:sz w:val="18"/>
                <w:szCs w:val="18"/>
              </w:rPr>
            </w:pPr>
          </w:p>
        </w:tc>
      </w:tr>
      <w:tr w:rsidR="002C221E" w:rsidRPr="002C221E" w14:paraId="3BEF8AE6" w14:textId="77777777" w:rsidTr="009D5E9A">
        <w:tc>
          <w:tcPr>
            <w:tcW w:w="9112" w:type="dxa"/>
            <w:shd w:val="clear" w:color="auto" w:fill="FABF8F" w:themeFill="accent6" w:themeFillTint="99"/>
          </w:tcPr>
          <w:p w14:paraId="6927EE58" w14:textId="77777777" w:rsidR="00DF548E" w:rsidRPr="002C221E" w:rsidRDefault="00DF548E" w:rsidP="007645C5">
            <w:pPr>
              <w:pStyle w:val="NoSpacing"/>
              <w:spacing w:before="120" w:after="120"/>
              <w:jc w:val="center"/>
              <w:rPr>
                <w:rFonts w:ascii="Arial" w:hAnsi="Arial" w:cs="Arial"/>
                <w:b/>
                <w:color w:val="595959" w:themeColor="text1" w:themeTint="A6"/>
                <w:sz w:val="18"/>
                <w:szCs w:val="18"/>
              </w:rPr>
            </w:pPr>
            <w:r w:rsidRPr="002C221E">
              <w:rPr>
                <w:rFonts w:ascii="Arial" w:hAnsi="Arial" w:cs="Arial"/>
                <w:b/>
                <w:color w:val="595959" w:themeColor="text1" w:themeTint="A6"/>
                <w:sz w:val="18"/>
                <w:szCs w:val="18"/>
              </w:rPr>
              <w:t>RISK-BASED STRATEGIES</w:t>
            </w:r>
          </w:p>
        </w:tc>
      </w:tr>
      <w:tr w:rsidR="009D5E9A" w:rsidRPr="00203CD2" w14:paraId="27375A87" w14:textId="77777777" w:rsidTr="008C18F2">
        <w:tc>
          <w:tcPr>
            <w:tcW w:w="9112" w:type="dxa"/>
          </w:tcPr>
          <w:p w14:paraId="6FB066BA" w14:textId="7182EFCD"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Has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reviewed its current practices? </w:t>
            </w:r>
          </w:p>
          <w:p w14:paraId="5D61F138" w14:textId="47367B7E"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methodology has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put in place to identify and assess regulatory risk? </w:t>
            </w:r>
          </w:p>
          <w:p w14:paraId="116FD0BB" w14:textId="102C5988"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key priorities has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identified based on assessment of regulatory risk? </w:t>
            </w:r>
          </w:p>
          <w:p w14:paraId="09A7522E" w14:textId="10737832"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risk-based compliance strategies has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put in place to address its key priorities? </w:t>
            </w:r>
          </w:p>
          <w:p w14:paraId="730863AF" w14:textId="38D6DC13"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are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’s compliance objectives and principles? </w:t>
            </w:r>
          </w:p>
          <w:p w14:paraId="0BEB721B" w14:textId="25C58A70" w:rsidR="009D5E9A"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Are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’s compliance objectives and principles published and readily accessible?</w:t>
            </w:r>
            <w:r w:rsidRPr="00470317">
              <w:rPr>
                <w:rFonts w:ascii="Arial" w:hAnsi="Arial" w:cs="Arial"/>
                <w:sz w:val="18"/>
                <w:szCs w:val="18"/>
              </w:rPr>
              <w:t xml:space="preserve"> </w:t>
            </w:r>
            <w:r>
              <w:rPr>
                <w:rFonts w:ascii="Arial" w:hAnsi="Arial" w:cs="Arial"/>
                <w:sz w:val="18"/>
                <w:szCs w:val="18"/>
              </w:rPr>
              <w:t xml:space="preserve"> </w:t>
            </w:r>
          </w:p>
          <w:p w14:paraId="23E51A86" w14:textId="5ECA249D" w:rsidR="00D600EA" w:rsidRPr="009D5E9A" w:rsidRDefault="00D600EA" w:rsidP="00D600EA">
            <w:pPr>
              <w:pStyle w:val="ListParagraph"/>
              <w:spacing w:after="120" w:line="220" w:lineRule="exact"/>
              <w:rPr>
                <w:rFonts w:ascii="Arial" w:hAnsi="Arial" w:cs="Arial"/>
                <w:sz w:val="18"/>
                <w:szCs w:val="18"/>
              </w:rPr>
            </w:pPr>
          </w:p>
        </w:tc>
      </w:tr>
      <w:tr w:rsidR="002C221E" w:rsidRPr="002C221E" w14:paraId="28CB6F0C" w14:textId="77777777" w:rsidTr="009D5E9A">
        <w:tc>
          <w:tcPr>
            <w:tcW w:w="9112" w:type="dxa"/>
            <w:shd w:val="clear" w:color="auto" w:fill="FABF8F" w:themeFill="accent6" w:themeFillTint="99"/>
          </w:tcPr>
          <w:p w14:paraId="1198AA56" w14:textId="77777777" w:rsidR="00DF548E" w:rsidRPr="002C221E" w:rsidRDefault="00DF548E" w:rsidP="007645C5">
            <w:pPr>
              <w:pStyle w:val="NoSpacing"/>
              <w:spacing w:before="120" w:after="120"/>
              <w:jc w:val="center"/>
              <w:rPr>
                <w:rFonts w:ascii="Arial" w:hAnsi="Arial" w:cs="Arial"/>
                <w:b/>
                <w:caps/>
                <w:color w:val="595959" w:themeColor="text1" w:themeTint="A6"/>
                <w:sz w:val="18"/>
                <w:szCs w:val="18"/>
              </w:rPr>
            </w:pPr>
            <w:r w:rsidRPr="002C221E">
              <w:rPr>
                <w:rFonts w:ascii="Arial" w:hAnsi="Arial" w:cs="Arial"/>
                <w:b/>
                <w:caps/>
                <w:color w:val="595959" w:themeColor="text1" w:themeTint="A6"/>
                <w:sz w:val="18"/>
                <w:szCs w:val="18"/>
              </w:rPr>
              <w:lastRenderedPageBreak/>
              <w:t>Compliance related assistance and advice</w:t>
            </w:r>
          </w:p>
        </w:tc>
      </w:tr>
      <w:tr w:rsidR="009D5E9A" w:rsidRPr="00203CD2" w14:paraId="594C8BB6" w14:textId="77777777" w:rsidTr="008C18F2">
        <w:tc>
          <w:tcPr>
            <w:tcW w:w="9112" w:type="dxa"/>
          </w:tcPr>
          <w:p w14:paraId="1F6FF5FB" w14:textId="265CB3BF"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Does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have a plan in place for reviewing its regulatory process advice? </w:t>
            </w:r>
          </w:p>
          <w:p w14:paraId="253C50C3" w14:textId="77777777"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Has the initial review of regulatory process advice taken place? What were the findings of the review?</w:t>
            </w:r>
          </w:p>
          <w:p w14:paraId="15F3139F" w14:textId="77777777"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is the status of the review of website content?   </w:t>
            </w:r>
          </w:p>
          <w:p w14:paraId="294478E1" w14:textId="77777777"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is the status of the review of hard-copy materials? Have any updates been made (or planned) as a result of the review? </w:t>
            </w:r>
          </w:p>
          <w:p w14:paraId="42DE1978" w14:textId="4D685DAF"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is the status of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’s review of existing advice on Professional Conduct?</w:t>
            </w:r>
          </w:p>
          <w:p w14:paraId="5D83E03E" w14:textId="77777777"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Have any focus areas for revision been identified?</w:t>
            </w:r>
          </w:p>
          <w:p w14:paraId="273E8796" w14:textId="37DEDE5D"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stakeholder consultation is </w:t>
            </w:r>
            <w:r w:rsidR="0005040D" w:rsidRPr="0005040D">
              <w:rPr>
                <w:rFonts w:ascii="Arial" w:hAnsi="Arial" w:cs="Arial"/>
                <w:sz w:val="18"/>
                <w:szCs w:val="18"/>
              </w:rPr>
              <w:t xml:space="preserve">the </w:t>
            </w:r>
            <w:r w:rsidR="00E5460F">
              <w:rPr>
                <w:rFonts w:ascii="Arial" w:hAnsi="Arial" w:cs="Arial"/>
                <w:sz w:val="18"/>
                <w:szCs w:val="18"/>
              </w:rPr>
              <w:t>Vet Board</w:t>
            </w:r>
            <w:r w:rsidR="0005040D" w:rsidRPr="0005040D">
              <w:rPr>
                <w:rFonts w:ascii="Arial" w:hAnsi="Arial" w:cs="Arial"/>
                <w:sz w:val="18"/>
                <w:szCs w:val="18"/>
              </w:rPr>
              <w:t xml:space="preserve"> </w:t>
            </w:r>
            <w:r w:rsidRPr="0005040D">
              <w:rPr>
                <w:rFonts w:ascii="Arial" w:hAnsi="Arial" w:cs="Arial"/>
                <w:sz w:val="18"/>
                <w:szCs w:val="18"/>
              </w:rPr>
              <w:t xml:space="preserve">doing (or planning) as part of its review strategy? </w:t>
            </w:r>
          </w:p>
          <w:p w14:paraId="24E44FE6" w14:textId="77777777"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methodology does the Vet Board intend to use for its review of current advice material? How will ‘appropriate frequency’ be determined? </w:t>
            </w:r>
          </w:p>
          <w:p w14:paraId="65D9EC31" w14:textId="7C055CD0"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How does </w:t>
            </w:r>
            <w:r w:rsidR="0005040D" w:rsidRPr="0005040D">
              <w:rPr>
                <w:rFonts w:ascii="Arial" w:hAnsi="Arial" w:cs="Arial"/>
                <w:sz w:val="18"/>
                <w:szCs w:val="18"/>
              </w:rPr>
              <w:t xml:space="preserve">the </w:t>
            </w:r>
            <w:r w:rsidR="00E5460F">
              <w:rPr>
                <w:rFonts w:ascii="Arial" w:hAnsi="Arial" w:cs="Arial"/>
                <w:sz w:val="18"/>
                <w:szCs w:val="18"/>
              </w:rPr>
              <w:t>Vet Board</w:t>
            </w:r>
            <w:r w:rsidR="0005040D" w:rsidRPr="0005040D">
              <w:rPr>
                <w:rFonts w:ascii="Arial" w:hAnsi="Arial" w:cs="Arial"/>
                <w:sz w:val="18"/>
                <w:szCs w:val="18"/>
              </w:rPr>
              <w:t xml:space="preserve"> </w:t>
            </w:r>
            <w:r w:rsidRPr="0005040D">
              <w:rPr>
                <w:rFonts w:ascii="Arial" w:hAnsi="Arial" w:cs="Arial"/>
                <w:sz w:val="18"/>
                <w:szCs w:val="18"/>
              </w:rPr>
              <w:t xml:space="preserve">address the issue of ensuring its information, advice and communication is comprehensible to a wide audience? </w:t>
            </w:r>
          </w:p>
          <w:p w14:paraId="7446F222" w14:textId="74C69F41"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How has </w:t>
            </w:r>
            <w:r w:rsidR="0005040D" w:rsidRPr="0005040D">
              <w:rPr>
                <w:rFonts w:ascii="Arial" w:hAnsi="Arial" w:cs="Arial"/>
                <w:sz w:val="18"/>
                <w:szCs w:val="18"/>
              </w:rPr>
              <w:t xml:space="preserve">the </w:t>
            </w:r>
            <w:r w:rsidR="00E5460F">
              <w:rPr>
                <w:rFonts w:ascii="Arial" w:hAnsi="Arial" w:cs="Arial"/>
                <w:sz w:val="18"/>
                <w:szCs w:val="18"/>
              </w:rPr>
              <w:t>Vet Board</w:t>
            </w:r>
            <w:r w:rsidR="0005040D" w:rsidRPr="0005040D">
              <w:rPr>
                <w:rFonts w:ascii="Arial" w:hAnsi="Arial" w:cs="Arial"/>
                <w:sz w:val="18"/>
                <w:szCs w:val="18"/>
              </w:rPr>
              <w:t xml:space="preserve"> </w:t>
            </w:r>
            <w:r w:rsidRPr="0005040D">
              <w:rPr>
                <w:rFonts w:ascii="Arial" w:hAnsi="Arial" w:cs="Arial"/>
                <w:sz w:val="18"/>
                <w:szCs w:val="18"/>
              </w:rPr>
              <w:t xml:space="preserve">applied the standards of conduct to its operations? </w:t>
            </w:r>
          </w:p>
          <w:p w14:paraId="60C3F67D" w14:textId="02D87F05"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guidance does </w:t>
            </w:r>
            <w:r w:rsidR="0005040D" w:rsidRPr="0005040D">
              <w:rPr>
                <w:rFonts w:ascii="Arial" w:hAnsi="Arial" w:cs="Arial"/>
                <w:sz w:val="18"/>
                <w:szCs w:val="18"/>
              </w:rPr>
              <w:t xml:space="preserve">the </w:t>
            </w:r>
            <w:r w:rsidR="00E5460F">
              <w:rPr>
                <w:rFonts w:ascii="Arial" w:hAnsi="Arial" w:cs="Arial"/>
                <w:sz w:val="18"/>
                <w:szCs w:val="18"/>
              </w:rPr>
              <w:t>Vet Board</w:t>
            </w:r>
            <w:r w:rsidR="0005040D" w:rsidRPr="0005040D">
              <w:rPr>
                <w:rFonts w:ascii="Arial" w:hAnsi="Arial" w:cs="Arial"/>
                <w:sz w:val="18"/>
                <w:szCs w:val="18"/>
              </w:rPr>
              <w:t xml:space="preserve"> </w:t>
            </w:r>
            <w:r w:rsidRPr="0005040D">
              <w:rPr>
                <w:rFonts w:ascii="Arial" w:hAnsi="Arial" w:cs="Arial"/>
                <w:sz w:val="18"/>
                <w:szCs w:val="18"/>
              </w:rPr>
              <w:t>provide to Members and staff about interpreting and demonstrating alignment with its principles of conduct?</w:t>
            </w:r>
          </w:p>
          <w:p w14:paraId="29EF62CC" w14:textId="468DA6C7" w:rsidR="009D5E9A"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How does (or will) </w:t>
            </w:r>
            <w:r w:rsidR="0005040D" w:rsidRPr="0005040D">
              <w:rPr>
                <w:rFonts w:ascii="Arial" w:hAnsi="Arial" w:cs="Arial"/>
                <w:sz w:val="18"/>
                <w:szCs w:val="18"/>
              </w:rPr>
              <w:t xml:space="preserve">the </w:t>
            </w:r>
            <w:r w:rsidR="00E5460F">
              <w:rPr>
                <w:rFonts w:ascii="Arial" w:hAnsi="Arial" w:cs="Arial"/>
                <w:sz w:val="18"/>
                <w:szCs w:val="18"/>
              </w:rPr>
              <w:t>Vet Board</w:t>
            </w:r>
            <w:r w:rsidR="0005040D" w:rsidRPr="0005040D">
              <w:rPr>
                <w:rFonts w:ascii="Arial" w:hAnsi="Arial" w:cs="Arial"/>
                <w:sz w:val="18"/>
                <w:szCs w:val="18"/>
              </w:rPr>
              <w:t xml:space="preserve"> </w:t>
            </w:r>
            <w:r w:rsidRPr="0005040D">
              <w:rPr>
                <w:rFonts w:ascii="Arial" w:hAnsi="Arial" w:cs="Arial"/>
                <w:sz w:val="18"/>
                <w:szCs w:val="18"/>
              </w:rPr>
              <w:t>measure stakeholder feedback against the principles of conduct.</w:t>
            </w:r>
            <w:r>
              <w:rPr>
                <w:rFonts w:ascii="Arial" w:hAnsi="Arial" w:cs="Arial"/>
                <w:sz w:val="18"/>
                <w:szCs w:val="18"/>
              </w:rPr>
              <w:t xml:space="preserve"> </w:t>
            </w:r>
          </w:p>
          <w:p w14:paraId="58D4083A" w14:textId="62852BD5" w:rsidR="00D600EA" w:rsidRPr="009D5E9A" w:rsidRDefault="00D600EA" w:rsidP="00D600EA">
            <w:pPr>
              <w:pStyle w:val="ListParagraph"/>
              <w:spacing w:after="120" w:line="220" w:lineRule="exact"/>
              <w:rPr>
                <w:rFonts w:ascii="Arial" w:hAnsi="Arial" w:cs="Arial"/>
                <w:sz w:val="18"/>
                <w:szCs w:val="18"/>
              </w:rPr>
            </w:pPr>
          </w:p>
        </w:tc>
      </w:tr>
      <w:tr w:rsidR="002C221E" w:rsidRPr="002C221E" w14:paraId="4192B4A0" w14:textId="77777777" w:rsidTr="009D5E9A">
        <w:tc>
          <w:tcPr>
            <w:tcW w:w="9112" w:type="dxa"/>
            <w:shd w:val="clear" w:color="auto" w:fill="FABF8F" w:themeFill="accent6" w:themeFillTint="99"/>
          </w:tcPr>
          <w:p w14:paraId="68989B82" w14:textId="77777777" w:rsidR="00DF548E" w:rsidRPr="002C221E" w:rsidRDefault="00DF548E" w:rsidP="007645C5">
            <w:pPr>
              <w:pStyle w:val="NoSpacing"/>
              <w:spacing w:before="120" w:after="120"/>
              <w:jc w:val="center"/>
              <w:rPr>
                <w:rFonts w:ascii="Arial" w:hAnsi="Arial" w:cs="Arial"/>
                <w:b/>
                <w:caps/>
                <w:color w:val="595959" w:themeColor="text1" w:themeTint="A6"/>
                <w:sz w:val="18"/>
                <w:szCs w:val="18"/>
              </w:rPr>
            </w:pPr>
            <w:r w:rsidRPr="002C221E">
              <w:rPr>
                <w:rFonts w:ascii="Arial" w:hAnsi="Arial" w:cs="Arial"/>
                <w:b/>
                <w:caps/>
                <w:color w:val="595959" w:themeColor="text1" w:themeTint="A6"/>
                <w:sz w:val="18"/>
                <w:szCs w:val="18"/>
              </w:rPr>
              <w:t>Accountability &amp; transparency</w:t>
            </w:r>
          </w:p>
        </w:tc>
      </w:tr>
      <w:tr w:rsidR="009D5E9A" w:rsidRPr="00203CD2" w14:paraId="63DCDC91" w14:textId="77777777" w:rsidTr="008C18F2">
        <w:tc>
          <w:tcPr>
            <w:tcW w:w="9112" w:type="dxa"/>
          </w:tcPr>
          <w:p w14:paraId="34283545" w14:textId="33E222A6"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Are </w:t>
            </w:r>
            <w:r w:rsidR="0005040D" w:rsidRPr="0005040D">
              <w:rPr>
                <w:rFonts w:ascii="Arial" w:hAnsi="Arial" w:cs="Arial"/>
                <w:sz w:val="18"/>
                <w:szCs w:val="18"/>
              </w:rPr>
              <w:t>Vet Board’s</w:t>
            </w:r>
            <w:r w:rsidRPr="0005040D">
              <w:rPr>
                <w:rFonts w:ascii="Arial" w:hAnsi="Arial" w:cs="Arial"/>
                <w:sz w:val="18"/>
                <w:szCs w:val="18"/>
              </w:rPr>
              <w:t xml:space="preserve"> Board Meeting summaries published? </w:t>
            </w:r>
          </w:p>
          <w:p w14:paraId="05905510" w14:textId="4343F078"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How does </w:t>
            </w:r>
            <w:r w:rsidR="0005040D" w:rsidRPr="0005040D">
              <w:rPr>
                <w:rFonts w:ascii="Arial" w:hAnsi="Arial" w:cs="Arial"/>
                <w:sz w:val="18"/>
                <w:szCs w:val="18"/>
              </w:rPr>
              <w:t xml:space="preserve">the </w:t>
            </w:r>
            <w:r w:rsidR="00E5460F">
              <w:rPr>
                <w:rFonts w:ascii="Arial" w:hAnsi="Arial" w:cs="Arial"/>
                <w:sz w:val="18"/>
                <w:szCs w:val="18"/>
              </w:rPr>
              <w:t>Vet Board</w:t>
            </w:r>
            <w:r w:rsidR="0005040D" w:rsidRPr="0005040D">
              <w:rPr>
                <w:rFonts w:ascii="Arial" w:hAnsi="Arial" w:cs="Arial"/>
                <w:sz w:val="18"/>
                <w:szCs w:val="18"/>
              </w:rPr>
              <w:t xml:space="preserve"> </w:t>
            </w:r>
            <w:r w:rsidRPr="0005040D">
              <w:rPr>
                <w:rFonts w:ascii="Arial" w:hAnsi="Arial" w:cs="Arial"/>
                <w:sz w:val="18"/>
                <w:szCs w:val="18"/>
              </w:rPr>
              <w:t xml:space="preserve">ensure advice or information is distributed to stakeholders at a time when it will be useful? </w:t>
            </w:r>
          </w:p>
          <w:p w14:paraId="0D1BF4BF" w14:textId="206D03B6"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Are the DEDJTR A</w:t>
            </w:r>
            <w:r w:rsidR="00C960A8">
              <w:rPr>
                <w:rFonts w:ascii="Arial" w:hAnsi="Arial" w:cs="Arial"/>
                <w:sz w:val="18"/>
                <w:szCs w:val="18"/>
              </w:rPr>
              <w:t>ntimicrobial resistance (A</w:t>
            </w:r>
            <w:r w:rsidRPr="0005040D">
              <w:rPr>
                <w:rFonts w:ascii="Arial" w:hAnsi="Arial" w:cs="Arial"/>
                <w:sz w:val="18"/>
                <w:szCs w:val="18"/>
              </w:rPr>
              <w:t>MR</w:t>
            </w:r>
            <w:r w:rsidR="00C960A8">
              <w:rPr>
                <w:rFonts w:ascii="Arial" w:hAnsi="Arial" w:cs="Arial"/>
                <w:sz w:val="18"/>
                <w:szCs w:val="18"/>
              </w:rPr>
              <w:t>)</w:t>
            </w:r>
            <w:r w:rsidRPr="0005040D">
              <w:rPr>
                <w:rFonts w:ascii="Arial" w:hAnsi="Arial" w:cs="Arial"/>
                <w:sz w:val="18"/>
                <w:szCs w:val="18"/>
              </w:rPr>
              <w:t xml:space="preserve"> resources available from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’s website? </w:t>
            </w:r>
          </w:p>
          <w:p w14:paraId="04890421" w14:textId="18EE408B"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Does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’s newsletter include content on industry trends and issues, and information on AMR? What additional channels (if any) does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have for communicating significant industry developments or issues to stakeholders? </w:t>
            </w:r>
          </w:p>
          <w:p w14:paraId="17701712" w14:textId="072EDA1C"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How does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communicate its expectations to its regulated community?</w:t>
            </w:r>
          </w:p>
          <w:p w14:paraId="4231C00A" w14:textId="2B720DD5"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How does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communicate its rationale for statutory decision-making? </w:t>
            </w:r>
          </w:p>
          <w:p w14:paraId="09A129CF" w14:textId="51897DEB"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Has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made a summary of the findings of the external audit publicly available? </w:t>
            </w:r>
          </w:p>
          <w:p w14:paraId="06CDAC71" w14:textId="22B07C89"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Has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formulated its response to the external audit? Has it published the response on its website? </w:t>
            </w:r>
          </w:p>
          <w:p w14:paraId="1B5D0E0B" w14:textId="67A65747"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Has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developed a plan for addressing the findings of the external audit? Has it published the plan on its website? </w:t>
            </w:r>
          </w:p>
          <w:p w14:paraId="5BF08F2A" w14:textId="736F31E1"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What actions did (or will)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take to implement the identified improvements? </w:t>
            </w:r>
          </w:p>
          <w:p w14:paraId="36B12FED" w14:textId="0BD984F2"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Does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’s Annual Report include result</w:t>
            </w:r>
            <w:r w:rsidR="00120B16">
              <w:rPr>
                <w:rFonts w:ascii="Arial" w:hAnsi="Arial" w:cs="Arial"/>
                <w:sz w:val="18"/>
                <w:szCs w:val="18"/>
              </w:rPr>
              <w:t>s</w:t>
            </w:r>
            <w:r w:rsidRPr="0005040D">
              <w:rPr>
                <w:rFonts w:ascii="Arial" w:hAnsi="Arial" w:cs="Arial"/>
                <w:sz w:val="18"/>
                <w:szCs w:val="18"/>
              </w:rPr>
              <w:t xml:space="preserve"> or </w:t>
            </w:r>
            <w:r w:rsidR="00120B16">
              <w:rPr>
                <w:rFonts w:ascii="Arial" w:hAnsi="Arial" w:cs="Arial"/>
                <w:sz w:val="18"/>
                <w:szCs w:val="18"/>
              </w:rPr>
              <w:t xml:space="preserve">a </w:t>
            </w:r>
            <w:r w:rsidRPr="0005040D">
              <w:rPr>
                <w:rFonts w:ascii="Arial" w:hAnsi="Arial" w:cs="Arial"/>
                <w:sz w:val="18"/>
                <w:szCs w:val="18"/>
              </w:rPr>
              <w:t xml:space="preserve">progress update against the targets in the </w:t>
            </w:r>
            <w:proofErr w:type="spellStart"/>
            <w:r w:rsidRPr="0005040D">
              <w:rPr>
                <w:rFonts w:ascii="Arial" w:hAnsi="Arial" w:cs="Arial"/>
                <w:sz w:val="18"/>
                <w:szCs w:val="18"/>
              </w:rPr>
              <w:t>SoE</w:t>
            </w:r>
            <w:proofErr w:type="spellEnd"/>
            <w:r w:rsidRPr="0005040D">
              <w:rPr>
                <w:rFonts w:ascii="Arial" w:hAnsi="Arial" w:cs="Arial"/>
                <w:sz w:val="18"/>
                <w:szCs w:val="18"/>
              </w:rPr>
              <w:t xml:space="preserve">? </w:t>
            </w:r>
          </w:p>
          <w:p w14:paraId="46885FA1" w14:textId="32CDE34C"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Does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’s Annual Report outline the findings of the external audit and what actions it is (or will be) taking in response? </w:t>
            </w:r>
          </w:p>
          <w:p w14:paraId="6F282AC4" w14:textId="1F95BAF8" w:rsidR="009D5E9A" w:rsidRDefault="009D5E9A" w:rsidP="00DF548E">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When addressing the audit recommendations, what consultation process did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use to engage with Red Tape Commissioner [now Office of the Commissioner for Better Regulation], veterinary practitioners, industry stakeholders and the broader community? </w:t>
            </w:r>
          </w:p>
          <w:p w14:paraId="78C976BB" w14:textId="1AC0BD3A" w:rsidR="00D600EA" w:rsidRPr="009D5E9A" w:rsidRDefault="00D600EA" w:rsidP="00D600EA">
            <w:pPr>
              <w:pStyle w:val="ListParagraph"/>
              <w:spacing w:after="120" w:line="220" w:lineRule="exact"/>
              <w:rPr>
                <w:rFonts w:ascii="Arial" w:hAnsi="Arial" w:cs="Arial"/>
                <w:sz w:val="18"/>
                <w:szCs w:val="18"/>
              </w:rPr>
            </w:pPr>
          </w:p>
        </w:tc>
      </w:tr>
      <w:tr w:rsidR="002C221E" w:rsidRPr="002C221E" w14:paraId="360C7C24" w14:textId="77777777" w:rsidTr="009D5E9A">
        <w:tc>
          <w:tcPr>
            <w:tcW w:w="9112" w:type="dxa"/>
            <w:shd w:val="clear" w:color="auto" w:fill="FABF8F" w:themeFill="accent6" w:themeFillTint="99"/>
          </w:tcPr>
          <w:p w14:paraId="2B06919A" w14:textId="77777777" w:rsidR="00DF548E" w:rsidRPr="002C221E" w:rsidRDefault="00DF548E" w:rsidP="007645C5">
            <w:pPr>
              <w:pStyle w:val="NoSpacing"/>
              <w:spacing w:before="120" w:after="120"/>
              <w:jc w:val="center"/>
              <w:rPr>
                <w:rFonts w:ascii="Arial" w:hAnsi="Arial" w:cs="Arial"/>
                <w:b/>
                <w:color w:val="595959" w:themeColor="text1" w:themeTint="A6"/>
                <w:sz w:val="18"/>
                <w:szCs w:val="18"/>
              </w:rPr>
            </w:pPr>
            <w:r w:rsidRPr="002C221E">
              <w:rPr>
                <w:rFonts w:ascii="Arial" w:hAnsi="Arial" w:cs="Arial"/>
                <w:b/>
                <w:color w:val="595959" w:themeColor="text1" w:themeTint="A6"/>
                <w:sz w:val="18"/>
                <w:szCs w:val="18"/>
              </w:rPr>
              <w:t>EVALUATION</w:t>
            </w:r>
          </w:p>
        </w:tc>
      </w:tr>
      <w:tr w:rsidR="009D5E9A" w:rsidRPr="00203CD2" w14:paraId="4E784C69" w14:textId="77777777" w:rsidTr="008C18F2">
        <w:tc>
          <w:tcPr>
            <w:tcW w:w="9112" w:type="dxa"/>
          </w:tcPr>
          <w:p w14:paraId="18033797" w14:textId="76C4A820" w:rsidR="00D600EA" w:rsidRPr="006D0185" w:rsidRDefault="009D5E9A" w:rsidP="006D0185">
            <w:pPr>
              <w:pStyle w:val="ListParagraph"/>
              <w:numPr>
                <w:ilvl w:val="0"/>
                <w:numId w:val="18"/>
              </w:numPr>
              <w:spacing w:after="120" w:line="220" w:lineRule="exact"/>
              <w:rPr>
                <w:rFonts w:ascii="Arial" w:hAnsi="Arial" w:cs="Arial"/>
                <w:sz w:val="18"/>
                <w:szCs w:val="18"/>
              </w:rPr>
            </w:pPr>
            <w:r>
              <w:rPr>
                <w:rFonts w:ascii="Arial" w:hAnsi="Arial" w:cs="Arial"/>
                <w:sz w:val="18"/>
                <w:szCs w:val="18"/>
              </w:rPr>
              <w:t>Does</w:t>
            </w:r>
            <w:r w:rsidRPr="0005040D">
              <w:rPr>
                <w:rFonts w:ascii="Arial" w:hAnsi="Arial" w:cs="Arial"/>
                <w:sz w:val="18"/>
                <w:szCs w:val="18"/>
              </w:rPr>
              <w:t xml:space="preserve"> </w:t>
            </w:r>
            <w:r w:rsidR="0005040D" w:rsidRPr="0005040D">
              <w:rPr>
                <w:rFonts w:ascii="Arial" w:hAnsi="Arial" w:cs="Arial"/>
                <w:sz w:val="18"/>
                <w:szCs w:val="18"/>
              </w:rPr>
              <w:t xml:space="preserve">the </w:t>
            </w:r>
            <w:r w:rsidR="00E5460F">
              <w:rPr>
                <w:rFonts w:ascii="Arial" w:hAnsi="Arial" w:cs="Arial"/>
                <w:sz w:val="18"/>
                <w:szCs w:val="18"/>
              </w:rPr>
              <w:t>Vet Board</w:t>
            </w:r>
            <w:r>
              <w:rPr>
                <w:rFonts w:ascii="Arial" w:hAnsi="Arial" w:cs="Arial"/>
                <w:sz w:val="18"/>
                <w:szCs w:val="18"/>
              </w:rPr>
              <w:t xml:space="preserve">’s 2017-18 Annual Report include an update of performance against the </w:t>
            </w:r>
            <w:proofErr w:type="spellStart"/>
            <w:r>
              <w:rPr>
                <w:rFonts w:ascii="Arial" w:hAnsi="Arial" w:cs="Arial"/>
                <w:sz w:val="18"/>
                <w:szCs w:val="18"/>
              </w:rPr>
              <w:t>SoE</w:t>
            </w:r>
            <w:proofErr w:type="spellEnd"/>
            <w:r>
              <w:rPr>
                <w:rFonts w:ascii="Arial" w:hAnsi="Arial" w:cs="Arial"/>
                <w:sz w:val="18"/>
                <w:szCs w:val="18"/>
              </w:rPr>
              <w:t xml:space="preserve"> targets? </w:t>
            </w:r>
          </w:p>
        </w:tc>
      </w:tr>
      <w:tr w:rsidR="002C221E" w:rsidRPr="002C221E" w14:paraId="518D75E0" w14:textId="77777777" w:rsidTr="009D5E9A">
        <w:tc>
          <w:tcPr>
            <w:tcW w:w="9112" w:type="dxa"/>
            <w:shd w:val="clear" w:color="auto" w:fill="FABF8F" w:themeFill="accent6" w:themeFillTint="99"/>
          </w:tcPr>
          <w:p w14:paraId="78182697" w14:textId="77777777" w:rsidR="00DF548E" w:rsidRPr="002C221E" w:rsidRDefault="00DF548E" w:rsidP="007645C5">
            <w:pPr>
              <w:pStyle w:val="NoSpacing"/>
              <w:spacing w:before="120" w:after="120"/>
              <w:jc w:val="center"/>
              <w:rPr>
                <w:rFonts w:ascii="Arial" w:hAnsi="Arial" w:cs="Arial"/>
                <w:b/>
                <w:caps/>
                <w:color w:val="595959" w:themeColor="text1" w:themeTint="A6"/>
                <w:sz w:val="18"/>
                <w:szCs w:val="18"/>
              </w:rPr>
            </w:pPr>
            <w:r w:rsidRPr="002C221E">
              <w:rPr>
                <w:rFonts w:ascii="Arial" w:hAnsi="Arial" w:cs="Arial"/>
                <w:b/>
                <w:caps/>
                <w:color w:val="595959" w:themeColor="text1" w:themeTint="A6"/>
                <w:sz w:val="18"/>
                <w:szCs w:val="18"/>
              </w:rPr>
              <w:t>Reporting</w:t>
            </w:r>
          </w:p>
        </w:tc>
      </w:tr>
      <w:tr w:rsidR="009D5E9A" w:rsidRPr="00203CD2" w14:paraId="4FA8411D" w14:textId="77777777" w:rsidTr="008C18F2">
        <w:tc>
          <w:tcPr>
            <w:tcW w:w="9112" w:type="dxa"/>
          </w:tcPr>
          <w:p w14:paraId="3AEFF881" w14:textId="03531EA9"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Does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’s 2017-18 Annual Report include an update of performance against the </w:t>
            </w:r>
            <w:proofErr w:type="spellStart"/>
            <w:r w:rsidRPr="0005040D">
              <w:rPr>
                <w:rFonts w:ascii="Arial" w:hAnsi="Arial" w:cs="Arial"/>
                <w:sz w:val="18"/>
                <w:szCs w:val="18"/>
              </w:rPr>
              <w:t>SoE</w:t>
            </w:r>
            <w:proofErr w:type="spellEnd"/>
            <w:r w:rsidRPr="0005040D">
              <w:rPr>
                <w:rFonts w:ascii="Arial" w:hAnsi="Arial" w:cs="Arial"/>
                <w:sz w:val="18"/>
                <w:szCs w:val="18"/>
              </w:rPr>
              <w:t xml:space="preserve"> targets? Did this include benchmarking of current levels of performance? </w:t>
            </w:r>
          </w:p>
          <w:p w14:paraId="231D3672" w14:textId="26CBDB7D"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Does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have a Corporate Plan (or equivalent)? Are the commitments against the </w:t>
            </w:r>
            <w:proofErr w:type="spellStart"/>
            <w:r w:rsidRPr="0005040D">
              <w:rPr>
                <w:rFonts w:ascii="Arial" w:hAnsi="Arial" w:cs="Arial"/>
                <w:sz w:val="18"/>
                <w:szCs w:val="18"/>
              </w:rPr>
              <w:t>SoE</w:t>
            </w:r>
            <w:proofErr w:type="spellEnd"/>
            <w:r w:rsidRPr="0005040D">
              <w:rPr>
                <w:rFonts w:ascii="Arial" w:hAnsi="Arial" w:cs="Arial"/>
                <w:sz w:val="18"/>
                <w:szCs w:val="18"/>
              </w:rPr>
              <w:t xml:space="preserve"> clearly reflected in the Corporate Plan (or equivalent)? </w:t>
            </w:r>
          </w:p>
          <w:p w14:paraId="32BE7521" w14:textId="7F634B54" w:rsidR="009D5E9A" w:rsidRPr="0005040D" w:rsidRDefault="009D5E9A" w:rsidP="009D5E9A">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Has the </w:t>
            </w:r>
            <w:proofErr w:type="spellStart"/>
            <w:r w:rsidRPr="0005040D">
              <w:rPr>
                <w:rFonts w:ascii="Arial" w:hAnsi="Arial" w:cs="Arial"/>
                <w:sz w:val="18"/>
                <w:szCs w:val="18"/>
              </w:rPr>
              <w:t>SoE</w:t>
            </w:r>
            <w:proofErr w:type="spellEnd"/>
            <w:r w:rsidRPr="0005040D">
              <w:rPr>
                <w:rFonts w:ascii="Arial" w:hAnsi="Arial" w:cs="Arial"/>
                <w:sz w:val="18"/>
                <w:szCs w:val="18"/>
              </w:rPr>
              <w:t xml:space="preserve"> and response been published on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’s public website? Does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’s </w:t>
            </w:r>
            <w:proofErr w:type="spellStart"/>
            <w:r w:rsidRPr="0005040D">
              <w:rPr>
                <w:rFonts w:ascii="Arial" w:hAnsi="Arial" w:cs="Arial"/>
                <w:sz w:val="18"/>
                <w:szCs w:val="18"/>
              </w:rPr>
              <w:t>SoE</w:t>
            </w:r>
            <w:proofErr w:type="spellEnd"/>
            <w:r w:rsidRPr="0005040D">
              <w:rPr>
                <w:rFonts w:ascii="Arial" w:hAnsi="Arial" w:cs="Arial"/>
                <w:sz w:val="18"/>
                <w:szCs w:val="18"/>
              </w:rPr>
              <w:t xml:space="preserve"> response outline specific steps to be taken in fulfilment of the </w:t>
            </w:r>
            <w:proofErr w:type="spellStart"/>
            <w:r w:rsidRPr="0005040D">
              <w:rPr>
                <w:rFonts w:ascii="Arial" w:hAnsi="Arial" w:cs="Arial"/>
                <w:sz w:val="18"/>
                <w:szCs w:val="18"/>
              </w:rPr>
              <w:t>SoE</w:t>
            </w:r>
            <w:proofErr w:type="spellEnd"/>
            <w:r w:rsidRPr="0005040D">
              <w:rPr>
                <w:rFonts w:ascii="Arial" w:hAnsi="Arial" w:cs="Arial"/>
                <w:sz w:val="18"/>
                <w:szCs w:val="18"/>
              </w:rPr>
              <w:t xml:space="preserve">? </w:t>
            </w:r>
          </w:p>
          <w:p w14:paraId="2E05ABC6" w14:textId="1F4DDD37" w:rsidR="009D5E9A" w:rsidRDefault="009D5E9A" w:rsidP="00DF548E">
            <w:pPr>
              <w:pStyle w:val="ListParagraph"/>
              <w:numPr>
                <w:ilvl w:val="0"/>
                <w:numId w:val="18"/>
              </w:numPr>
              <w:spacing w:after="120" w:line="220" w:lineRule="exact"/>
              <w:rPr>
                <w:rFonts w:ascii="Arial" w:hAnsi="Arial" w:cs="Arial"/>
                <w:sz w:val="18"/>
                <w:szCs w:val="18"/>
              </w:rPr>
            </w:pPr>
            <w:r w:rsidRPr="0005040D">
              <w:rPr>
                <w:rFonts w:ascii="Arial" w:hAnsi="Arial" w:cs="Arial"/>
                <w:sz w:val="18"/>
                <w:szCs w:val="18"/>
              </w:rPr>
              <w:t xml:space="preserve">Does </w:t>
            </w:r>
            <w:r w:rsidR="0005040D" w:rsidRPr="0005040D">
              <w:rPr>
                <w:rFonts w:ascii="Arial" w:hAnsi="Arial" w:cs="Arial"/>
                <w:sz w:val="18"/>
                <w:szCs w:val="18"/>
              </w:rPr>
              <w:t xml:space="preserve">the </w:t>
            </w:r>
            <w:r w:rsidR="00E5460F">
              <w:rPr>
                <w:rFonts w:ascii="Arial" w:hAnsi="Arial" w:cs="Arial"/>
                <w:sz w:val="18"/>
                <w:szCs w:val="18"/>
              </w:rPr>
              <w:t>Vet Board</w:t>
            </w:r>
            <w:r w:rsidRPr="0005040D">
              <w:rPr>
                <w:rFonts w:ascii="Arial" w:hAnsi="Arial" w:cs="Arial"/>
                <w:sz w:val="18"/>
                <w:szCs w:val="18"/>
              </w:rPr>
              <w:t xml:space="preserve"> provide public information on its performance against </w:t>
            </w:r>
            <w:proofErr w:type="spellStart"/>
            <w:r w:rsidRPr="0005040D">
              <w:rPr>
                <w:rFonts w:ascii="Arial" w:hAnsi="Arial" w:cs="Arial"/>
                <w:sz w:val="18"/>
                <w:szCs w:val="18"/>
              </w:rPr>
              <w:t>SoE</w:t>
            </w:r>
            <w:proofErr w:type="spellEnd"/>
            <w:r w:rsidRPr="0005040D">
              <w:rPr>
                <w:rFonts w:ascii="Arial" w:hAnsi="Arial" w:cs="Arial"/>
                <w:sz w:val="18"/>
                <w:szCs w:val="18"/>
              </w:rPr>
              <w:t xml:space="preserve"> targets through any other channels?</w:t>
            </w:r>
          </w:p>
          <w:p w14:paraId="4FA031ED" w14:textId="0D310E7E" w:rsidR="00D600EA" w:rsidRPr="009D5E9A" w:rsidRDefault="00D600EA" w:rsidP="00D600EA">
            <w:pPr>
              <w:pStyle w:val="ListParagraph"/>
              <w:spacing w:after="120" w:line="220" w:lineRule="exact"/>
              <w:rPr>
                <w:rFonts w:ascii="Arial" w:hAnsi="Arial" w:cs="Arial"/>
                <w:sz w:val="18"/>
                <w:szCs w:val="18"/>
              </w:rPr>
            </w:pPr>
          </w:p>
        </w:tc>
      </w:tr>
    </w:tbl>
    <w:p w14:paraId="04D6E495" w14:textId="77777777" w:rsidR="00D76844" w:rsidRPr="007645C5" w:rsidRDefault="00C369D2" w:rsidP="007645C5">
      <w:pPr>
        <w:pStyle w:val="Heading2"/>
        <w:numPr>
          <w:ilvl w:val="0"/>
          <w:numId w:val="0"/>
        </w:numPr>
      </w:pPr>
      <w:bookmarkStart w:id="50" w:name="_Toc530128218"/>
      <w:bookmarkStart w:id="51" w:name="_Toc530573079"/>
      <w:r w:rsidRPr="007645C5">
        <w:lastRenderedPageBreak/>
        <w:t>Process evaluation criteria</w:t>
      </w:r>
      <w:bookmarkEnd w:id="50"/>
      <w:bookmarkEnd w:id="51"/>
      <w:r w:rsidRPr="007645C5">
        <w:t xml:space="preserve"> </w:t>
      </w:r>
    </w:p>
    <w:tbl>
      <w:tblPr>
        <w:tblStyle w:val="TableGrid"/>
        <w:tblW w:w="0" w:type="auto"/>
        <w:tblLook w:val="04A0" w:firstRow="1" w:lastRow="0" w:firstColumn="1" w:lastColumn="0" w:noHBand="0" w:noVBand="1"/>
      </w:tblPr>
      <w:tblGrid>
        <w:gridCol w:w="9016"/>
      </w:tblGrid>
      <w:tr w:rsidR="00C369D2" w:rsidRPr="002C221E" w14:paraId="51DEF1DB" w14:textId="77777777" w:rsidTr="00EF04DC">
        <w:tc>
          <w:tcPr>
            <w:tcW w:w="9016" w:type="dxa"/>
            <w:shd w:val="clear" w:color="auto" w:fill="FABF8F" w:themeFill="accent6" w:themeFillTint="99"/>
          </w:tcPr>
          <w:p w14:paraId="430BE2F3" w14:textId="77777777" w:rsidR="00C369D2" w:rsidRPr="002C221E" w:rsidRDefault="00C369D2" w:rsidP="00C369D2">
            <w:pPr>
              <w:pStyle w:val="NoSpacing"/>
              <w:jc w:val="center"/>
              <w:rPr>
                <w:rFonts w:ascii="Arial" w:hAnsi="Arial" w:cs="Arial"/>
                <w:b/>
                <w:color w:val="595959" w:themeColor="text1" w:themeTint="A6"/>
                <w:sz w:val="18"/>
                <w:szCs w:val="18"/>
              </w:rPr>
            </w:pPr>
            <w:r w:rsidRPr="002C221E">
              <w:rPr>
                <w:rFonts w:ascii="Arial" w:hAnsi="Arial" w:cs="Arial"/>
                <w:b/>
                <w:color w:val="595959" w:themeColor="text1" w:themeTint="A6"/>
                <w:sz w:val="18"/>
                <w:szCs w:val="18"/>
              </w:rPr>
              <w:t>CONTENT</w:t>
            </w:r>
          </w:p>
          <w:p w14:paraId="3A0E4E4F" w14:textId="77777777" w:rsidR="00C369D2" w:rsidRPr="002C221E" w:rsidRDefault="00C369D2" w:rsidP="00C369D2">
            <w:pPr>
              <w:pStyle w:val="NoSpacing"/>
              <w:jc w:val="center"/>
              <w:rPr>
                <w:rFonts w:ascii="Arial" w:hAnsi="Arial" w:cs="Arial"/>
                <w:b/>
                <w:color w:val="595959" w:themeColor="text1" w:themeTint="A6"/>
                <w:sz w:val="18"/>
                <w:szCs w:val="18"/>
              </w:rPr>
            </w:pPr>
          </w:p>
        </w:tc>
      </w:tr>
      <w:tr w:rsidR="009D5E9A" w14:paraId="7A1BB467" w14:textId="77777777" w:rsidTr="008C18F2">
        <w:tc>
          <w:tcPr>
            <w:tcW w:w="9016" w:type="dxa"/>
          </w:tcPr>
          <w:p w14:paraId="70F1517F" w14:textId="092C38A9" w:rsidR="009D5E9A" w:rsidRDefault="009D5E9A" w:rsidP="009D5E9A">
            <w:pPr>
              <w:pStyle w:val="ListParagraph"/>
              <w:numPr>
                <w:ilvl w:val="0"/>
                <w:numId w:val="18"/>
              </w:numPr>
              <w:spacing w:after="120" w:line="220" w:lineRule="exact"/>
              <w:rPr>
                <w:rFonts w:ascii="Arial" w:hAnsi="Arial" w:cs="Arial"/>
                <w:sz w:val="18"/>
                <w:szCs w:val="18"/>
              </w:rPr>
            </w:pPr>
            <w:r>
              <w:rPr>
                <w:rFonts w:ascii="Arial" w:hAnsi="Arial" w:cs="Arial"/>
                <w:sz w:val="18"/>
                <w:szCs w:val="18"/>
              </w:rPr>
              <w:t xml:space="preserve">Does </w:t>
            </w:r>
            <w:r w:rsidR="0005040D">
              <w:rPr>
                <w:rFonts w:ascii="Arial" w:hAnsi="Arial" w:cs="Arial"/>
                <w:sz w:val="18"/>
                <w:szCs w:val="18"/>
              </w:rPr>
              <w:t xml:space="preserve">the </w:t>
            </w:r>
            <w:r w:rsidR="00E5460F">
              <w:rPr>
                <w:rFonts w:ascii="Arial" w:hAnsi="Arial" w:cs="Arial"/>
                <w:sz w:val="18"/>
                <w:szCs w:val="18"/>
              </w:rPr>
              <w:t>Vet Board</w:t>
            </w:r>
            <w:r>
              <w:rPr>
                <w:rFonts w:ascii="Arial" w:hAnsi="Arial" w:cs="Arial"/>
                <w:sz w:val="18"/>
                <w:szCs w:val="18"/>
              </w:rPr>
              <w:t xml:space="preserve">’s </w:t>
            </w:r>
            <w:proofErr w:type="spellStart"/>
            <w:r>
              <w:rPr>
                <w:rFonts w:ascii="Arial" w:hAnsi="Arial" w:cs="Arial"/>
                <w:sz w:val="18"/>
                <w:szCs w:val="18"/>
              </w:rPr>
              <w:t>SoE</w:t>
            </w:r>
            <w:proofErr w:type="spellEnd"/>
            <w:r>
              <w:rPr>
                <w:rFonts w:ascii="Arial" w:hAnsi="Arial" w:cs="Arial"/>
                <w:sz w:val="18"/>
                <w:szCs w:val="18"/>
              </w:rPr>
              <w:t xml:space="preserve"> and response address the mandatory good practice elements prescribed by the </w:t>
            </w:r>
            <w:proofErr w:type="spellStart"/>
            <w:r>
              <w:rPr>
                <w:rFonts w:ascii="Arial" w:hAnsi="Arial" w:cs="Arial"/>
                <w:sz w:val="18"/>
                <w:szCs w:val="18"/>
              </w:rPr>
              <w:t>SoE</w:t>
            </w:r>
            <w:proofErr w:type="spellEnd"/>
            <w:r>
              <w:rPr>
                <w:rFonts w:ascii="Arial" w:hAnsi="Arial" w:cs="Arial"/>
                <w:sz w:val="18"/>
                <w:szCs w:val="18"/>
              </w:rPr>
              <w:t xml:space="preserve"> framework? </w:t>
            </w:r>
          </w:p>
          <w:p w14:paraId="3063275C" w14:textId="00866F49" w:rsidR="009D5E9A" w:rsidRDefault="009D5E9A" w:rsidP="00EF04DC">
            <w:pPr>
              <w:pStyle w:val="ListParagraph"/>
              <w:numPr>
                <w:ilvl w:val="0"/>
                <w:numId w:val="18"/>
              </w:numPr>
              <w:spacing w:after="120" w:line="220" w:lineRule="exact"/>
              <w:rPr>
                <w:rFonts w:ascii="Arial" w:hAnsi="Arial" w:cs="Arial"/>
                <w:sz w:val="18"/>
                <w:szCs w:val="18"/>
              </w:rPr>
            </w:pPr>
            <w:r>
              <w:rPr>
                <w:rFonts w:ascii="Arial" w:hAnsi="Arial" w:cs="Arial"/>
                <w:sz w:val="18"/>
                <w:szCs w:val="18"/>
              </w:rPr>
              <w:t xml:space="preserve">Does </w:t>
            </w:r>
            <w:r w:rsidR="0005040D">
              <w:rPr>
                <w:rFonts w:ascii="Arial" w:hAnsi="Arial" w:cs="Arial"/>
                <w:sz w:val="18"/>
                <w:szCs w:val="18"/>
              </w:rPr>
              <w:t xml:space="preserve">the </w:t>
            </w:r>
            <w:r w:rsidR="00E5460F">
              <w:rPr>
                <w:rFonts w:ascii="Arial" w:hAnsi="Arial" w:cs="Arial"/>
                <w:sz w:val="18"/>
                <w:szCs w:val="18"/>
              </w:rPr>
              <w:t>Vet Board</w:t>
            </w:r>
            <w:r>
              <w:rPr>
                <w:rFonts w:ascii="Arial" w:hAnsi="Arial" w:cs="Arial"/>
                <w:sz w:val="18"/>
                <w:szCs w:val="18"/>
              </w:rPr>
              <w:t xml:space="preserve">’s </w:t>
            </w:r>
            <w:proofErr w:type="spellStart"/>
            <w:r>
              <w:rPr>
                <w:rFonts w:ascii="Arial" w:hAnsi="Arial" w:cs="Arial"/>
                <w:sz w:val="18"/>
                <w:szCs w:val="18"/>
              </w:rPr>
              <w:t>SoE</w:t>
            </w:r>
            <w:proofErr w:type="spellEnd"/>
            <w:r>
              <w:rPr>
                <w:rFonts w:ascii="Arial" w:hAnsi="Arial" w:cs="Arial"/>
                <w:sz w:val="18"/>
                <w:szCs w:val="18"/>
              </w:rPr>
              <w:t xml:space="preserve"> include elements addressing recommended or suggested good regulatory practice in accordance with the </w:t>
            </w:r>
            <w:proofErr w:type="spellStart"/>
            <w:r>
              <w:rPr>
                <w:rFonts w:ascii="Arial" w:hAnsi="Arial" w:cs="Arial"/>
                <w:sz w:val="18"/>
                <w:szCs w:val="18"/>
              </w:rPr>
              <w:t>SoE</w:t>
            </w:r>
            <w:proofErr w:type="spellEnd"/>
            <w:r>
              <w:rPr>
                <w:rFonts w:ascii="Arial" w:hAnsi="Arial" w:cs="Arial"/>
                <w:sz w:val="18"/>
                <w:szCs w:val="18"/>
              </w:rPr>
              <w:t xml:space="preserve"> framework?  </w:t>
            </w:r>
          </w:p>
          <w:p w14:paraId="74D06766" w14:textId="2A9BA705" w:rsidR="00D600EA" w:rsidRPr="009D5E9A" w:rsidRDefault="00D600EA" w:rsidP="00D600EA">
            <w:pPr>
              <w:pStyle w:val="ListParagraph"/>
              <w:spacing w:after="120" w:line="220" w:lineRule="exact"/>
              <w:rPr>
                <w:rFonts w:ascii="Arial" w:hAnsi="Arial" w:cs="Arial"/>
                <w:sz w:val="18"/>
                <w:szCs w:val="18"/>
              </w:rPr>
            </w:pPr>
          </w:p>
        </w:tc>
      </w:tr>
      <w:tr w:rsidR="00C369D2" w:rsidRPr="002C221E" w14:paraId="7CD33B0D" w14:textId="77777777" w:rsidTr="00EF04DC">
        <w:tc>
          <w:tcPr>
            <w:tcW w:w="9016" w:type="dxa"/>
            <w:shd w:val="clear" w:color="auto" w:fill="FABF8F" w:themeFill="accent6" w:themeFillTint="99"/>
          </w:tcPr>
          <w:p w14:paraId="13E4D978" w14:textId="77777777" w:rsidR="00C369D2" w:rsidRPr="002C221E" w:rsidRDefault="00C369D2" w:rsidP="00C369D2">
            <w:pPr>
              <w:pStyle w:val="NoSpacing"/>
              <w:jc w:val="center"/>
              <w:rPr>
                <w:rFonts w:ascii="Arial" w:hAnsi="Arial" w:cs="Arial"/>
                <w:b/>
                <w:color w:val="595959" w:themeColor="text1" w:themeTint="A6"/>
                <w:sz w:val="18"/>
                <w:szCs w:val="18"/>
              </w:rPr>
            </w:pPr>
            <w:r w:rsidRPr="002C221E">
              <w:rPr>
                <w:rFonts w:ascii="Arial" w:hAnsi="Arial" w:cs="Arial"/>
                <w:b/>
                <w:color w:val="595959" w:themeColor="text1" w:themeTint="A6"/>
                <w:sz w:val="18"/>
                <w:szCs w:val="18"/>
              </w:rPr>
              <w:t>PROCESS</w:t>
            </w:r>
          </w:p>
          <w:p w14:paraId="4D77826C" w14:textId="77777777" w:rsidR="00C369D2" w:rsidRPr="002C221E" w:rsidRDefault="00C369D2" w:rsidP="00EF04DC">
            <w:pPr>
              <w:pStyle w:val="NoSpacing"/>
              <w:rPr>
                <w:rFonts w:ascii="Arial" w:hAnsi="Arial" w:cs="Arial"/>
                <w:b/>
                <w:color w:val="595959" w:themeColor="text1" w:themeTint="A6"/>
                <w:sz w:val="18"/>
                <w:szCs w:val="18"/>
              </w:rPr>
            </w:pPr>
          </w:p>
        </w:tc>
      </w:tr>
      <w:tr w:rsidR="009D5E9A" w14:paraId="1A5BAF2A" w14:textId="77777777" w:rsidTr="008C18F2">
        <w:tc>
          <w:tcPr>
            <w:tcW w:w="9016" w:type="dxa"/>
          </w:tcPr>
          <w:p w14:paraId="4E8D6F69" w14:textId="4067E65D" w:rsidR="009D5E9A" w:rsidRPr="00695200" w:rsidRDefault="009D5E9A" w:rsidP="009D5E9A">
            <w:pPr>
              <w:pStyle w:val="ListParagraph"/>
              <w:numPr>
                <w:ilvl w:val="0"/>
                <w:numId w:val="18"/>
              </w:numPr>
              <w:spacing w:after="120" w:line="220" w:lineRule="exact"/>
              <w:rPr>
                <w:rFonts w:ascii="Arial" w:hAnsi="Arial" w:cs="Arial"/>
                <w:sz w:val="18"/>
                <w:szCs w:val="18"/>
              </w:rPr>
            </w:pPr>
            <w:bookmarkStart w:id="52" w:name="_Hlk528051664"/>
            <w:r w:rsidRPr="00695200">
              <w:rPr>
                <w:rFonts w:ascii="Arial" w:hAnsi="Arial" w:cs="Arial"/>
                <w:sz w:val="18"/>
                <w:szCs w:val="18"/>
              </w:rPr>
              <w:t xml:space="preserve">Did </w:t>
            </w:r>
            <w:r w:rsidR="0005040D">
              <w:rPr>
                <w:rFonts w:ascii="Arial" w:hAnsi="Arial" w:cs="Arial"/>
                <w:sz w:val="18"/>
                <w:szCs w:val="18"/>
              </w:rPr>
              <w:t xml:space="preserve">the </w:t>
            </w:r>
            <w:r w:rsidR="00E5460F">
              <w:rPr>
                <w:rFonts w:ascii="Arial" w:hAnsi="Arial" w:cs="Arial"/>
                <w:sz w:val="18"/>
                <w:szCs w:val="18"/>
              </w:rPr>
              <w:t>Vet Board</w:t>
            </w:r>
            <w:r w:rsidRPr="00695200">
              <w:rPr>
                <w:rFonts w:ascii="Arial" w:hAnsi="Arial" w:cs="Arial"/>
                <w:sz w:val="18"/>
                <w:szCs w:val="18"/>
              </w:rPr>
              <w:t xml:space="preserve"> undertake a self-assessment process (or equivalent) as recommended by the </w:t>
            </w:r>
            <w:proofErr w:type="spellStart"/>
            <w:r w:rsidRPr="00695200">
              <w:rPr>
                <w:rFonts w:ascii="Arial" w:hAnsi="Arial" w:cs="Arial"/>
                <w:sz w:val="18"/>
                <w:szCs w:val="18"/>
              </w:rPr>
              <w:t>SoE</w:t>
            </w:r>
            <w:proofErr w:type="spellEnd"/>
            <w:r w:rsidRPr="00695200">
              <w:rPr>
                <w:rFonts w:ascii="Arial" w:hAnsi="Arial" w:cs="Arial"/>
                <w:sz w:val="18"/>
                <w:szCs w:val="18"/>
              </w:rPr>
              <w:t xml:space="preserve"> framework?</w:t>
            </w:r>
          </w:p>
          <w:p w14:paraId="22F7FB91" w14:textId="6CFD4305" w:rsidR="009D5E9A" w:rsidRPr="009428DA" w:rsidRDefault="009D5E9A" w:rsidP="009D5E9A">
            <w:pPr>
              <w:pStyle w:val="ListParagraph"/>
              <w:numPr>
                <w:ilvl w:val="0"/>
                <w:numId w:val="18"/>
              </w:numPr>
              <w:spacing w:after="120" w:line="220" w:lineRule="exact"/>
              <w:rPr>
                <w:rFonts w:ascii="Arial" w:hAnsi="Arial" w:cs="Arial"/>
                <w:sz w:val="18"/>
                <w:szCs w:val="18"/>
              </w:rPr>
            </w:pPr>
            <w:r w:rsidRPr="00695200">
              <w:rPr>
                <w:rFonts w:ascii="Arial" w:hAnsi="Arial" w:cs="Arial"/>
                <w:sz w:val="18"/>
                <w:szCs w:val="18"/>
              </w:rPr>
              <w:t xml:space="preserve">Were the elements of </w:t>
            </w:r>
            <w:r w:rsidR="0005040D">
              <w:rPr>
                <w:rFonts w:ascii="Arial" w:hAnsi="Arial" w:cs="Arial"/>
                <w:sz w:val="18"/>
                <w:szCs w:val="18"/>
              </w:rPr>
              <w:t xml:space="preserve">the </w:t>
            </w:r>
            <w:r w:rsidR="00E5460F">
              <w:rPr>
                <w:rFonts w:ascii="Arial" w:hAnsi="Arial" w:cs="Arial"/>
                <w:sz w:val="18"/>
                <w:szCs w:val="18"/>
              </w:rPr>
              <w:t>Vet Board</w:t>
            </w:r>
            <w:r>
              <w:rPr>
                <w:rFonts w:ascii="Arial" w:hAnsi="Arial" w:cs="Arial"/>
                <w:sz w:val="18"/>
                <w:szCs w:val="18"/>
              </w:rPr>
              <w:t xml:space="preserve">’s </w:t>
            </w:r>
            <w:proofErr w:type="spellStart"/>
            <w:r w:rsidRPr="00695200">
              <w:rPr>
                <w:rFonts w:ascii="Arial" w:hAnsi="Arial" w:cs="Arial"/>
                <w:sz w:val="18"/>
                <w:szCs w:val="18"/>
              </w:rPr>
              <w:t>SoE</w:t>
            </w:r>
            <w:proofErr w:type="spellEnd"/>
            <w:r w:rsidRPr="00695200">
              <w:rPr>
                <w:rFonts w:ascii="Arial" w:hAnsi="Arial" w:cs="Arial"/>
                <w:sz w:val="18"/>
                <w:szCs w:val="18"/>
              </w:rPr>
              <w:t xml:space="preserve"> informed by a good regulatory practice plan or equivalent? </w:t>
            </w:r>
          </w:p>
          <w:p w14:paraId="1E7ABD26" w14:textId="4B00F5D3" w:rsidR="009D5E9A" w:rsidRDefault="009D5E9A" w:rsidP="009D5E9A">
            <w:pPr>
              <w:pStyle w:val="ListParagraph"/>
              <w:numPr>
                <w:ilvl w:val="0"/>
                <w:numId w:val="18"/>
              </w:numPr>
              <w:spacing w:after="120" w:line="220" w:lineRule="exact"/>
              <w:rPr>
                <w:rFonts w:ascii="Arial" w:hAnsi="Arial" w:cs="Arial"/>
                <w:sz w:val="18"/>
                <w:szCs w:val="18"/>
              </w:rPr>
            </w:pPr>
            <w:r w:rsidRPr="009428DA">
              <w:rPr>
                <w:rFonts w:ascii="Arial" w:hAnsi="Arial" w:cs="Arial"/>
                <w:sz w:val="18"/>
                <w:szCs w:val="18"/>
              </w:rPr>
              <w:t xml:space="preserve">How were the actions in </w:t>
            </w:r>
            <w:r w:rsidR="0005040D">
              <w:rPr>
                <w:rFonts w:ascii="Arial" w:hAnsi="Arial" w:cs="Arial"/>
                <w:sz w:val="18"/>
                <w:szCs w:val="18"/>
              </w:rPr>
              <w:t xml:space="preserve">the </w:t>
            </w:r>
            <w:r w:rsidR="00E5460F">
              <w:rPr>
                <w:rFonts w:ascii="Arial" w:hAnsi="Arial" w:cs="Arial"/>
                <w:sz w:val="18"/>
                <w:szCs w:val="18"/>
              </w:rPr>
              <w:t>Vet Board</w:t>
            </w:r>
            <w:r w:rsidRPr="009428DA">
              <w:rPr>
                <w:rFonts w:ascii="Arial" w:hAnsi="Arial" w:cs="Arial"/>
                <w:sz w:val="18"/>
                <w:szCs w:val="18"/>
              </w:rPr>
              <w:t xml:space="preserve">’s </w:t>
            </w:r>
            <w:proofErr w:type="spellStart"/>
            <w:r w:rsidRPr="009428DA">
              <w:rPr>
                <w:rFonts w:ascii="Arial" w:hAnsi="Arial" w:cs="Arial"/>
                <w:sz w:val="18"/>
                <w:szCs w:val="18"/>
              </w:rPr>
              <w:t>SoE</w:t>
            </w:r>
            <w:proofErr w:type="spellEnd"/>
            <w:r w:rsidRPr="009428DA">
              <w:rPr>
                <w:rFonts w:ascii="Arial" w:hAnsi="Arial" w:cs="Arial"/>
                <w:sz w:val="18"/>
                <w:szCs w:val="18"/>
              </w:rPr>
              <w:t xml:space="preserve"> response determined?</w:t>
            </w:r>
            <w:r>
              <w:rPr>
                <w:rFonts w:ascii="Arial" w:hAnsi="Arial" w:cs="Arial"/>
                <w:sz w:val="18"/>
                <w:szCs w:val="18"/>
              </w:rPr>
              <w:t xml:space="preserve"> </w:t>
            </w:r>
          </w:p>
          <w:p w14:paraId="65B71B9E" w14:textId="7EE385C7" w:rsidR="009D5E9A" w:rsidRDefault="009D5E9A" w:rsidP="009D5E9A">
            <w:pPr>
              <w:pStyle w:val="ListParagraph"/>
              <w:numPr>
                <w:ilvl w:val="0"/>
                <w:numId w:val="18"/>
              </w:numPr>
              <w:spacing w:after="120" w:line="220" w:lineRule="exact"/>
              <w:rPr>
                <w:rFonts w:ascii="Arial" w:hAnsi="Arial" w:cs="Arial"/>
                <w:sz w:val="18"/>
                <w:szCs w:val="18"/>
              </w:rPr>
            </w:pPr>
            <w:bookmarkStart w:id="53" w:name="_Hlk528051684"/>
            <w:bookmarkEnd w:id="52"/>
            <w:r>
              <w:rPr>
                <w:rFonts w:ascii="Arial" w:hAnsi="Arial" w:cs="Arial"/>
                <w:sz w:val="18"/>
                <w:szCs w:val="18"/>
              </w:rPr>
              <w:t xml:space="preserve">What </w:t>
            </w:r>
            <w:r w:rsidRPr="009428DA">
              <w:rPr>
                <w:rFonts w:ascii="Arial" w:hAnsi="Arial" w:cs="Arial"/>
                <w:sz w:val="18"/>
                <w:szCs w:val="18"/>
              </w:rPr>
              <w:t>consultation</w:t>
            </w:r>
            <w:r>
              <w:rPr>
                <w:rFonts w:ascii="Arial" w:hAnsi="Arial" w:cs="Arial"/>
                <w:sz w:val="18"/>
                <w:szCs w:val="18"/>
              </w:rPr>
              <w:t xml:space="preserve"> process was used to develop the </w:t>
            </w:r>
            <w:proofErr w:type="spellStart"/>
            <w:r>
              <w:rPr>
                <w:rFonts w:ascii="Arial" w:hAnsi="Arial" w:cs="Arial"/>
                <w:sz w:val="18"/>
                <w:szCs w:val="18"/>
              </w:rPr>
              <w:t>SoE</w:t>
            </w:r>
            <w:proofErr w:type="spellEnd"/>
            <w:r>
              <w:rPr>
                <w:rFonts w:ascii="Arial" w:hAnsi="Arial" w:cs="Arial"/>
                <w:sz w:val="18"/>
                <w:szCs w:val="18"/>
              </w:rPr>
              <w:t xml:space="preserve"> and response, including</w:t>
            </w:r>
            <w:r w:rsidRPr="009428DA">
              <w:rPr>
                <w:rFonts w:ascii="Arial" w:hAnsi="Arial" w:cs="Arial"/>
                <w:sz w:val="18"/>
                <w:szCs w:val="18"/>
              </w:rPr>
              <w:t xml:space="preserve"> with </w:t>
            </w:r>
            <w:r w:rsidR="0005040D">
              <w:rPr>
                <w:rFonts w:ascii="Arial" w:hAnsi="Arial" w:cs="Arial"/>
                <w:sz w:val="18"/>
                <w:szCs w:val="18"/>
              </w:rPr>
              <w:t xml:space="preserve">the </w:t>
            </w:r>
            <w:r w:rsidR="00E5460F">
              <w:rPr>
                <w:rFonts w:ascii="Arial" w:hAnsi="Arial" w:cs="Arial"/>
                <w:sz w:val="18"/>
                <w:szCs w:val="18"/>
              </w:rPr>
              <w:t>Vet Board</w:t>
            </w:r>
            <w:r>
              <w:rPr>
                <w:rFonts w:ascii="Arial" w:hAnsi="Arial" w:cs="Arial"/>
                <w:sz w:val="18"/>
                <w:szCs w:val="18"/>
              </w:rPr>
              <w:t>’s</w:t>
            </w:r>
            <w:r w:rsidRPr="009428DA">
              <w:rPr>
                <w:rFonts w:ascii="Arial" w:hAnsi="Arial" w:cs="Arial"/>
                <w:sz w:val="18"/>
                <w:szCs w:val="18"/>
              </w:rPr>
              <w:t xml:space="preserve"> regulated community</w:t>
            </w:r>
            <w:r>
              <w:rPr>
                <w:rFonts w:ascii="Arial" w:hAnsi="Arial" w:cs="Arial"/>
                <w:sz w:val="18"/>
                <w:szCs w:val="18"/>
              </w:rPr>
              <w:t xml:space="preserve"> </w:t>
            </w:r>
            <w:r w:rsidRPr="009428DA">
              <w:rPr>
                <w:rFonts w:ascii="Arial" w:hAnsi="Arial" w:cs="Arial"/>
                <w:sz w:val="18"/>
                <w:szCs w:val="18"/>
              </w:rPr>
              <w:t>and the O</w:t>
            </w:r>
            <w:r>
              <w:rPr>
                <w:rFonts w:ascii="Arial" w:hAnsi="Arial" w:cs="Arial"/>
                <w:sz w:val="18"/>
                <w:szCs w:val="18"/>
              </w:rPr>
              <w:t xml:space="preserve">ffice of the </w:t>
            </w:r>
            <w:r w:rsidRPr="009428DA">
              <w:rPr>
                <w:rFonts w:ascii="Arial" w:hAnsi="Arial" w:cs="Arial"/>
                <w:sz w:val="18"/>
                <w:szCs w:val="18"/>
              </w:rPr>
              <w:t>C</w:t>
            </w:r>
            <w:r>
              <w:rPr>
                <w:rFonts w:ascii="Arial" w:hAnsi="Arial" w:cs="Arial"/>
                <w:sz w:val="18"/>
                <w:szCs w:val="18"/>
              </w:rPr>
              <w:t xml:space="preserve">ommissioner for </w:t>
            </w:r>
            <w:r w:rsidRPr="009428DA">
              <w:rPr>
                <w:rFonts w:ascii="Arial" w:hAnsi="Arial" w:cs="Arial"/>
                <w:sz w:val="18"/>
                <w:szCs w:val="18"/>
              </w:rPr>
              <w:t>B</w:t>
            </w:r>
            <w:r>
              <w:rPr>
                <w:rFonts w:ascii="Arial" w:hAnsi="Arial" w:cs="Arial"/>
                <w:sz w:val="18"/>
                <w:szCs w:val="18"/>
              </w:rPr>
              <w:t xml:space="preserve">etter </w:t>
            </w:r>
            <w:r w:rsidRPr="009428DA">
              <w:rPr>
                <w:rFonts w:ascii="Arial" w:hAnsi="Arial" w:cs="Arial"/>
                <w:sz w:val="18"/>
                <w:szCs w:val="18"/>
              </w:rPr>
              <w:t>R</w:t>
            </w:r>
            <w:r>
              <w:rPr>
                <w:rFonts w:ascii="Arial" w:hAnsi="Arial" w:cs="Arial"/>
                <w:sz w:val="18"/>
                <w:szCs w:val="18"/>
              </w:rPr>
              <w:t xml:space="preserve">egulation (‘Red Tape Commissioner’)?  </w:t>
            </w:r>
          </w:p>
          <w:p w14:paraId="3CAB5ACF" w14:textId="7990133C" w:rsidR="009D5E9A" w:rsidRDefault="009D5E9A" w:rsidP="009D5E9A">
            <w:pPr>
              <w:pStyle w:val="ListParagraph"/>
              <w:numPr>
                <w:ilvl w:val="0"/>
                <w:numId w:val="18"/>
              </w:numPr>
              <w:spacing w:after="120" w:line="220" w:lineRule="exact"/>
              <w:rPr>
                <w:rFonts w:ascii="Arial" w:hAnsi="Arial" w:cs="Arial"/>
                <w:sz w:val="18"/>
                <w:szCs w:val="18"/>
              </w:rPr>
            </w:pPr>
            <w:bookmarkStart w:id="54" w:name="_Hlk528051707"/>
            <w:bookmarkEnd w:id="53"/>
            <w:r w:rsidRPr="00EC559F">
              <w:rPr>
                <w:rFonts w:ascii="Arial" w:hAnsi="Arial" w:cs="Arial"/>
                <w:sz w:val="18"/>
                <w:szCs w:val="18"/>
              </w:rPr>
              <w:t xml:space="preserve">Has </w:t>
            </w:r>
            <w:r w:rsidR="0005040D">
              <w:rPr>
                <w:rFonts w:ascii="Arial" w:hAnsi="Arial" w:cs="Arial"/>
                <w:sz w:val="18"/>
                <w:szCs w:val="18"/>
              </w:rPr>
              <w:t xml:space="preserve">the </w:t>
            </w:r>
            <w:r w:rsidR="00E5460F">
              <w:rPr>
                <w:rFonts w:ascii="Arial" w:hAnsi="Arial" w:cs="Arial"/>
                <w:sz w:val="18"/>
                <w:szCs w:val="18"/>
              </w:rPr>
              <w:t>Vet Board</w:t>
            </w:r>
            <w:r w:rsidRPr="00EC559F">
              <w:rPr>
                <w:rFonts w:ascii="Arial" w:hAnsi="Arial" w:cs="Arial"/>
                <w:sz w:val="18"/>
                <w:szCs w:val="18"/>
              </w:rPr>
              <w:t xml:space="preserve"> report</w:t>
            </w:r>
            <w:r>
              <w:rPr>
                <w:rFonts w:ascii="Arial" w:hAnsi="Arial" w:cs="Arial"/>
                <w:sz w:val="18"/>
                <w:szCs w:val="18"/>
              </w:rPr>
              <w:t>ed</w:t>
            </w:r>
            <w:r w:rsidRPr="00EC559F">
              <w:rPr>
                <w:rFonts w:ascii="Arial" w:hAnsi="Arial" w:cs="Arial"/>
                <w:sz w:val="18"/>
                <w:szCs w:val="18"/>
              </w:rPr>
              <w:t xml:space="preserve"> publicly on its progress against </w:t>
            </w:r>
            <w:r>
              <w:rPr>
                <w:rFonts w:ascii="Arial" w:hAnsi="Arial" w:cs="Arial"/>
                <w:sz w:val="18"/>
                <w:szCs w:val="18"/>
              </w:rPr>
              <w:t xml:space="preserve">the </w:t>
            </w:r>
            <w:r w:rsidRPr="00EC559F">
              <w:rPr>
                <w:rFonts w:ascii="Arial" w:hAnsi="Arial" w:cs="Arial"/>
                <w:sz w:val="18"/>
                <w:szCs w:val="18"/>
              </w:rPr>
              <w:t xml:space="preserve">expectations and </w:t>
            </w:r>
            <w:r>
              <w:rPr>
                <w:rFonts w:ascii="Arial" w:hAnsi="Arial" w:cs="Arial"/>
                <w:sz w:val="18"/>
                <w:szCs w:val="18"/>
              </w:rPr>
              <w:t xml:space="preserve">targets in its </w:t>
            </w:r>
            <w:proofErr w:type="spellStart"/>
            <w:r>
              <w:rPr>
                <w:rFonts w:ascii="Arial" w:hAnsi="Arial" w:cs="Arial"/>
                <w:sz w:val="18"/>
                <w:szCs w:val="18"/>
              </w:rPr>
              <w:t>SoE</w:t>
            </w:r>
            <w:proofErr w:type="spellEnd"/>
            <w:r w:rsidRPr="00EC559F">
              <w:rPr>
                <w:rFonts w:ascii="Arial" w:hAnsi="Arial" w:cs="Arial"/>
                <w:sz w:val="18"/>
                <w:szCs w:val="18"/>
              </w:rPr>
              <w:t>?</w:t>
            </w:r>
            <w:r>
              <w:rPr>
                <w:rFonts w:ascii="Arial" w:hAnsi="Arial" w:cs="Arial"/>
                <w:sz w:val="18"/>
                <w:szCs w:val="18"/>
              </w:rPr>
              <w:t xml:space="preserve"> </w:t>
            </w:r>
          </w:p>
          <w:bookmarkEnd w:id="54"/>
          <w:p w14:paraId="14C78BF2" w14:textId="273ECD06" w:rsidR="009D5E9A" w:rsidRDefault="009D5E9A" w:rsidP="009D5E9A">
            <w:pPr>
              <w:pStyle w:val="ListParagraph"/>
              <w:numPr>
                <w:ilvl w:val="0"/>
                <w:numId w:val="18"/>
              </w:numPr>
              <w:spacing w:after="120" w:line="220" w:lineRule="exact"/>
              <w:rPr>
                <w:rFonts w:ascii="Arial" w:hAnsi="Arial" w:cs="Arial"/>
                <w:sz w:val="18"/>
                <w:szCs w:val="18"/>
              </w:rPr>
            </w:pPr>
            <w:r>
              <w:rPr>
                <w:rFonts w:ascii="Arial" w:hAnsi="Arial" w:cs="Arial"/>
                <w:sz w:val="18"/>
                <w:szCs w:val="18"/>
              </w:rPr>
              <w:t xml:space="preserve">Was the </w:t>
            </w:r>
            <w:proofErr w:type="spellStart"/>
            <w:r>
              <w:rPr>
                <w:rFonts w:ascii="Arial" w:hAnsi="Arial" w:cs="Arial"/>
                <w:sz w:val="18"/>
                <w:szCs w:val="18"/>
              </w:rPr>
              <w:t>SoE</w:t>
            </w:r>
            <w:proofErr w:type="spellEnd"/>
            <w:r>
              <w:rPr>
                <w:rFonts w:ascii="Arial" w:hAnsi="Arial" w:cs="Arial"/>
                <w:sz w:val="18"/>
                <w:szCs w:val="18"/>
              </w:rPr>
              <w:t xml:space="preserve"> issued to </w:t>
            </w:r>
            <w:r w:rsidR="0005040D">
              <w:rPr>
                <w:rFonts w:ascii="Arial" w:hAnsi="Arial" w:cs="Arial"/>
                <w:sz w:val="18"/>
                <w:szCs w:val="18"/>
              </w:rPr>
              <w:t xml:space="preserve">the </w:t>
            </w:r>
            <w:r w:rsidR="00E5460F">
              <w:rPr>
                <w:rFonts w:ascii="Arial" w:hAnsi="Arial" w:cs="Arial"/>
                <w:sz w:val="18"/>
                <w:szCs w:val="18"/>
              </w:rPr>
              <w:t>Vet Board</w:t>
            </w:r>
            <w:r>
              <w:rPr>
                <w:rFonts w:ascii="Arial" w:hAnsi="Arial" w:cs="Arial"/>
                <w:sz w:val="18"/>
                <w:szCs w:val="18"/>
              </w:rPr>
              <w:t xml:space="preserve"> in accordance with the </w:t>
            </w:r>
            <w:proofErr w:type="spellStart"/>
            <w:r>
              <w:rPr>
                <w:rFonts w:ascii="Arial" w:hAnsi="Arial" w:cs="Arial"/>
                <w:sz w:val="18"/>
                <w:szCs w:val="18"/>
              </w:rPr>
              <w:t>SoE</w:t>
            </w:r>
            <w:proofErr w:type="spellEnd"/>
            <w:r>
              <w:rPr>
                <w:rFonts w:ascii="Arial" w:hAnsi="Arial" w:cs="Arial"/>
                <w:sz w:val="18"/>
                <w:szCs w:val="18"/>
              </w:rPr>
              <w:t xml:space="preserve"> framework?  </w:t>
            </w:r>
          </w:p>
          <w:p w14:paraId="3141C188" w14:textId="2F4C2C22" w:rsidR="009D5E9A" w:rsidRDefault="009D5E9A" w:rsidP="00EF04DC">
            <w:pPr>
              <w:pStyle w:val="ListParagraph"/>
              <w:numPr>
                <w:ilvl w:val="0"/>
                <w:numId w:val="18"/>
              </w:numPr>
              <w:spacing w:after="120" w:line="220" w:lineRule="exact"/>
              <w:rPr>
                <w:rFonts w:ascii="Arial" w:hAnsi="Arial" w:cs="Arial"/>
                <w:sz w:val="18"/>
                <w:szCs w:val="18"/>
              </w:rPr>
            </w:pPr>
            <w:r>
              <w:rPr>
                <w:rFonts w:ascii="Arial" w:hAnsi="Arial" w:cs="Arial"/>
                <w:sz w:val="18"/>
                <w:szCs w:val="18"/>
              </w:rPr>
              <w:t xml:space="preserve">Have </w:t>
            </w:r>
            <w:r w:rsidR="0005040D">
              <w:rPr>
                <w:rFonts w:ascii="Arial" w:hAnsi="Arial" w:cs="Arial"/>
                <w:sz w:val="18"/>
                <w:szCs w:val="18"/>
              </w:rPr>
              <w:t xml:space="preserve">the </w:t>
            </w:r>
            <w:r w:rsidR="00E5460F">
              <w:rPr>
                <w:rFonts w:ascii="Arial" w:hAnsi="Arial" w:cs="Arial"/>
                <w:sz w:val="18"/>
                <w:szCs w:val="18"/>
              </w:rPr>
              <w:t>Vet Board</w:t>
            </w:r>
            <w:r>
              <w:rPr>
                <w:rFonts w:ascii="Arial" w:hAnsi="Arial" w:cs="Arial"/>
                <w:sz w:val="18"/>
                <w:szCs w:val="18"/>
              </w:rPr>
              <w:t xml:space="preserve">’s </w:t>
            </w:r>
            <w:proofErr w:type="spellStart"/>
            <w:r>
              <w:rPr>
                <w:rFonts w:ascii="Arial" w:hAnsi="Arial" w:cs="Arial"/>
                <w:sz w:val="18"/>
                <w:szCs w:val="18"/>
              </w:rPr>
              <w:t>SoE</w:t>
            </w:r>
            <w:proofErr w:type="spellEnd"/>
            <w:r>
              <w:rPr>
                <w:rFonts w:ascii="Arial" w:hAnsi="Arial" w:cs="Arial"/>
                <w:sz w:val="18"/>
                <w:szCs w:val="18"/>
              </w:rPr>
              <w:t xml:space="preserve"> and response both been published on </w:t>
            </w:r>
            <w:r w:rsidR="0005040D">
              <w:rPr>
                <w:rFonts w:ascii="Arial" w:hAnsi="Arial" w:cs="Arial"/>
                <w:sz w:val="18"/>
                <w:szCs w:val="18"/>
              </w:rPr>
              <w:t>Vet Board</w:t>
            </w:r>
            <w:r>
              <w:rPr>
                <w:rFonts w:ascii="Arial" w:hAnsi="Arial" w:cs="Arial"/>
                <w:sz w:val="18"/>
                <w:szCs w:val="18"/>
              </w:rPr>
              <w:t xml:space="preserve">’s website in accordance with the </w:t>
            </w:r>
            <w:proofErr w:type="spellStart"/>
            <w:r>
              <w:rPr>
                <w:rFonts w:ascii="Arial" w:hAnsi="Arial" w:cs="Arial"/>
                <w:sz w:val="18"/>
                <w:szCs w:val="18"/>
              </w:rPr>
              <w:t>SoE</w:t>
            </w:r>
            <w:proofErr w:type="spellEnd"/>
            <w:r>
              <w:rPr>
                <w:rFonts w:ascii="Arial" w:hAnsi="Arial" w:cs="Arial"/>
                <w:sz w:val="18"/>
                <w:szCs w:val="18"/>
              </w:rPr>
              <w:t xml:space="preserve"> framework?</w:t>
            </w:r>
          </w:p>
          <w:p w14:paraId="46508719" w14:textId="66E9C544" w:rsidR="00D600EA" w:rsidRPr="009D5E9A" w:rsidRDefault="00D600EA" w:rsidP="00D600EA">
            <w:pPr>
              <w:pStyle w:val="ListParagraph"/>
              <w:spacing w:after="120" w:line="220" w:lineRule="exact"/>
              <w:rPr>
                <w:rFonts w:ascii="Arial" w:hAnsi="Arial" w:cs="Arial"/>
                <w:sz w:val="18"/>
                <w:szCs w:val="18"/>
              </w:rPr>
            </w:pPr>
          </w:p>
        </w:tc>
      </w:tr>
      <w:tr w:rsidR="00C369D2" w:rsidRPr="002C221E" w14:paraId="0C42CDA1" w14:textId="77777777" w:rsidTr="00EF04DC">
        <w:tc>
          <w:tcPr>
            <w:tcW w:w="9016" w:type="dxa"/>
            <w:shd w:val="clear" w:color="auto" w:fill="FABF8F" w:themeFill="accent6" w:themeFillTint="99"/>
          </w:tcPr>
          <w:p w14:paraId="4A5B9302" w14:textId="77777777" w:rsidR="00C369D2" w:rsidRPr="002C221E" w:rsidRDefault="00C369D2" w:rsidP="00C369D2">
            <w:pPr>
              <w:pStyle w:val="NoSpacing"/>
              <w:jc w:val="center"/>
              <w:rPr>
                <w:rFonts w:ascii="Arial" w:hAnsi="Arial" w:cs="Arial"/>
                <w:b/>
                <w:color w:val="595959" w:themeColor="text1" w:themeTint="A6"/>
                <w:sz w:val="18"/>
                <w:szCs w:val="18"/>
              </w:rPr>
            </w:pPr>
            <w:r w:rsidRPr="002C221E">
              <w:rPr>
                <w:rFonts w:ascii="Arial" w:hAnsi="Arial" w:cs="Arial"/>
                <w:b/>
                <w:color w:val="595959" w:themeColor="text1" w:themeTint="A6"/>
                <w:sz w:val="18"/>
                <w:szCs w:val="18"/>
              </w:rPr>
              <w:t>EFFECT (SUPPORTING OUTCOMES)</w:t>
            </w:r>
          </w:p>
          <w:p w14:paraId="362388C5" w14:textId="77777777" w:rsidR="00C369D2" w:rsidRPr="002C221E" w:rsidRDefault="00C369D2" w:rsidP="00EF04DC">
            <w:pPr>
              <w:pStyle w:val="NoSpacing"/>
              <w:rPr>
                <w:rFonts w:ascii="Arial" w:hAnsi="Arial" w:cs="Arial"/>
                <w:b/>
                <w:color w:val="595959" w:themeColor="text1" w:themeTint="A6"/>
                <w:sz w:val="18"/>
                <w:szCs w:val="18"/>
              </w:rPr>
            </w:pPr>
          </w:p>
        </w:tc>
      </w:tr>
      <w:tr w:rsidR="009D5E9A" w14:paraId="011F4E3A" w14:textId="77777777" w:rsidTr="008C18F2">
        <w:tc>
          <w:tcPr>
            <w:tcW w:w="9016" w:type="dxa"/>
          </w:tcPr>
          <w:p w14:paraId="79D747B7" w14:textId="4B31DD9B" w:rsidR="009D5E9A" w:rsidRDefault="009D5E9A" w:rsidP="009D5E9A">
            <w:pPr>
              <w:pStyle w:val="ListParagraph"/>
              <w:numPr>
                <w:ilvl w:val="0"/>
                <w:numId w:val="18"/>
              </w:numPr>
              <w:spacing w:after="120" w:line="220" w:lineRule="exact"/>
              <w:rPr>
                <w:rFonts w:ascii="Arial" w:hAnsi="Arial" w:cs="Arial"/>
                <w:sz w:val="18"/>
                <w:szCs w:val="18"/>
              </w:rPr>
            </w:pPr>
            <w:r>
              <w:rPr>
                <w:rFonts w:ascii="Arial" w:hAnsi="Arial" w:cs="Arial"/>
                <w:sz w:val="18"/>
                <w:szCs w:val="18"/>
              </w:rPr>
              <w:t xml:space="preserve">Does </w:t>
            </w:r>
            <w:r w:rsidR="0005040D">
              <w:rPr>
                <w:rFonts w:ascii="Arial" w:hAnsi="Arial" w:cs="Arial"/>
                <w:sz w:val="18"/>
                <w:szCs w:val="18"/>
              </w:rPr>
              <w:t xml:space="preserve">the </w:t>
            </w:r>
            <w:r w:rsidR="00E5460F">
              <w:rPr>
                <w:rFonts w:ascii="Arial" w:hAnsi="Arial" w:cs="Arial"/>
                <w:sz w:val="18"/>
                <w:szCs w:val="18"/>
              </w:rPr>
              <w:t>Vet Board</w:t>
            </w:r>
            <w:r>
              <w:rPr>
                <w:rFonts w:ascii="Arial" w:hAnsi="Arial" w:cs="Arial"/>
                <w:sz w:val="18"/>
                <w:szCs w:val="18"/>
              </w:rPr>
              <w:t xml:space="preserve">’s </w:t>
            </w:r>
            <w:proofErr w:type="spellStart"/>
            <w:r>
              <w:rPr>
                <w:rFonts w:ascii="Arial" w:hAnsi="Arial" w:cs="Arial"/>
                <w:sz w:val="18"/>
                <w:szCs w:val="18"/>
              </w:rPr>
              <w:t>SoE</w:t>
            </w:r>
            <w:proofErr w:type="spellEnd"/>
            <w:r>
              <w:rPr>
                <w:rFonts w:ascii="Arial" w:hAnsi="Arial" w:cs="Arial"/>
                <w:sz w:val="18"/>
                <w:szCs w:val="18"/>
              </w:rPr>
              <w:t xml:space="preserve"> and response articulate the public outcomes it is seeking to support and how this aligns to broader DEDJTR and/or Government objectives? </w:t>
            </w:r>
          </w:p>
          <w:p w14:paraId="52E73A74" w14:textId="530F5DD2" w:rsidR="009D5E9A" w:rsidRDefault="009D5E9A" w:rsidP="009D5E9A">
            <w:pPr>
              <w:pStyle w:val="ListParagraph"/>
              <w:numPr>
                <w:ilvl w:val="0"/>
                <w:numId w:val="18"/>
              </w:numPr>
              <w:spacing w:after="120" w:line="220" w:lineRule="exact"/>
              <w:rPr>
                <w:rFonts w:ascii="Arial" w:hAnsi="Arial" w:cs="Arial"/>
                <w:sz w:val="18"/>
                <w:szCs w:val="18"/>
              </w:rPr>
            </w:pPr>
            <w:r>
              <w:rPr>
                <w:rFonts w:ascii="Arial" w:hAnsi="Arial" w:cs="Arial"/>
                <w:sz w:val="18"/>
                <w:szCs w:val="18"/>
              </w:rPr>
              <w:t xml:space="preserve">Does </w:t>
            </w:r>
            <w:r w:rsidR="0005040D">
              <w:rPr>
                <w:rFonts w:ascii="Arial" w:hAnsi="Arial" w:cs="Arial"/>
                <w:sz w:val="18"/>
                <w:szCs w:val="18"/>
              </w:rPr>
              <w:t xml:space="preserve">the </w:t>
            </w:r>
            <w:r w:rsidR="00E5460F">
              <w:rPr>
                <w:rFonts w:ascii="Arial" w:hAnsi="Arial" w:cs="Arial"/>
                <w:sz w:val="18"/>
                <w:szCs w:val="18"/>
              </w:rPr>
              <w:t>Vet Board</w:t>
            </w:r>
            <w:r>
              <w:rPr>
                <w:rFonts w:ascii="Arial" w:hAnsi="Arial" w:cs="Arial"/>
                <w:sz w:val="18"/>
                <w:szCs w:val="18"/>
              </w:rPr>
              <w:t xml:space="preserve">’s </w:t>
            </w:r>
            <w:proofErr w:type="spellStart"/>
            <w:r>
              <w:rPr>
                <w:rFonts w:ascii="Arial" w:hAnsi="Arial" w:cs="Arial"/>
                <w:sz w:val="18"/>
                <w:szCs w:val="18"/>
              </w:rPr>
              <w:t>SoE</w:t>
            </w:r>
            <w:proofErr w:type="spellEnd"/>
            <w:r>
              <w:rPr>
                <w:rFonts w:ascii="Arial" w:hAnsi="Arial" w:cs="Arial"/>
                <w:sz w:val="18"/>
                <w:szCs w:val="18"/>
              </w:rPr>
              <w:t xml:space="preserve"> and response demonstrate a rationale for reduction of regulatory burden and achievement of regulatory outcomes? </w:t>
            </w:r>
          </w:p>
          <w:p w14:paraId="0BBA6177" w14:textId="0F8F2B51" w:rsidR="009D5E9A" w:rsidRDefault="009D5E9A" w:rsidP="009D5E9A">
            <w:pPr>
              <w:pStyle w:val="ListParagraph"/>
              <w:numPr>
                <w:ilvl w:val="0"/>
                <w:numId w:val="18"/>
              </w:numPr>
              <w:spacing w:after="120" w:line="220" w:lineRule="exact"/>
              <w:rPr>
                <w:rFonts w:ascii="Arial" w:hAnsi="Arial" w:cs="Arial"/>
                <w:sz w:val="18"/>
                <w:szCs w:val="18"/>
              </w:rPr>
            </w:pPr>
            <w:r>
              <w:rPr>
                <w:rFonts w:ascii="Arial" w:hAnsi="Arial" w:cs="Arial"/>
                <w:sz w:val="18"/>
                <w:szCs w:val="18"/>
              </w:rPr>
              <w:t xml:space="preserve">Does </w:t>
            </w:r>
            <w:r w:rsidR="0005040D">
              <w:rPr>
                <w:rFonts w:ascii="Arial" w:hAnsi="Arial" w:cs="Arial"/>
                <w:sz w:val="18"/>
                <w:szCs w:val="18"/>
              </w:rPr>
              <w:t xml:space="preserve">the </w:t>
            </w:r>
            <w:r w:rsidR="00E5460F">
              <w:rPr>
                <w:rFonts w:ascii="Arial" w:hAnsi="Arial" w:cs="Arial"/>
                <w:sz w:val="18"/>
                <w:szCs w:val="18"/>
              </w:rPr>
              <w:t>Vet Board</w:t>
            </w:r>
            <w:r>
              <w:rPr>
                <w:rFonts w:ascii="Arial" w:hAnsi="Arial" w:cs="Arial"/>
                <w:sz w:val="18"/>
                <w:szCs w:val="18"/>
              </w:rPr>
              <w:t xml:space="preserve">’s </w:t>
            </w:r>
            <w:proofErr w:type="spellStart"/>
            <w:r>
              <w:rPr>
                <w:rFonts w:ascii="Arial" w:hAnsi="Arial" w:cs="Arial"/>
                <w:sz w:val="18"/>
                <w:szCs w:val="18"/>
              </w:rPr>
              <w:t>SoE</w:t>
            </w:r>
            <w:proofErr w:type="spellEnd"/>
            <w:r>
              <w:rPr>
                <w:rFonts w:ascii="Arial" w:hAnsi="Arial" w:cs="Arial"/>
                <w:sz w:val="18"/>
                <w:szCs w:val="18"/>
              </w:rPr>
              <w:t xml:space="preserve"> and response foster regulatory stewardship? </w:t>
            </w:r>
          </w:p>
          <w:p w14:paraId="0839C63C" w14:textId="027D76BB" w:rsidR="009D5E9A" w:rsidRDefault="009D5E9A" w:rsidP="009D5E9A">
            <w:pPr>
              <w:pStyle w:val="ListParagraph"/>
              <w:numPr>
                <w:ilvl w:val="0"/>
                <w:numId w:val="18"/>
              </w:numPr>
              <w:spacing w:after="120" w:line="220" w:lineRule="exact"/>
              <w:rPr>
                <w:rFonts w:ascii="Arial" w:hAnsi="Arial" w:cs="Arial"/>
                <w:sz w:val="18"/>
                <w:szCs w:val="18"/>
              </w:rPr>
            </w:pPr>
            <w:r>
              <w:rPr>
                <w:rFonts w:ascii="Arial" w:hAnsi="Arial" w:cs="Arial"/>
                <w:sz w:val="18"/>
                <w:szCs w:val="18"/>
              </w:rPr>
              <w:t xml:space="preserve">Is </w:t>
            </w:r>
            <w:r w:rsidR="0005040D">
              <w:rPr>
                <w:rFonts w:ascii="Arial" w:hAnsi="Arial" w:cs="Arial"/>
                <w:sz w:val="18"/>
                <w:szCs w:val="18"/>
              </w:rPr>
              <w:t xml:space="preserve">the </w:t>
            </w:r>
            <w:r w:rsidR="00E5460F">
              <w:rPr>
                <w:rFonts w:ascii="Arial" w:hAnsi="Arial" w:cs="Arial"/>
                <w:sz w:val="18"/>
                <w:szCs w:val="18"/>
              </w:rPr>
              <w:t>Vet Board</w:t>
            </w:r>
            <w:r>
              <w:rPr>
                <w:rFonts w:ascii="Arial" w:hAnsi="Arial" w:cs="Arial"/>
                <w:sz w:val="18"/>
                <w:szCs w:val="18"/>
              </w:rPr>
              <w:t xml:space="preserve">’s </w:t>
            </w:r>
            <w:proofErr w:type="spellStart"/>
            <w:r>
              <w:rPr>
                <w:rFonts w:ascii="Arial" w:hAnsi="Arial" w:cs="Arial"/>
                <w:sz w:val="18"/>
                <w:szCs w:val="18"/>
              </w:rPr>
              <w:t>SoE</w:t>
            </w:r>
            <w:proofErr w:type="spellEnd"/>
            <w:r>
              <w:rPr>
                <w:rFonts w:ascii="Arial" w:hAnsi="Arial" w:cs="Arial"/>
                <w:sz w:val="18"/>
                <w:szCs w:val="18"/>
              </w:rPr>
              <w:t xml:space="preserve"> and response proportionate to the scope of </w:t>
            </w:r>
            <w:r w:rsidR="00944DEB">
              <w:rPr>
                <w:rFonts w:ascii="Arial" w:hAnsi="Arial" w:cs="Arial"/>
                <w:sz w:val="18"/>
                <w:szCs w:val="18"/>
              </w:rPr>
              <w:t xml:space="preserve">the </w:t>
            </w:r>
            <w:r w:rsidR="00E934E5">
              <w:rPr>
                <w:rFonts w:ascii="Arial" w:hAnsi="Arial" w:cs="Arial"/>
                <w:sz w:val="18"/>
                <w:szCs w:val="18"/>
              </w:rPr>
              <w:t>Vet Board</w:t>
            </w:r>
            <w:r>
              <w:rPr>
                <w:rFonts w:ascii="Arial" w:hAnsi="Arial" w:cs="Arial"/>
                <w:sz w:val="18"/>
                <w:szCs w:val="18"/>
              </w:rPr>
              <w:t xml:space="preserve">’s remit and the scale of its resources? </w:t>
            </w:r>
          </w:p>
          <w:p w14:paraId="1B560294" w14:textId="22408F2B" w:rsidR="009D5E9A" w:rsidRDefault="009D5E9A" w:rsidP="00EF04DC">
            <w:pPr>
              <w:pStyle w:val="ListParagraph"/>
              <w:numPr>
                <w:ilvl w:val="0"/>
                <w:numId w:val="18"/>
              </w:numPr>
              <w:spacing w:after="120" w:line="220" w:lineRule="exact"/>
              <w:rPr>
                <w:rFonts w:ascii="Arial" w:hAnsi="Arial" w:cs="Arial"/>
                <w:sz w:val="18"/>
                <w:szCs w:val="18"/>
              </w:rPr>
            </w:pPr>
            <w:r>
              <w:rPr>
                <w:rFonts w:ascii="Arial" w:hAnsi="Arial" w:cs="Arial"/>
                <w:sz w:val="18"/>
                <w:szCs w:val="18"/>
              </w:rPr>
              <w:t xml:space="preserve">Does </w:t>
            </w:r>
            <w:r w:rsidR="00E934E5">
              <w:rPr>
                <w:rFonts w:ascii="Arial" w:hAnsi="Arial" w:cs="Arial"/>
                <w:sz w:val="18"/>
                <w:szCs w:val="18"/>
              </w:rPr>
              <w:t xml:space="preserve">the </w:t>
            </w:r>
            <w:r w:rsidR="00E5460F">
              <w:rPr>
                <w:rFonts w:ascii="Arial" w:hAnsi="Arial" w:cs="Arial"/>
                <w:sz w:val="18"/>
                <w:szCs w:val="18"/>
              </w:rPr>
              <w:t>Vet Board</w:t>
            </w:r>
            <w:r>
              <w:rPr>
                <w:rFonts w:ascii="Arial" w:hAnsi="Arial" w:cs="Arial"/>
                <w:sz w:val="18"/>
                <w:szCs w:val="18"/>
              </w:rPr>
              <w:t xml:space="preserve">’s </w:t>
            </w:r>
            <w:proofErr w:type="spellStart"/>
            <w:r>
              <w:rPr>
                <w:rFonts w:ascii="Arial" w:hAnsi="Arial" w:cs="Arial"/>
                <w:sz w:val="18"/>
                <w:szCs w:val="18"/>
              </w:rPr>
              <w:t>SoE</w:t>
            </w:r>
            <w:proofErr w:type="spellEnd"/>
            <w:r>
              <w:rPr>
                <w:rFonts w:ascii="Arial" w:hAnsi="Arial" w:cs="Arial"/>
                <w:sz w:val="18"/>
                <w:szCs w:val="18"/>
              </w:rPr>
              <w:t xml:space="preserve"> and response facilitate recognition of the public value created through </w:t>
            </w:r>
            <w:r w:rsidR="00E934E5">
              <w:rPr>
                <w:rFonts w:ascii="Arial" w:hAnsi="Arial" w:cs="Arial"/>
                <w:sz w:val="18"/>
                <w:szCs w:val="18"/>
              </w:rPr>
              <w:t>Vet Board</w:t>
            </w:r>
            <w:r>
              <w:rPr>
                <w:rFonts w:ascii="Arial" w:hAnsi="Arial" w:cs="Arial"/>
                <w:sz w:val="18"/>
                <w:szCs w:val="18"/>
              </w:rPr>
              <w:t xml:space="preserve">’s regulatory activities? </w:t>
            </w:r>
          </w:p>
          <w:p w14:paraId="2B76A186" w14:textId="42AA539A" w:rsidR="00D600EA" w:rsidRPr="009D5E9A" w:rsidRDefault="00D600EA" w:rsidP="00D600EA">
            <w:pPr>
              <w:pStyle w:val="ListParagraph"/>
              <w:spacing w:after="120" w:line="220" w:lineRule="exact"/>
              <w:rPr>
                <w:rFonts w:ascii="Arial" w:hAnsi="Arial" w:cs="Arial"/>
                <w:sz w:val="18"/>
                <w:szCs w:val="18"/>
              </w:rPr>
            </w:pPr>
          </w:p>
        </w:tc>
      </w:tr>
    </w:tbl>
    <w:p w14:paraId="2908B18E" w14:textId="47A27BF7" w:rsidR="00C960A8" w:rsidRDefault="00C960A8" w:rsidP="004371F6"/>
    <w:p w14:paraId="3F7A9BEE" w14:textId="77777777" w:rsidR="00C960A8" w:rsidRDefault="00C960A8">
      <w:pPr>
        <w:spacing w:before="0" w:after="200" w:line="276" w:lineRule="auto"/>
      </w:pPr>
      <w:r>
        <w:br w:type="page"/>
      </w:r>
    </w:p>
    <w:p w14:paraId="29D64405" w14:textId="77777777" w:rsidR="00C960A8" w:rsidRDefault="00C960A8" w:rsidP="00C960A8">
      <w:pPr>
        <w:pStyle w:val="authorisedby"/>
      </w:pPr>
    </w:p>
    <w:p w14:paraId="1BFC468A" w14:textId="77777777" w:rsidR="00C960A8" w:rsidRPr="00164461" w:rsidRDefault="00C960A8" w:rsidP="00C960A8">
      <w:pPr>
        <w:pStyle w:val="authorisedby"/>
      </w:pPr>
      <w:r w:rsidRPr="00164461">
        <w:t xml:space="preserve">Authorised by the </w:t>
      </w:r>
      <w:r>
        <w:t>Chief Executive, Agriculture Victoria</w:t>
      </w:r>
      <w:r w:rsidRPr="00164461">
        <w:br/>
      </w:r>
      <w:r w:rsidRPr="00B33D08">
        <w:t>Department of Economic Development, Jobs, Transport and Resources</w:t>
      </w:r>
      <w:r w:rsidRPr="00164461">
        <w:br/>
        <w:t>1 Spring Street Melbourne Victor</w:t>
      </w:r>
      <w:r>
        <w:t>ia 3000</w:t>
      </w:r>
      <w:r>
        <w:br/>
      </w:r>
      <w:r w:rsidRPr="00E2142B">
        <w:t>Telephone (03) 9651 9999</w:t>
      </w:r>
    </w:p>
    <w:p w14:paraId="382AE3FD" w14:textId="77777777" w:rsidR="00C960A8" w:rsidRPr="00164461" w:rsidRDefault="00C960A8" w:rsidP="00C960A8">
      <w:pPr>
        <w:pStyle w:val="authorisedby"/>
      </w:pPr>
      <w:r w:rsidRPr="00164461">
        <w:t xml:space="preserve">© Copyright State of Victoria, </w:t>
      </w:r>
      <w:r w:rsidRPr="00164461">
        <w:br/>
      </w:r>
      <w:r w:rsidRPr="00B33D08">
        <w:t>Department of Economic Development, Jobs, Transport and Resources</w:t>
      </w:r>
      <w:r>
        <w:t xml:space="preserve"> 2018</w:t>
      </w:r>
    </w:p>
    <w:p w14:paraId="6079422A" w14:textId="77777777" w:rsidR="00C960A8" w:rsidRPr="00164461" w:rsidRDefault="00C960A8" w:rsidP="00C960A8">
      <w:pPr>
        <w:pStyle w:val="authorisedby"/>
      </w:pPr>
      <w:r w:rsidRPr="00164461">
        <w:t>Except for any logos, emblems, trademarks, artwork and photography this document is made available under the terms of the Creative Commons Attribution 3.0 Australia license.</w:t>
      </w:r>
    </w:p>
    <w:p w14:paraId="26EC3C9F" w14:textId="77777777" w:rsidR="00C960A8" w:rsidRPr="004477B6" w:rsidRDefault="00C960A8" w:rsidP="00C960A8">
      <w:pPr>
        <w:pStyle w:val="authorisedby"/>
      </w:pPr>
      <w:r w:rsidRPr="00164461">
        <w:t xml:space="preserve">This document is also available in an accessible format at </w:t>
      </w:r>
      <w:r>
        <w:t>economicdevelopment.vic.gov.au</w:t>
      </w:r>
    </w:p>
    <w:p w14:paraId="57BB4DBF" w14:textId="77777777" w:rsidR="00231D11" w:rsidRPr="004371F6" w:rsidRDefault="00231D11" w:rsidP="004371F6"/>
    <w:sectPr w:rsidR="00231D11" w:rsidRPr="004371F6" w:rsidSect="004B3FC2">
      <w:headerReference w:type="default" r:id="rId9"/>
      <w:footerReference w:type="default" r:id="rId10"/>
      <w:pgSz w:w="11906" w:h="16838"/>
      <w:pgMar w:top="1440" w:right="1440" w:bottom="1440" w:left="1440" w:header="708" w:footer="1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7D365" w14:textId="77777777" w:rsidR="00B166E9" w:rsidRDefault="00B166E9" w:rsidP="00BF2BA6">
      <w:pPr>
        <w:spacing w:before="0" w:after="0"/>
      </w:pPr>
      <w:r>
        <w:separator/>
      </w:r>
    </w:p>
  </w:endnote>
  <w:endnote w:type="continuationSeparator" w:id="0">
    <w:p w14:paraId="64C91D67" w14:textId="77777777" w:rsidR="00B166E9" w:rsidRDefault="00B166E9" w:rsidP="00BF2B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IC-SemiBold">
    <w:altName w:val="Times New Roman"/>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rPr>
      <w:id w:val="1097994085"/>
      <w:docPartObj>
        <w:docPartGallery w:val="Page Numbers (Bottom of Page)"/>
        <w:docPartUnique/>
      </w:docPartObj>
    </w:sdtPr>
    <w:sdtEndPr>
      <w:rPr>
        <w:color w:val="53565A"/>
        <w:sz w:val="16"/>
        <w:szCs w:val="16"/>
      </w:rPr>
    </w:sdtEndPr>
    <w:sdtContent>
      <w:sdt>
        <w:sdtPr>
          <w:rPr>
            <w:color w:val="000000"/>
          </w:rPr>
          <w:id w:val="-726373178"/>
          <w:docPartObj>
            <w:docPartGallery w:val="Page Numbers (Top of Page)"/>
            <w:docPartUnique/>
          </w:docPartObj>
        </w:sdtPr>
        <w:sdtEndPr>
          <w:rPr>
            <w:color w:val="53565A"/>
            <w:sz w:val="16"/>
            <w:szCs w:val="16"/>
          </w:rPr>
        </w:sdtEndPr>
        <w:sdtContent>
          <w:p w14:paraId="2EB13279" w14:textId="77777777" w:rsidR="00E5460F" w:rsidRDefault="00E5460F" w:rsidP="007646AA">
            <w:pPr>
              <w:pStyle w:val="Footer"/>
              <w:tabs>
                <w:tab w:val="clear" w:pos="8640"/>
                <w:tab w:val="right" w:pos="9072"/>
              </w:tabs>
              <w:jc w:val="center"/>
              <w:rPr>
                <w:b/>
                <w:bCs/>
                <w:sz w:val="24"/>
                <w:szCs w:val="24"/>
              </w:rPr>
            </w:pPr>
          </w:p>
          <w:p w14:paraId="5EEA1337" w14:textId="1EC2E30D" w:rsidR="00E5460F" w:rsidRDefault="00E5460F" w:rsidP="007646AA">
            <w:pPr>
              <w:pStyle w:val="Footer"/>
              <w:tabs>
                <w:tab w:val="clear" w:pos="8640"/>
                <w:tab w:val="right" w:pos="9072"/>
              </w:tabs>
              <w:rPr>
                <w:b/>
                <w:bCs/>
                <w:sz w:val="24"/>
                <w:szCs w:val="24"/>
              </w:rPr>
            </w:pPr>
            <w:r>
              <w:rPr>
                <w:sz w:val="16"/>
                <w:szCs w:val="16"/>
              </w:rPr>
              <w:tab/>
            </w:r>
            <w:r>
              <w:rPr>
                <w:sz w:val="16"/>
                <w:szCs w:val="16"/>
              </w:rPr>
              <w:tab/>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p w14:paraId="54F0005B" w14:textId="77777777" w:rsidR="00E5460F" w:rsidRPr="00133F06" w:rsidRDefault="00436C3F" w:rsidP="007646AA">
            <w:pPr>
              <w:pStyle w:val="footerinfo"/>
              <w:tabs>
                <w:tab w:val="right" w:pos="8931"/>
              </w:tabs>
              <w:rPr>
                <w:sz w:val="16"/>
                <w:szCs w:val="16"/>
              </w:rPr>
            </w:pPr>
          </w:p>
        </w:sdtContent>
      </w:sdt>
    </w:sdtContent>
  </w:sdt>
  <w:p w14:paraId="164A7D46" w14:textId="77777777" w:rsidR="00E5460F" w:rsidRDefault="00E5460F" w:rsidP="009E692C">
    <w:pPr>
      <w:pStyle w:val="Footer"/>
      <w:tabs>
        <w:tab w:val="clear" w:pos="4320"/>
        <w:tab w:val="clear" w:pos="8640"/>
        <w:tab w:val="left" w:pos="560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E0D72" w14:textId="77777777" w:rsidR="00B166E9" w:rsidRDefault="00B166E9" w:rsidP="00BF2BA6">
      <w:pPr>
        <w:spacing w:before="0" w:after="0"/>
      </w:pPr>
      <w:r>
        <w:separator/>
      </w:r>
    </w:p>
  </w:footnote>
  <w:footnote w:type="continuationSeparator" w:id="0">
    <w:p w14:paraId="1F33BEB7" w14:textId="77777777" w:rsidR="00B166E9" w:rsidRDefault="00B166E9" w:rsidP="00BF2BA6">
      <w:pPr>
        <w:spacing w:before="0" w:after="0"/>
      </w:pPr>
      <w:r>
        <w:continuationSeparator/>
      </w:r>
    </w:p>
  </w:footnote>
  <w:footnote w:id="1">
    <w:p w14:paraId="49B9F230" w14:textId="2F8912B1" w:rsidR="00C960A8" w:rsidRPr="006D0185" w:rsidRDefault="00C960A8">
      <w:pPr>
        <w:pStyle w:val="FootnoteText"/>
        <w:rPr>
          <w:sz w:val="16"/>
          <w:szCs w:val="16"/>
          <w:lang w:val="en-AU"/>
        </w:rPr>
      </w:pPr>
      <w:r w:rsidRPr="006D0185">
        <w:rPr>
          <w:rStyle w:val="FootnoteReference"/>
          <w:sz w:val="16"/>
          <w:szCs w:val="16"/>
        </w:rPr>
        <w:footnoteRef/>
      </w:r>
      <w:r w:rsidRPr="006D0185">
        <w:rPr>
          <w:sz w:val="16"/>
          <w:szCs w:val="16"/>
        </w:rPr>
        <w:t xml:space="preserve"> https://www.dtf.vic.gov.au/reducing-regulatory-burden/statement-expectations-regulators</w:t>
      </w:r>
    </w:p>
  </w:footnote>
  <w:footnote w:id="2">
    <w:p w14:paraId="5F26212A" w14:textId="657B95D5" w:rsidR="00BC6552" w:rsidRPr="006D0185" w:rsidRDefault="00BC6552">
      <w:pPr>
        <w:pStyle w:val="FootnoteText"/>
        <w:rPr>
          <w:lang w:val="en-AU"/>
        </w:rPr>
      </w:pPr>
      <w:r w:rsidRPr="006D0185">
        <w:rPr>
          <w:rStyle w:val="FootnoteReference"/>
          <w:sz w:val="16"/>
          <w:szCs w:val="16"/>
        </w:rPr>
        <w:footnoteRef/>
      </w:r>
      <w:r w:rsidRPr="006D0185">
        <w:rPr>
          <w:sz w:val="16"/>
          <w:szCs w:val="16"/>
        </w:rPr>
        <w:t xml:space="preserve"> See: page 5, </w:t>
      </w:r>
      <w:r w:rsidRPr="006D0185">
        <w:rPr>
          <w:i/>
          <w:sz w:val="16"/>
          <w:szCs w:val="16"/>
        </w:rPr>
        <w:t>Guidelines for Evaluation of Statements of Expectations for Regulators</w:t>
      </w:r>
      <w:r w:rsidRPr="006D018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31DE9" w14:textId="77777777" w:rsidR="00E5460F" w:rsidRDefault="00E5460F">
    <w:pPr>
      <w:pStyle w:val="Header"/>
    </w:pPr>
    <w:r>
      <w:rPr>
        <w:noProof/>
        <w:lang w:eastAsia="en-AU"/>
      </w:rPr>
      <w:drawing>
        <wp:anchor distT="0" distB="0" distL="114300" distR="114300" simplePos="0" relativeHeight="251657728" behindDoc="1" locked="0" layoutInCell="1" allowOverlap="1" wp14:anchorId="4144ED1B" wp14:editId="0C490552">
          <wp:simplePos x="0" y="0"/>
          <wp:positionH relativeFrom="page">
            <wp:posOffset>35734</wp:posOffset>
          </wp:positionH>
          <wp:positionV relativeFrom="page">
            <wp:posOffset>26035</wp:posOffset>
          </wp:positionV>
          <wp:extent cx="7560000" cy="720000"/>
          <wp:effectExtent l="0" t="0" r="0" b="0"/>
          <wp:wrapNone/>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20Elements/Header.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ED5D" w14:textId="62613744" w:rsidR="00E5460F" w:rsidRPr="00914E64" w:rsidRDefault="00E5460F" w:rsidP="00914E64">
    <w:pPr>
      <w:pStyle w:val="Header"/>
    </w:pPr>
    <w:r>
      <w:rPr>
        <w:noProof/>
        <w:lang w:eastAsia="en-AU"/>
      </w:rPr>
      <w:drawing>
        <wp:anchor distT="0" distB="0" distL="114300" distR="114300" simplePos="0" relativeHeight="251656704" behindDoc="1" locked="0" layoutInCell="1" allowOverlap="1" wp14:anchorId="7179DB7A" wp14:editId="6AE5C6E3">
          <wp:simplePos x="0" y="0"/>
          <wp:positionH relativeFrom="page">
            <wp:posOffset>22051</wp:posOffset>
          </wp:positionH>
          <wp:positionV relativeFrom="page">
            <wp:posOffset>12700</wp:posOffset>
          </wp:positionV>
          <wp:extent cx="7560000" cy="720000"/>
          <wp:effectExtent l="0" t="0" r="0" b="0"/>
          <wp:wrapNone/>
          <wp:docPr id="12" name="Picture 1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20Elements/Header.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F149C"/>
    <w:multiLevelType w:val="hybridMultilevel"/>
    <w:tmpl w:val="AFA86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4B31FF"/>
    <w:multiLevelType w:val="hybridMultilevel"/>
    <w:tmpl w:val="75DC1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70383E"/>
    <w:multiLevelType w:val="hybridMultilevel"/>
    <w:tmpl w:val="C8423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4F7384"/>
    <w:multiLevelType w:val="hybridMultilevel"/>
    <w:tmpl w:val="C7D49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7A2976"/>
    <w:multiLevelType w:val="hybridMultilevel"/>
    <w:tmpl w:val="AD70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3D1FA6"/>
    <w:multiLevelType w:val="hybridMultilevel"/>
    <w:tmpl w:val="ACBC1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952B57"/>
    <w:multiLevelType w:val="hybridMultilevel"/>
    <w:tmpl w:val="BDC02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0E19B7"/>
    <w:multiLevelType w:val="hybridMultilevel"/>
    <w:tmpl w:val="4B323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E95558"/>
    <w:multiLevelType w:val="hybridMultilevel"/>
    <w:tmpl w:val="B9548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0123AA"/>
    <w:multiLevelType w:val="hybridMultilevel"/>
    <w:tmpl w:val="4C7210A6"/>
    <w:lvl w:ilvl="0" w:tplc="FF006E40">
      <w:start w:val="1"/>
      <w:numFmt w:val="bullet"/>
      <w:pStyle w:val="bulletL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5"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6F5F74"/>
    <w:multiLevelType w:val="hybridMultilevel"/>
    <w:tmpl w:val="1888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415F1C"/>
    <w:multiLevelType w:val="hybridMultilevel"/>
    <w:tmpl w:val="DC2C1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DB68FC"/>
    <w:multiLevelType w:val="hybridMultilevel"/>
    <w:tmpl w:val="098CB3D8"/>
    <w:lvl w:ilvl="0" w:tplc="2C16D78E">
      <w:start w:val="1"/>
      <w:numFmt w:val="bullet"/>
      <w:pStyle w:val="bulletL1"/>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B77491"/>
    <w:multiLevelType w:val="hybridMultilevel"/>
    <w:tmpl w:val="3FC0FC3E"/>
    <w:lvl w:ilvl="0" w:tplc="9B50CBB2">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21C5C"/>
    <w:multiLevelType w:val="hybridMultilevel"/>
    <w:tmpl w:val="42E4A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F8042E5"/>
    <w:multiLevelType w:val="hybridMultilevel"/>
    <w:tmpl w:val="26528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84163"/>
    <w:multiLevelType w:val="hybridMultilevel"/>
    <w:tmpl w:val="75C2F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9"/>
  </w:num>
  <w:num w:numId="4">
    <w:abstractNumId w:val="19"/>
  </w:num>
  <w:num w:numId="5">
    <w:abstractNumId w:val="19"/>
  </w:num>
  <w:num w:numId="6">
    <w:abstractNumId w:val="16"/>
  </w:num>
  <w:num w:numId="7">
    <w:abstractNumId w:val="24"/>
  </w:num>
  <w:num w:numId="8">
    <w:abstractNumId w:val="22"/>
  </w:num>
  <w:num w:numId="9">
    <w:abstractNumId w:val="8"/>
  </w:num>
  <w:num w:numId="10">
    <w:abstractNumId w:val="1"/>
  </w:num>
  <w:num w:numId="11">
    <w:abstractNumId w:val="3"/>
  </w:num>
  <w:num w:numId="12">
    <w:abstractNumId w:val="15"/>
  </w:num>
  <w:num w:numId="13">
    <w:abstractNumId w:val="12"/>
  </w:num>
  <w:num w:numId="14">
    <w:abstractNumId w:val="14"/>
  </w:num>
  <w:num w:numId="15">
    <w:abstractNumId w:val="0"/>
  </w:num>
  <w:num w:numId="16">
    <w:abstractNumId w:val="20"/>
  </w:num>
  <w:num w:numId="17">
    <w:abstractNumId w:val="5"/>
  </w:num>
  <w:num w:numId="18">
    <w:abstractNumId w:val="2"/>
  </w:num>
  <w:num w:numId="19">
    <w:abstractNumId w:val="18"/>
  </w:num>
  <w:num w:numId="20">
    <w:abstractNumId w:val="10"/>
  </w:num>
  <w:num w:numId="21">
    <w:abstractNumId w:val="11"/>
  </w:num>
  <w:num w:numId="22">
    <w:abstractNumId w:val="23"/>
  </w:num>
  <w:num w:numId="23">
    <w:abstractNumId w:val="13"/>
  </w:num>
  <w:num w:numId="24">
    <w:abstractNumId w:val="17"/>
  </w:num>
  <w:num w:numId="25">
    <w:abstractNumId w:val="4"/>
  </w:num>
  <w:num w:numId="26">
    <w:abstractNumId w:val="7"/>
  </w:num>
  <w:num w:numId="27">
    <w:abstractNumId w:val="21"/>
  </w:num>
  <w:num w:numId="28">
    <w:abstractNumId w:val="9"/>
  </w:num>
  <w:num w:numId="29">
    <w:abstractNumId w:val="6"/>
  </w:num>
  <w:num w:numId="30">
    <w:abstractNumId w:val="25"/>
  </w:num>
  <w:num w:numId="31">
    <w:abstractNumId w:val="22"/>
  </w:num>
  <w:num w:numId="32">
    <w:abstractNumId w:val="22"/>
  </w:num>
  <w:num w:numId="33">
    <w:abstractNumId w:val="22"/>
  </w:num>
  <w:num w:numId="34">
    <w:abstractNumId w:val="22"/>
  </w:num>
  <w:num w:numId="35">
    <w:abstractNumId w:val="22"/>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97"/>
    <w:rsid w:val="0000762E"/>
    <w:rsid w:val="0001604B"/>
    <w:rsid w:val="00034053"/>
    <w:rsid w:val="0004322F"/>
    <w:rsid w:val="00044DC5"/>
    <w:rsid w:val="0005040D"/>
    <w:rsid w:val="00060302"/>
    <w:rsid w:val="000664EC"/>
    <w:rsid w:val="000809CD"/>
    <w:rsid w:val="00083F3A"/>
    <w:rsid w:val="000B2BD7"/>
    <w:rsid w:val="000B3411"/>
    <w:rsid w:val="000B5CE2"/>
    <w:rsid w:val="000D11A1"/>
    <w:rsid w:val="000D1DE0"/>
    <w:rsid w:val="000F0296"/>
    <w:rsid w:val="000F7643"/>
    <w:rsid w:val="00106B24"/>
    <w:rsid w:val="00120B16"/>
    <w:rsid w:val="001266CB"/>
    <w:rsid w:val="00133F06"/>
    <w:rsid w:val="00135B6F"/>
    <w:rsid w:val="001417FE"/>
    <w:rsid w:val="00162CEF"/>
    <w:rsid w:val="00164461"/>
    <w:rsid w:val="00164987"/>
    <w:rsid w:val="00166869"/>
    <w:rsid w:val="00167CD4"/>
    <w:rsid w:val="00175602"/>
    <w:rsid w:val="00176211"/>
    <w:rsid w:val="001774D2"/>
    <w:rsid w:val="001858C2"/>
    <w:rsid w:val="00186B61"/>
    <w:rsid w:val="00190A16"/>
    <w:rsid w:val="00196B10"/>
    <w:rsid w:val="001A653B"/>
    <w:rsid w:val="001D6AE3"/>
    <w:rsid w:val="001E0F53"/>
    <w:rsid w:val="001F0A49"/>
    <w:rsid w:val="001F76F6"/>
    <w:rsid w:val="001F7FE5"/>
    <w:rsid w:val="0021262D"/>
    <w:rsid w:val="002239D6"/>
    <w:rsid w:val="0022527F"/>
    <w:rsid w:val="00231D11"/>
    <w:rsid w:val="00240644"/>
    <w:rsid w:val="0025304C"/>
    <w:rsid w:val="00270CB2"/>
    <w:rsid w:val="00275C41"/>
    <w:rsid w:val="00277A1E"/>
    <w:rsid w:val="002848F0"/>
    <w:rsid w:val="00292254"/>
    <w:rsid w:val="00294079"/>
    <w:rsid w:val="00297E03"/>
    <w:rsid w:val="002A56CF"/>
    <w:rsid w:val="002A72B2"/>
    <w:rsid w:val="002B0A79"/>
    <w:rsid w:val="002B14A5"/>
    <w:rsid w:val="002B5841"/>
    <w:rsid w:val="002C221E"/>
    <w:rsid w:val="002C2F1F"/>
    <w:rsid w:val="002C2F4C"/>
    <w:rsid w:val="002E04F8"/>
    <w:rsid w:val="002E3C2C"/>
    <w:rsid w:val="002E3DF7"/>
    <w:rsid w:val="00300D80"/>
    <w:rsid w:val="00307CBC"/>
    <w:rsid w:val="00311E13"/>
    <w:rsid w:val="003219ED"/>
    <w:rsid w:val="00322AE7"/>
    <w:rsid w:val="00340535"/>
    <w:rsid w:val="00353C54"/>
    <w:rsid w:val="00353D57"/>
    <w:rsid w:val="0035610C"/>
    <w:rsid w:val="003603BD"/>
    <w:rsid w:val="003628E3"/>
    <w:rsid w:val="00375F08"/>
    <w:rsid w:val="0038186C"/>
    <w:rsid w:val="0038297E"/>
    <w:rsid w:val="00387507"/>
    <w:rsid w:val="00391A43"/>
    <w:rsid w:val="003B31C0"/>
    <w:rsid w:val="003B37BD"/>
    <w:rsid w:val="003B4F2D"/>
    <w:rsid w:val="003C41CB"/>
    <w:rsid w:val="003D44AD"/>
    <w:rsid w:val="003E690A"/>
    <w:rsid w:val="003E746F"/>
    <w:rsid w:val="003E74A4"/>
    <w:rsid w:val="00412227"/>
    <w:rsid w:val="00412EB8"/>
    <w:rsid w:val="00421E8D"/>
    <w:rsid w:val="00422F1C"/>
    <w:rsid w:val="00425462"/>
    <w:rsid w:val="00431CED"/>
    <w:rsid w:val="00435FCF"/>
    <w:rsid w:val="00436C3F"/>
    <w:rsid w:val="004371F6"/>
    <w:rsid w:val="00440DF0"/>
    <w:rsid w:val="004477B6"/>
    <w:rsid w:val="00453D29"/>
    <w:rsid w:val="004602BE"/>
    <w:rsid w:val="00460CF0"/>
    <w:rsid w:val="004621A0"/>
    <w:rsid w:val="00484526"/>
    <w:rsid w:val="00491B39"/>
    <w:rsid w:val="004A147F"/>
    <w:rsid w:val="004B3FC2"/>
    <w:rsid w:val="004C4539"/>
    <w:rsid w:val="004C5942"/>
    <w:rsid w:val="004D1679"/>
    <w:rsid w:val="004D653B"/>
    <w:rsid w:val="004F1E91"/>
    <w:rsid w:val="005001F0"/>
    <w:rsid w:val="00506A93"/>
    <w:rsid w:val="005104E6"/>
    <w:rsid w:val="005163FE"/>
    <w:rsid w:val="005276EB"/>
    <w:rsid w:val="00537F3D"/>
    <w:rsid w:val="005656A1"/>
    <w:rsid w:val="00572C6E"/>
    <w:rsid w:val="0057616B"/>
    <w:rsid w:val="00585115"/>
    <w:rsid w:val="00591895"/>
    <w:rsid w:val="005B0813"/>
    <w:rsid w:val="005B39F3"/>
    <w:rsid w:val="005D4B13"/>
    <w:rsid w:val="005E1FE2"/>
    <w:rsid w:val="005F06E6"/>
    <w:rsid w:val="005F655D"/>
    <w:rsid w:val="00604D7C"/>
    <w:rsid w:val="0062381F"/>
    <w:rsid w:val="00625114"/>
    <w:rsid w:val="006365D8"/>
    <w:rsid w:val="0064636E"/>
    <w:rsid w:val="00663E2F"/>
    <w:rsid w:val="006664B6"/>
    <w:rsid w:val="00677E57"/>
    <w:rsid w:val="00677F25"/>
    <w:rsid w:val="00684C79"/>
    <w:rsid w:val="00687148"/>
    <w:rsid w:val="006905F9"/>
    <w:rsid w:val="00695097"/>
    <w:rsid w:val="00696044"/>
    <w:rsid w:val="00696640"/>
    <w:rsid w:val="006A2FFA"/>
    <w:rsid w:val="006A6607"/>
    <w:rsid w:val="006B778A"/>
    <w:rsid w:val="006C0F74"/>
    <w:rsid w:val="006C7DEC"/>
    <w:rsid w:val="006D0185"/>
    <w:rsid w:val="006E4CD8"/>
    <w:rsid w:val="006E6885"/>
    <w:rsid w:val="006F01F2"/>
    <w:rsid w:val="006F0E7E"/>
    <w:rsid w:val="006F0ECE"/>
    <w:rsid w:val="006F1AA2"/>
    <w:rsid w:val="006F6135"/>
    <w:rsid w:val="00700B64"/>
    <w:rsid w:val="00704AF9"/>
    <w:rsid w:val="00707F05"/>
    <w:rsid w:val="00710763"/>
    <w:rsid w:val="007165B6"/>
    <w:rsid w:val="0072425B"/>
    <w:rsid w:val="00730369"/>
    <w:rsid w:val="00734911"/>
    <w:rsid w:val="00740629"/>
    <w:rsid w:val="007431E7"/>
    <w:rsid w:val="007444DD"/>
    <w:rsid w:val="00747CA6"/>
    <w:rsid w:val="007645C5"/>
    <w:rsid w:val="007646AA"/>
    <w:rsid w:val="00767B77"/>
    <w:rsid w:val="00770803"/>
    <w:rsid w:val="00771777"/>
    <w:rsid w:val="00771DA0"/>
    <w:rsid w:val="007A410D"/>
    <w:rsid w:val="007A458B"/>
    <w:rsid w:val="007C4D3B"/>
    <w:rsid w:val="007D64B7"/>
    <w:rsid w:val="007E01B3"/>
    <w:rsid w:val="007E4221"/>
    <w:rsid w:val="007E5205"/>
    <w:rsid w:val="007F750D"/>
    <w:rsid w:val="008027EC"/>
    <w:rsid w:val="00805E7C"/>
    <w:rsid w:val="00814984"/>
    <w:rsid w:val="008151D9"/>
    <w:rsid w:val="00821D06"/>
    <w:rsid w:val="00822280"/>
    <w:rsid w:val="00855D60"/>
    <w:rsid w:val="008571B4"/>
    <w:rsid w:val="00864B2F"/>
    <w:rsid w:val="0087121B"/>
    <w:rsid w:val="008730BD"/>
    <w:rsid w:val="00892F06"/>
    <w:rsid w:val="008C18F2"/>
    <w:rsid w:val="008C208E"/>
    <w:rsid w:val="008E34C0"/>
    <w:rsid w:val="008E45EE"/>
    <w:rsid w:val="008E4A82"/>
    <w:rsid w:val="00901333"/>
    <w:rsid w:val="00907F21"/>
    <w:rsid w:val="00910B4C"/>
    <w:rsid w:val="00913117"/>
    <w:rsid w:val="00914E64"/>
    <w:rsid w:val="009225E4"/>
    <w:rsid w:val="0093205D"/>
    <w:rsid w:val="009403DE"/>
    <w:rsid w:val="00942086"/>
    <w:rsid w:val="00944DEB"/>
    <w:rsid w:val="00954522"/>
    <w:rsid w:val="00961C45"/>
    <w:rsid w:val="00961E35"/>
    <w:rsid w:val="00965A99"/>
    <w:rsid w:val="00965E6E"/>
    <w:rsid w:val="00974135"/>
    <w:rsid w:val="00975F0E"/>
    <w:rsid w:val="00983FCB"/>
    <w:rsid w:val="009960AA"/>
    <w:rsid w:val="009B079D"/>
    <w:rsid w:val="009B1883"/>
    <w:rsid w:val="009C2EAA"/>
    <w:rsid w:val="009D44FC"/>
    <w:rsid w:val="009D5E9A"/>
    <w:rsid w:val="009E692C"/>
    <w:rsid w:val="00A013D3"/>
    <w:rsid w:val="00A043AC"/>
    <w:rsid w:val="00A04BA3"/>
    <w:rsid w:val="00A0687D"/>
    <w:rsid w:val="00A11752"/>
    <w:rsid w:val="00A1590C"/>
    <w:rsid w:val="00A21F61"/>
    <w:rsid w:val="00A22F97"/>
    <w:rsid w:val="00A2349B"/>
    <w:rsid w:val="00A238D2"/>
    <w:rsid w:val="00A34096"/>
    <w:rsid w:val="00A41A0F"/>
    <w:rsid w:val="00A465E3"/>
    <w:rsid w:val="00A52815"/>
    <w:rsid w:val="00A529EA"/>
    <w:rsid w:val="00A53F36"/>
    <w:rsid w:val="00A6196F"/>
    <w:rsid w:val="00A724C7"/>
    <w:rsid w:val="00A83D57"/>
    <w:rsid w:val="00A94CD5"/>
    <w:rsid w:val="00AA44D7"/>
    <w:rsid w:val="00AB2E25"/>
    <w:rsid w:val="00AC21DD"/>
    <w:rsid w:val="00AC37B8"/>
    <w:rsid w:val="00AD211E"/>
    <w:rsid w:val="00AD7309"/>
    <w:rsid w:val="00AD77E5"/>
    <w:rsid w:val="00AE6758"/>
    <w:rsid w:val="00AE6821"/>
    <w:rsid w:val="00AF152C"/>
    <w:rsid w:val="00B074B4"/>
    <w:rsid w:val="00B166E9"/>
    <w:rsid w:val="00B2602F"/>
    <w:rsid w:val="00B33D08"/>
    <w:rsid w:val="00B349EC"/>
    <w:rsid w:val="00B35D12"/>
    <w:rsid w:val="00B5046E"/>
    <w:rsid w:val="00B62A2A"/>
    <w:rsid w:val="00B83FEC"/>
    <w:rsid w:val="00B863CD"/>
    <w:rsid w:val="00B938A7"/>
    <w:rsid w:val="00B93FD6"/>
    <w:rsid w:val="00B973EE"/>
    <w:rsid w:val="00BA25FB"/>
    <w:rsid w:val="00BA2D25"/>
    <w:rsid w:val="00BA390F"/>
    <w:rsid w:val="00BC4ABE"/>
    <w:rsid w:val="00BC4B89"/>
    <w:rsid w:val="00BC6552"/>
    <w:rsid w:val="00BC7BD0"/>
    <w:rsid w:val="00BE0669"/>
    <w:rsid w:val="00BE131F"/>
    <w:rsid w:val="00BF2BA6"/>
    <w:rsid w:val="00BF533D"/>
    <w:rsid w:val="00C050B5"/>
    <w:rsid w:val="00C122E4"/>
    <w:rsid w:val="00C369D2"/>
    <w:rsid w:val="00C417B9"/>
    <w:rsid w:val="00C61E96"/>
    <w:rsid w:val="00C73282"/>
    <w:rsid w:val="00C74EE8"/>
    <w:rsid w:val="00C80E10"/>
    <w:rsid w:val="00C829C6"/>
    <w:rsid w:val="00C83E7A"/>
    <w:rsid w:val="00C960A8"/>
    <w:rsid w:val="00CB4A0F"/>
    <w:rsid w:val="00CC72D9"/>
    <w:rsid w:val="00CD72A7"/>
    <w:rsid w:val="00CD7E6A"/>
    <w:rsid w:val="00CE520B"/>
    <w:rsid w:val="00CF6EB4"/>
    <w:rsid w:val="00D06E73"/>
    <w:rsid w:val="00D120F8"/>
    <w:rsid w:val="00D354B9"/>
    <w:rsid w:val="00D600EA"/>
    <w:rsid w:val="00D651F4"/>
    <w:rsid w:val="00D66289"/>
    <w:rsid w:val="00D66CCA"/>
    <w:rsid w:val="00D729FA"/>
    <w:rsid w:val="00D730B8"/>
    <w:rsid w:val="00D76844"/>
    <w:rsid w:val="00D8542D"/>
    <w:rsid w:val="00DA6EFC"/>
    <w:rsid w:val="00DB0DED"/>
    <w:rsid w:val="00DB1E27"/>
    <w:rsid w:val="00DC2E2D"/>
    <w:rsid w:val="00DC4912"/>
    <w:rsid w:val="00DE5D59"/>
    <w:rsid w:val="00DE623C"/>
    <w:rsid w:val="00DF548E"/>
    <w:rsid w:val="00DF6190"/>
    <w:rsid w:val="00E017A7"/>
    <w:rsid w:val="00E06D21"/>
    <w:rsid w:val="00E10C62"/>
    <w:rsid w:val="00E2142B"/>
    <w:rsid w:val="00E22A18"/>
    <w:rsid w:val="00E25444"/>
    <w:rsid w:val="00E354A3"/>
    <w:rsid w:val="00E42692"/>
    <w:rsid w:val="00E45D83"/>
    <w:rsid w:val="00E5460F"/>
    <w:rsid w:val="00E5567F"/>
    <w:rsid w:val="00E57C5F"/>
    <w:rsid w:val="00E57C8F"/>
    <w:rsid w:val="00E638B3"/>
    <w:rsid w:val="00E72A0D"/>
    <w:rsid w:val="00E806E9"/>
    <w:rsid w:val="00E85CDC"/>
    <w:rsid w:val="00E934E5"/>
    <w:rsid w:val="00E94FA6"/>
    <w:rsid w:val="00EB3534"/>
    <w:rsid w:val="00EB5CE6"/>
    <w:rsid w:val="00EB7075"/>
    <w:rsid w:val="00EC57F4"/>
    <w:rsid w:val="00ED5C66"/>
    <w:rsid w:val="00ED7FC5"/>
    <w:rsid w:val="00EE00A0"/>
    <w:rsid w:val="00EE1BC7"/>
    <w:rsid w:val="00EE3CE2"/>
    <w:rsid w:val="00EF04DC"/>
    <w:rsid w:val="00EF76AA"/>
    <w:rsid w:val="00F06025"/>
    <w:rsid w:val="00F21638"/>
    <w:rsid w:val="00F2375C"/>
    <w:rsid w:val="00F4526C"/>
    <w:rsid w:val="00F45D9E"/>
    <w:rsid w:val="00F61700"/>
    <w:rsid w:val="00F67529"/>
    <w:rsid w:val="00F732CD"/>
    <w:rsid w:val="00F770C4"/>
    <w:rsid w:val="00F821C7"/>
    <w:rsid w:val="00F824C0"/>
    <w:rsid w:val="00F9423E"/>
    <w:rsid w:val="00FB11D1"/>
    <w:rsid w:val="00FB25AF"/>
    <w:rsid w:val="00FC358E"/>
    <w:rsid w:val="00FE0570"/>
    <w:rsid w:val="00FE13BF"/>
    <w:rsid w:val="00FE75CE"/>
    <w:rsid w:val="00FF03FE"/>
    <w:rsid w:val="00FF1D6E"/>
    <w:rsid w:val="00FF2D2B"/>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04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778A"/>
    <w:pPr>
      <w:spacing w:before="120" w:after="120" w:line="240" w:lineRule="auto"/>
    </w:pPr>
    <w:rPr>
      <w:rFonts w:ascii="Arial" w:eastAsia="Times New Roman" w:hAnsi="Arial" w:cs="Times New Roman"/>
      <w:color w:val="53565A"/>
      <w:sz w:val="18"/>
      <w:szCs w:val="20"/>
    </w:rPr>
  </w:style>
  <w:style w:type="paragraph" w:styleId="Heading1">
    <w:name w:val="heading 1"/>
    <w:basedOn w:val="Normal"/>
    <w:next w:val="bodyCopy"/>
    <w:link w:val="Heading1Char"/>
    <w:uiPriority w:val="9"/>
    <w:qFormat/>
    <w:rsid w:val="00A41A0F"/>
    <w:pPr>
      <w:keepNext/>
      <w:keepLines/>
      <w:numPr>
        <w:numId w:val="8"/>
      </w:numPr>
      <w:spacing w:before="520" w:after="480"/>
      <w:ind w:left="431" w:hanging="431"/>
      <w:outlineLvl w:val="0"/>
    </w:pPr>
    <w:rPr>
      <w:b/>
      <w:bCs/>
      <w:color w:val="064EA8"/>
      <w:sz w:val="36"/>
      <w:szCs w:val="32"/>
    </w:rPr>
  </w:style>
  <w:style w:type="paragraph" w:styleId="Heading2">
    <w:name w:val="heading 2"/>
    <w:basedOn w:val="Normal"/>
    <w:next w:val="bodyCopy"/>
    <w:link w:val="Heading2Char"/>
    <w:uiPriority w:val="9"/>
    <w:qFormat/>
    <w:rsid w:val="00914E64"/>
    <w:pPr>
      <w:keepNext/>
      <w:keepLines/>
      <w:numPr>
        <w:ilvl w:val="1"/>
        <w:numId w:val="8"/>
      </w:numPr>
      <w:spacing w:before="400" w:after="200"/>
      <w:outlineLvl w:val="1"/>
    </w:pPr>
    <w:rPr>
      <w:bCs/>
      <w:color w:val="064EA8"/>
      <w:sz w:val="28"/>
      <w:szCs w:val="26"/>
    </w:rPr>
  </w:style>
  <w:style w:type="paragraph" w:styleId="Heading3">
    <w:name w:val="heading 3"/>
    <w:basedOn w:val="Normal"/>
    <w:next w:val="bodyCopy"/>
    <w:link w:val="Heading3Char"/>
    <w:uiPriority w:val="9"/>
    <w:qFormat/>
    <w:rsid w:val="00914E64"/>
    <w:pPr>
      <w:keepNext/>
      <w:keepLines/>
      <w:numPr>
        <w:ilvl w:val="2"/>
        <w:numId w:val="8"/>
      </w:numPr>
      <w:spacing w:before="320" w:after="160"/>
      <w:outlineLvl w:val="2"/>
    </w:pPr>
    <w:rPr>
      <w:b/>
      <w:bCs/>
      <w:color w:val="064EA8"/>
      <w:sz w:val="22"/>
    </w:rPr>
  </w:style>
  <w:style w:type="paragraph" w:styleId="Heading4">
    <w:name w:val="heading 4"/>
    <w:basedOn w:val="Normal"/>
    <w:next w:val="bodyCopy"/>
    <w:link w:val="Heading4Char"/>
    <w:uiPriority w:val="9"/>
    <w:unhideWhenUsed/>
    <w:rsid w:val="006B778A"/>
    <w:pPr>
      <w:keepNext/>
      <w:keepLines/>
      <w:numPr>
        <w:ilvl w:val="3"/>
        <w:numId w:val="8"/>
      </w:numPr>
      <w:spacing w:before="280" w:after="0"/>
      <w:ind w:left="862" w:hanging="862"/>
      <w:outlineLvl w:val="3"/>
    </w:pPr>
    <w:rPr>
      <w:rFonts w:eastAsiaTheme="majorEastAsia" w:cstheme="majorBidi"/>
      <w:b/>
      <w:bCs/>
      <w:iCs/>
      <w:color w:val="000000" w:themeColor="text1"/>
    </w:rPr>
  </w:style>
  <w:style w:type="paragraph" w:styleId="Heading5">
    <w:name w:val="heading 5"/>
    <w:basedOn w:val="Normal"/>
    <w:next w:val="bodyCopy"/>
    <w:link w:val="Heading5Char"/>
    <w:uiPriority w:val="9"/>
    <w:unhideWhenUsed/>
    <w:rsid w:val="00892F06"/>
    <w:pPr>
      <w:keepNext/>
      <w:keepLines/>
      <w:numPr>
        <w:ilvl w:val="4"/>
        <w:numId w:val="8"/>
      </w:numPr>
      <w:spacing w:before="280" w:after="0"/>
      <w:ind w:left="1009" w:hanging="1009"/>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DB0DED"/>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B0DED"/>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0DED"/>
    <w:pPr>
      <w:keepNext/>
      <w:keepLines/>
      <w:numPr>
        <w:ilvl w:val="7"/>
        <w:numId w:val="8"/>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DB0DED"/>
    <w:pPr>
      <w:keepNext/>
      <w:keepLines/>
      <w:numPr>
        <w:ilvl w:val="8"/>
        <w:numId w:val="8"/>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A0F"/>
    <w:rPr>
      <w:rFonts w:ascii="Arial" w:eastAsia="Times New Roman" w:hAnsi="Arial" w:cs="Times New Roman"/>
      <w:b/>
      <w:bCs/>
      <w:color w:val="064EA8"/>
      <w:sz w:val="36"/>
      <w:szCs w:val="32"/>
    </w:rPr>
  </w:style>
  <w:style w:type="character" w:customStyle="1" w:styleId="Heading2Char">
    <w:name w:val="Heading 2 Char"/>
    <w:basedOn w:val="DefaultParagraphFont"/>
    <w:link w:val="Heading2"/>
    <w:uiPriority w:val="9"/>
    <w:rsid w:val="00914E64"/>
    <w:rPr>
      <w:rFonts w:ascii="Arial" w:eastAsia="Times New Roman" w:hAnsi="Arial" w:cs="Times New Roman"/>
      <w:bCs/>
      <w:color w:val="064EA8"/>
      <w:sz w:val="28"/>
      <w:szCs w:val="26"/>
    </w:rPr>
  </w:style>
  <w:style w:type="character" w:customStyle="1" w:styleId="Heading3Char">
    <w:name w:val="Heading 3 Char"/>
    <w:basedOn w:val="DefaultParagraphFont"/>
    <w:link w:val="Heading3"/>
    <w:uiPriority w:val="9"/>
    <w:rsid w:val="00914E64"/>
    <w:rPr>
      <w:rFonts w:ascii="Arial" w:eastAsia="Times New Roman" w:hAnsi="Arial" w:cs="Times New Roman"/>
      <w:b/>
      <w:bCs/>
      <w:color w:val="064EA8"/>
      <w:szCs w:val="20"/>
    </w:rPr>
  </w:style>
  <w:style w:type="paragraph" w:styleId="DocumentMap">
    <w:name w:val="Document Map"/>
    <w:basedOn w:val="Normal"/>
    <w:link w:val="DocumentMapChar"/>
    <w:semiHidden/>
    <w:rsid w:val="00135B6F"/>
    <w:pPr>
      <w:shd w:val="clear" w:color="auto" w:fill="C6D5EC"/>
    </w:pPr>
    <w:rPr>
      <w:rFonts w:ascii="Lucida Grande" w:hAnsi="Lucida Grande"/>
      <w:szCs w:val="24"/>
    </w:rPr>
  </w:style>
  <w:style w:type="character" w:customStyle="1" w:styleId="DocumentMapChar">
    <w:name w:val="Document Map Char"/>
    <w:basedOn w:val="DefaultParagraphFont"/>
    <w:link w:val="DocumentMap"/>
    <w:semiHidden/>
    <w:rsid w:val="00135B6F"/>
    <w:rPr>
      <w:rFonts w:ascii="Lucida Grande" w:eastAsia="Times New Roman" w:hAnsi="Lucida Grande" w:cs="Times New Roman"/>
      <w:sz w:val="20"/>
      <w:szCs w:val="24"/>
      <w:shd w:val="clear" w:color="auto" w:fill="C6D5EC"/>
    </w:rPr>
  </w:style>
  <w:style w:type="paragraph" w:customStyle="1" w:styleId="bodyCopy">
    <w:name w:val="#  body Copy"/>
    <w:basedOn w:val="Normal"/>
    <w:rsid w:val="00707F05"/>
    <w:pPr>
      <w:spacing w:after="200"/>
    </w:pPr>
  </w:style>
  <w:style w:type="paragraph" w:customStyle="1" w:styleId="bulletL1">
    <w:name w:val="# bullet L1"/>
    <w:basedOn w:val="Normal"/>
    <w:rsid w:val="001A653B"/>
    <w:pPr>
      <w:numPr>
        <w:numId w:val="5"/>
      </w:numPr>
      <w:spacing w:before="0" w:after="60"/>
    </w:pPr>
  </w:style>
  <w:style w:type="paragraph" w:customStyle="1" w:styleId="bulletL2">
    <w:name w:val="# bullet L2"/>
    <w:basedOn w:val="Normal"/>
    <w:rsid w:val="001A653B"/>
    <w:pPr>
      <w:numPr>
        <w:numId w:val="14"/>
      </w:numPr>
      <w:spacing w:before="0" w:after="60"/>
      <w:ind w:left="851" w:hanging="425"/>
    </w:pPr>
  </w:style>
  <w:style w:type="character" w:styleId="FollowedHyperlink">
    <w:name w:val="FollowedHyperlink"/>
    <w:basedOn w:val="DefaultParagraphFont"/>
    <w:rsid w:val="007444DD"/>
    <w:rPr>
      <w:rFonts w:ascii="Tahoma" w:hAnsi="Tahoma"/>
      <w:color w:val="auto"/>
      <w:u w:val="single"/>
    </w:rPr>
  </w:style>
  <w:style w:type="paragraph" w:styleId="Footer">
    <w:name w:val="footer"/>
    <w:basedOn w:val="Normal"/>
    <w:link w:val="FooterChar"/>
    <w:uiPriority w:val="99"/>
    <w:rsid w:val="00135B6F"/>
    <w:pPr>
      <w:tabs>
        <w:tab w:val="center" w:pos="4320"/>
        <w:tab w:val="right" w:pos="8640"/>
      </w:tabs>
    </w:pPr>
  </w:style>
  <w:style w:type="character" w:customStyle="1" w:styleId="FooterChar">
    <w:name w:val="Footer Char"/>
    <w:basedOn w:val="DefaultParagraphFont"/>
    <w:link w:val="Footer"/>
    <w:uiPriority w:val="99"/>
    <w:rsid w:val="00135B6F"/>
    <w:rPr>
      <w:rFonts w:ascii="Arial" w:eastAsia="Times New Roman" w:hAnsi="Arial" w:cs="Times New Roman"/>
      <w:sz w:val="20"/>
      <w:szCs w:val="20"/>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F732CD"/>
    <w:rPr>
      <w:color w:val="595959" w:themeColor="text1" w:themeTint="A6"/>
      <w:u w:val="single"/>
    </w:rPr>
  </w:style>
  <w:style w:type="character" w:styleId="PageNumber">
    <w:name w:val="page number"/>
    <w:basedOn w:val="DefaultParagraphFont"/>
    <w:uiPriority w:val="99"/>
    <w:unhideWhenUsed/>
    <w:rsid w:val="00135B6F"/>
  </w:style>
  <w:style w:type="character" w:customStyle="1" w:styleId="Heading4Char">
    <w:name w:val="Heading 4 Char"/>
    <w:basedOn w:val="DefaultParagraphFont"/>
    <w:link w:val="Heading4"/>
    <w:uiPriority w:val="9"/>
    <w:rsid w:val="006B778A"/>
    <w:rPr>
      <w:rFonts w:ascii="Arial" w:eastAsiaTheme="majorEastAsia" w:hAnsi="Arial" w:cstheme="majorBidi"/>
      <w:b/>
      <w:bCs/>
      <w:iCs/>
      <w:color w:val="000000" w:themeColor="text1"/>
      <w:sz w:val="20"/>
      <w:szCs w:val="20"/>
    </w:rPr>
  </w:style>
  <w:style w:type="paragraph" w:styleId="BalloonText">
    <w:name w:val="Balloon Text"/>
    <w:basedOn w:val="Normal"/>
    <w:link w:val="BalloonTextChar"/>
    <w:uiPriority w:val="99"/>
    <w:semiHidden/>
    <w:unhideWhenUs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customStyle="1" w:styleId="appendices">
    <w:name w:val="# appendices"/>
    <w:basedOn w:val="Normal"/>
    <w:link w:val="appendicesChar"/>
    <w:qFormat/>
    <w:rsid w:val="001858C2"/>
    <w:pPr>
      <w:spacing w:before="0" w:after="400"/>
    </w:pPr>
    <w:rPr>
      <w:b/>
      <w:caps/>
      <w:sz w:val="36"/>
    </w:rPr>
  </w:style>
  <w:style w:type="paragraph" w:styleId="TOCHeading">
    <w:name w:val="TOC Heading"/>
    <w:basedOn w:val="Heading1"/>
    <w:next w:val="Normal"/>
    <w:uiPriority w:val="39"/>
    <w:unhideWhenUsed/>
    <w:qFormat/>
    <w:rsid w:val="00440DF0"/>
    <w:pPr>
      <w:numPr>
        <w:numId w:val="0"/>
      </w:numPr>
      <w:spacing w:before="480" w:after="0" w:line="276" w:lineRule="auto"/>
      <w:outlineLvl w:val="9"/>
    </w:pPr>
    <w:rPr>
      <w:rFonts w:asciiTheme="majorHAnsi" w:eastAsiaTheme="majorEastAsia" w:hAnsiTheme="majorHAnsi" w:cstheme="majorBidi"/>
      <w:b w:val="0"/>
      <w:color w:val="365F91" w:themeColor="accent1" w:themeShade="BF"/>
      <w:sz w:val="28"/>
      <w:szCs w:val="28"/>
      <w:lang w:val="en-US" w:eastAsia="ja-JP"/>
    </w:rPr>
  </w:style>
  <w:style w:type="character" w:customStyle="1" w:styleId="appendicesChar">
    <w:name w:val="# appendices Char"/>
    <w:basedOn w:val="DefaultParagraphFont"/>
    <w:link w:val="appendices"/>
    <w:rsid w:val="001858C2"/>
    <w:rPr>
      <w:rFonts w:ascii="Arial" w:eastAsia="Times New Roman" w:hAnsi="Arial" w:cs="Times New Roman"/>
      <w:b/>
      <w:caps/>
      <w:color w:val="53565A"/>
      <w:sz w:val="36"/>
      <w:szCs w:val="20"/>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20"/>
      <w:szCs w:val="20"/>
    </w:rPr>
  </w:style>
  <w:style w:type="character" w:customStyle="1" w:styleId="Heading6Char">
    <w:name w:val="Heading 6 Char"/>
    <w:basedOn w:val="DefaultParagraphFont"/>
    <w:link w:val="Heading6"/>
    <w:uiPriority w:val="9"/>
    <w:semiHidden/>
    <w:rsid w:val="00DB0DED"/>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paragraph" w:customStyle="1" w:styleId="contentfiguresheading">
    <w:name w:val="# content/figures heading"/>
    <w:basedOn w:val="Normal"/>
    <w:link w:val="contentfiguresheadingChar"/>
    <w:qFormat/>
    <w:rsid w:val="001858C2"/>
    <w:pPr>
      <w:spacing w:before="0" w:after="400"/>
    </w:pPr>
    <w:rPr>
      <w:b/>
      <w:caps/>
      <w:sz w:val="36"/>
      <w:szCs w:val="48"/>
    </w:rPr>
  </w:style>
  <w:style w:type="paragraph" w:customStyle="1" w:styleId="instructions">
    <w:name w:val="# instructions"/>
    <w:basedOn w:val="Normal"/>
    <w:link w:val="instructionsChar"/>
    <w:qFormat/>
    <w:rsid w:val="00BC4B89"/>
    <w:pPr>
      <w:spacing w:before="60"/>
    </w:pPr>
    <w:rPr>
      <w:color w:val="C0504D" w:themeColor="accent2"/>
    </w:rPr>
  </w:style>
  <w:style w:type="character" w:customStyle="1" w:styleId="contentfiguresheadingChar">
    <w:name w:val="# content/figures heading Char"/>
    <w:basedOn w:val="DefaultParagraphFont"/>
    <w:link w:val="contentfiguresheading"/>
    <w:rsid w:val="001858C2"/>
    <w:rPr>
      <w:rFonts w:ascii="Arial" w:eastAsia="Times New Roman" w:hAnsi="Arial" w:cs="Times New Roman"/>
      <w:b/>
      <w:caps/>
      <w:color w:val="53565A"/>
      <w:sz w:val="36"/>
      <w:szCs w:val="48"/>
    </w:rPr>
  </w:style>
  <w:style w:type="table" w:styleId="TableGrid">
    <w:name w:val="Table Grid"/>
    <w:basedOn w:val="TableNormal"/>
    <w:uiPriority w:val="39"/>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Char">
    <w:name w:val="# instructions Char"/>
    <w:basedOn w:val="DefaultParagraphFont"/>
    <w:link w:val="instructions"/>
    <w:rsid w:val="00BC4B89"/>
    <w:rPr>
      <w:rFonts w:ascii="Verdana" w:eastAsia="Times New Roman" w:hAnsi="Verdana" w:cs="Times New Roman"/>
      <w:color w:val="C0504D" w:themeColor="accent2"/>
      <w:sz w:val="20"/>
      <w:szCs w:val="20"/>
    </w:rPr>
  </w:style>
  <w:style w:type="table" w:customStyle="1" w:styleId="DOT1">
    <w:name w:val="DOT 1"/>
    <w:basedOn w:val="TableNormal"/>
    <w:uiPriority w:val="99"/>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EEECE1" w:themeFill="background2"/>
      </w:tcPr>
    </w:tblStylePr>
    <w:tblStylePr w:type="firstCol">
      <w:rPr>
        <w:rFonts w:ascii="Arial" w:hAnsi="Arial"/>
        <w:b/>
        <w:sz w:val="20"/>
      </w:rPr>
    </w:tblStylePr>
  </w:style>
  <w:style w:type="table" w:styleId="LightShading">
    <w:name w:val="Light Shading"/>
    <w:basedOn w:val="TableNormal"/>
    <w:uiPriority w:val="60"/>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bodyCopy"/>
    <w:uiPriority w:val="35"/>
    <w:unhideWhenUsed/>
    <w:qFormat/>
    <w:rsid w:val="008027EC"/>
    <w:pPr>
      <w:spacing w:after="200"/>
    </w:pPr>
    <w:rPr>
      <w:b/>
      <w:bCs/>
      <w:szCs w:val="18"/>
    </w:rPr>
  </w:style>
  <w:style w:type="paragraph" w:styleId="TOC1">
    <w:name w:val="toc 1"/>
    <w:basedOn w:val="Normal"/>
    <w:next w:val="Normal"/>
    <w:autoRedefine/>
    <w:uiPriority w:val="39"/>
    <w:unhideWhenUsed/>
    <w:rsid w:val="00083F3A"/>
    <w:pPr>
      <w:tabs>
        <w:tab w:val="right" w:leader="dot" w:pos="9016"/>
      </w:tabs>
      <w:spacing w:after="100"/>
      <w:ind w:left="142"/>
    </w:pPr>
  </w:style>
  <w:style w:type="paragraph" w:styleId="TOC2">
    <w:name w:val="toc 2"/>
    <w:basedOn w:val="Normal"/>
    <w:next w:val="Normal"/>
    <w:autoRedefine/>
    <w:uiPriority w:val="39"/>
    <w:unhideWhenUsed/>
    <w:rsid w:val="00083F3A"/>
    <w:pPr>
      <w:tabs>
        <w:tab w:val="left" w:pos="600"/>
        <w:tab w:val="right" w:leader="dot" w:pos="9016"/>
      </w:tabs>
      <w:spacing w:after="100"/>
      <w:ind w:left="142"/>
    </w:pPr>
  </w:style>
  <w:style w:type="paragraph" w:styleId="TOC3">
    <w:name w:val="toc 3"/>
    <w:basedOn w:val="Normal"/>
    <w:next w:val="Normal"/>
    <w:autoRedefine/>
    <w:uiPriority w:val="39"/>
    <w:unhideWhenUsed/>
    <w:rsid w:val="00440DF0"/>
    <w:pPr>
      <w:spacing w:after="100"/>
      <w:ind w:left="400"/>
    </w:pPr>
  </w:style>
  <w:style w:type="paragraph" w:styleId="TOC4">
    <w:name w:val="toc 4"/>
    <w:basedOn w:val="Normal"/>
    <w:next w:val="Normal"/>
    <w:autoRedefine/>
    <w:uiPriority w:val="39"/>
    <w:unhideWhenUsed/>
    <w:rsid w:val="00440DF0"/>
    <w:pPr>
      <w:spacing w:after="100"/>
      <w:ind w:left="600"/>
    </w:pPr>
  </w:style>
  <w:style w:type="paragraph" w:styleId="TableofFigures">
    <w:name w:val="table of figures"/>
    <w:basedOn w:val="Normal"/>
    <w:next w:val="Normal"/>
    <w:uiPriority w:val="99"/>
    <w:unhideWhenUsed/>
    <w:rsid w:val="00BA390F"/>
    <w:pPr>
      <w:spacing w:after="0"/>
    </w:pPr>
  </w:style>
  <w:style w:type="paragraph" w:customStyle="1" w:styleId="footerinfo">
    <w:name w:val="footer info"/>
    <w:basedOn w:val="bodyCopy"/>
    <w:qFormat/>
    <w:rsid w:val="00965E6E"/>
    <w:pPr>
      <w:spacing w:before="0" w:after="0"/>
    </w:pPr>
  </w:style>
  <w:style w:type="paragraph" w:customStyle="1" w:styleId="covertitle">
    <w:name w:val="# cover title"/>
    <w:basedOn w:val="Normal"/>
    <w:next w:val="Normal"/>
    <w:qFormat/>
    <w:rsid w:val="00292254"/>
    <w:pPr>
      <w:spacing w:before="0" w:line="420" w:lineRule="exact"/>
    </w:pPr>
    <w:rPr>
      <w:b/>
      <w:color w:val="FFFFFF"/>
      <w:sz w:val="44"/>
    </w:rPr>
  </w:style>
  <w:style w:type="paragraph" w:customStyle="1" w:styleId="introparagraph">
    <w:name w:val="# intro paragraph"/>
    <w:basedOn w:val="bodyCopy"/>
    <w:next w:val="bodyCopy"/>
    <w:qFormat/>
    <w:rsid w:val="00914E64"/>
    <w:rPr>
      <w:color w:val="808080" w:themeColor="background1" w:themeShade="80"/>
      <w:sz w:val="28"/>
    </w:rPr>
  </w:style>
  <w:style w:type="paragraph" w:styleId="ListParagraph">
    <w:name w:val="List Paragraph"/>
    <w:basedOn w:val="Normal"/>
    <w:uiPriority w:val="34"/>
    <w:qFormat/>
    <w:rsid w:val="00C829C6"/>
    <w:pPr>
      <w:spacing w:before="0" w:after="0"/>
      <w:ind w:left="720"/>
      <w:contextualSpacing/>
    </w:pPr>
    <w:rPr>
      <w:rFonts w:ascii="Times New Roman" w:hAnsi="Times New Roman"/>
      <w:sz w:val="24"/>
      <w:szCs w:val="24"/>
      <w:lang w:eastAsia="en-AU"/>
    </w:rPr>
  </w:style>
  <w:style w:type="paragraph" w:customStyle="1" w:styleId="authorisedby">
    <w:name w:val="# authorised by"/>
    <w:basedOn w:val="Normal"/>
    <w:qFormat/>
    <w:rsid w:val="00A465E3"/>
    <w:rPr>
      <w:rFonts w:eastAsiaTheme="minorHAnsi"/>
    </w:rPr>
  </w:style>
  <w:style w:type="paragraph" w:customStyle="1" w:styleId="coversub-title">
    <w:name w:val="# cover sub-title"/>
    <w:basedOn w:val="Normal"/>
    <w:rsid w:val="00292254"/>
    <w:pPr>
      <w:spacing w:before="180"/>
    </w:pPr>
    <w:rPr>
      <w:color w:val="FFFFFF"/>
      <w:sz w:val="32"/>
    </w:rPr>
  </w:style>
  <w:style w:type="paragraph" w:customStyle="1" w:styleId="instructions0">
    <w:name w:val="instructions"/>
    <w:basedOn w:val="Normal"/>
    <w:link w:val="instructionsChar0"/>
    <w:qFormat/>
    <w:rsid w:val="00D76844"/>
    <w:pPr>
      <w:spacing w:before="60"/>
    </w:pPr>
    <w:rPr>
      <w:color w:val="C0504D" w:themeColor="accent2"/>
    </w:rPr>
  </w:style>
  <w:style w:type="character" w:customStyle="1" w:styleId="instructionsChar0">
    <w:name w:val="instructions Char"/>
    <w:basedOn w:val="DefaultParagraphFont"/>
    <w:link w:val="instructions0"/>
    <w:rsid w:val="00D76844"/>
    <w:rPr>
      <w:rFonts w:ascii="Tahoma" w:eastAsia="Times New Roman" w:hAnsi="Tahoma" w:cs="Times New Roman"/>
      <w:color w:val="C0504D" w:themeColor="accent2"/>
      <w:sz w:val="20"/>
      <w:szCs w:val="20"/>
    </w:rPr>
  </w:style>
  <w:style w:type="paragraph" w:customStyle="1" w:styleId="tablename">
    <w:name w:val="# table name"/>
    <w:basedOn w:val="Normal"/>
    <w:qFormat/>
    <w:rsid w:val="001A653B"/>
    <w:pPr>
      <w:keepNext/>
      <w:spacing w:before="240"/>
    </w:pPr>
    <w:rPr>
      <w:rFonts w:cs="Arial"/>
      <w:b/>
      <w:color w:val="064EA8"/>
      <w:szCs w:val="18"/>
      <w:lang w:eastAsia="en-AU"/>
    </w:rPr>
  </w:style>
  <w:style w:type="paragraph" w:customStyle="1" w:styleId="tabletitles">
    <w:name w:val="# table titles"/>
    <w:basedOn w:val="Normal"/>
    <w:qFormat/>
    <w:rsid w:val="001A653B"/>
    <w:pPr>
      <w:spacing w:before="60" w:after="60"/>
    </w:pPr>
    <w:rPr>
      <w:rFonts w:cs="Arial"/>
      <w:b/>
      <w:color w:val="FFFFFF"/>
      <w:lang w:eastAsia="en-AU"/>
    </w:rPr>
  </w:style>
  <w:style w:type="paragraph" w:customStyle="1" w:styleId="tabletext">
    <w:name w:val="# table text"/>
    <w:basedOn w:val="Normal"/>
    <w:qFormat/>
    <w:rsid w:val="001A653B"/>
    <w:pPr>
      <w:spacing w:before="60" w:after="60"/>
    </w:pPr>
    <w:rPr>
      <w:rFonts w:cs="Arial"/>
      <w:szCs w:val="18"/>
      <w:lang w:eastAsia="en-AU"/>
    </w:rPr>
  </w:style>
  <w:style w:type="character" w:customStyle="1" w:styleId="DTPLIinstructionsChar">
    <w:name w:val="DTPLI instructions Char"/>
    <w:basedOn w:val="DefaultParagraphFont"/>
    <w:link w:val="DTPLIinstructions"/>
    <w:locked/>
    <w:rsid w:val="00B93FD6"/>
    <w:rPr>
      <w:rFonts w:ascii="Tahoma" w:eastAsia="Times New Roman" w:hAnsi="Tahoma" w:cs="Times New Roman"/>
      <w:color w:val="C0504D" w:themeColor="accent2"/>
      <w:sz w:val="20"/>
      <w:szCs w:val="20"/>
    </w:rPr>
  </w:style>
  <w:style w:type="paragraph" w:customStyle="1" w:styleId="DTPLIinstructions">
    <w:name w:val="DTPLI instructions"/>
    <w:basedOn w:val="Normal"/>
    <w:link w:val="DTPLIinstructionsChar"/>
    <w:qFormat/>
    <w:rsid w:val="00B93FD6"/>
    <w:pPr>
      <w:spacing w:before="60"/>
    </w:pPr>
    <w:rPr>
      <w:rFonts w:ascii="Tahoma" w:hAnsi="Tahoma"/>
      <w:color w:val="C0504D" w:themeColor="accent2"/>
      <w:sz w:val="20"/>
    </w:rPr>
  </w:style>
  <w:style w:type="paragraph" w:customStyle="1" w:styleId="Agbulletlist">
    <w:name w:val="Ag bullet list"/>
    <w:basedOn w:val="Normal"/>
    <w:qFormat/>
    <w:rsid w:val="00EB7075"/>
    <w:pPr>
      <w:numPr>
        <w:numId w:val="16"/>
      </w:numPr>
      <w:spacing w:before="0" w:line="220" w:lineRule="exact"/>
    </w:pPr>
    <w:rPr>
      <w:rFonts w:eastAsiaTheme="minorHAnsi" w:cs="VIC-SemiBold"/>
      <w:color w:val="000000" w:themeColor="text1"/>
      <w:szCs w:val="52"/>
      <w:lang w:val="en-US"/>
    </w:rPr>
  </w:style>
  <w:style w:type="paragraph" w:styleId="FootnoteText">
    <w:name w:val="footnote text"/>
    <w:basedOn w:val="Normal"/>
    <w:link w:val="FootnoteTextChar"/>
    <w:uiPriority w:val="99"/>
    <w:semiHidden/>
    <w:unhideWhenUsed/>
    <w:rsid w:val="00EB7075"/>
    <w:pPr>
      <w:spacing w:before="0" w:after="0"/>
    </w:pPr>
    <w:rPr>
      <w:rFonts w:eastAsiaTheme="minorHAnsi" w:cs="VIC-SemiBold"/>
      <w:color w:val="000000" w:themeColor="text1"/>
      <w:sz w:val="20"/>
      <w:lang w:val="en-US"/>
    </w:rPr>
  </w:style>
  <w:style w:type="character" w:customStyle="1" w:styleId="FootnoteTextChar">
    <w:name w:val="Footnote Text Char"/>
    <w:basedOn w:val="DefaultParagraphFont"/>
    <w:link w:val="FootnoteText"/>
    <w:uiPriority w:val="99"/>
    <w:semiHidden/>
    <w:rsid w:val="00EB7075"/>
    <w:rPr>
      <w:rFonts w:ascii="Arial" w:hAnsi="Arial" w:cs="VIC-SemiBold"/>
      <w:color w:val="000000" w:themeColor="text1"/>
      <w:sz w:val="20"/>
      <w:szCs w:val="20"/>
      <w:lang w:val="en-US"/>
    </w:rPr>
  </w:style>
  <w:style w:type="character" w:styleId="FootnoteReference">
    <w:name w:val="footnote reference"/>
    <w:basedOn w:val="DefaultParagraphFont"/>
    <w:uiPriority w:val="99"/>
    <w:semiHidden/>
    <w:unhideWhenUsed/>
    <w:rsid w:val="00EB7075"/>
    <w:rPr>
      <w:vertAlign w:val="superscript"/>
    </w:rPr>
  </w:style>
  <w:style w:type="paragraph" w:styleId="NoSpacing">
    <w:name w:val="No Spacing"/>
    <w:uiPriority w:val="1"/>
    <w:qFormat/>
    <w:rsid w:val="00DF548E"/>
    <w:pPr>
      <w:spacing w:after="0" w:line="240" w:lineRule="auto"/>
    </w:pPr>
  </w:style>
  <w:style w:type="character" w:styleId="CommentReference">
    <w:name w:val="annotation reference"/>
    <w:basedOn w:val="DefaultParagraphFont"/>
    <w:uiPriority w:val="99"/>
    <w:semiHidden/>
    <w:unhideWhenUsed/>
    <w:rsid w:val="00695097"/>
    <w:rPr>
      <w:sz w:val="16"/>
      <w:szCs w:val="16"/>
    </w:rPr>
  </w:style>
  <w:style w:type="paragraph" w:styleId="CommentText">
    <w:name w:val="annotation text"/>
    <w:basedOn w:val="Normal"/>
    <w:link w:val="CommentTextChar"/>
    <w:uiPriority w:val="99"/>
    <w:semiHidden/>
    <w:unhideWhenUsed/>
    <w:rsid w:val="00695097"/>
    <w:rPr>
      <w:sz w:val="20"/>
    </w:rPr>
  </w:style>
  <w:style w:type="character" w:customStyle="1" w:styleId="CommentTextChar">
    <w:name w:val="Comment Text Char"/>
    <w:basedOn w:val="DefaultParagraphFont"/>
    <w:link w:val="CommentText"/>
    <w:uiPriority w:val="99"/>
    <w:semiHidden/>
    <w:rsid w:val="00695097"/>
    <w:rPr>
      <w:rFonts w:ascii="Arial" w:eastAsia="Times New Roman" w:hAnsi="Arial" w:cs="Times New Roman"/>
      <w:color w:val="53565A"/>
      <w:sz w:val="20"/>
      <w:szCs w:val="20"/>
    </w:rPr>
  </w:style>
  <w:style w:type="paragraph" w:styleId="CommentSubject">
    <w:name w:val="annotation subject"/>
    <w:basedOn w:val="CommentText"/>
    <w:next w:val="CommentText"/>
    <w:link w:val="CommentSubjectChar"/>
    <w:uiPriority w:val="99"/>
    <w:semiHidden/>
    <w:unhideWhenUsed/>
    <w:rsid w:val="00695097"/>
    <w:rPr>
      <w:b/>
      <w:bCs/>
    </w:rPr>
  </w:style>
  <w:style w:type="character" w:customStyle="1" w:styleId="CommentSubjectChar">
    <w:name w:val="Comment Subject Char"/>
    <w:basedOn w:val="CommentTextChar"/>
    <w:link w:val="CommentSubject"/>
    <w:uiPriority w:val="99"/>
    <w:semiHidden/>
    <w:rsid w:val="00695097"/>
    <w:rPr>
      <w:rFonts w:ascii="Arial" w:eastAsia="Times New Roman" w:hAnsi="Arial" w:cs="Times New Roman"/>
      <w:b/>
      <w:bCs/>
      <w:color w:val="53565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6821</Words>
  <Characters>38880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2020-05-28T06:03:00Z</dcterms:created>
  <dcterms:modified xsi:type="dcterms:W3CDTF">2020-05-28T06:03:00Z</dcterms:modified>
</cp:coreProperties>
</file>