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E4130" w14:textId="77777777" w:rsidR="005F08AB" w:rsidRDefault="005F08AB" w:rsidP="77C1C361">
      <w:pPr>
        <w:spacing w:before="0" w:after="0"/>
        <w:jc w:val="center"/>
        <w:rPr>
          <w:b/>
          <w:bCs/>
          <w:color w:val="auto"/>
          <w:sz w:val="20"/>
        </w:rPr>
      </w:pPr>
    </w:p>
    <w:p w14:paraId="3770EABC" w14:textId="614F9FB1" w:rsidR="001D33F4" w:rsidRPr="007A0ADC" w:rsidRDefault="00B23DEC" w:rsidP="77C1C361">
      <w:pPr>
        <w:spacing w:before="0" w:after="0"/>
        <w:jc w:val="center"/>
        <w:rPr>
          <w:b/>
          <w:bCs/>
          <w:color w:val="auto"/>
          <w:sz w:val="20"/>
        </w:rPr>
      </w:pPr>
      <w:r w:rsidRPr="77C1C361">
        <w:rPr>
          <w:b/>
          <w:bCs/>
          <w:color w:val="auto"/>
          <w:sz w:val="20"/>
        </w:rPr>
        <w:t xml:space="preserve">STATEMENT OF EXPECTATIONS </w:t>
      </w:r>
    </w:p>
    <w:p w14:paraId="076E38A6" w14:textId="6F8E0C0A" w:rsidR="000F03B8" w:rsidRPr="007A0ADC" w:rsidRDefault="0054253C" w:rsidP="0054253C">
      <w:pPr>
        <w:spacing w:before="0" w:after="0"/>
        <w:rPr>
          <w:b/>
          <w:bCs/>
          <w:color w:val="auto"/>
          <w:sz w:val="20"/>
        </w:rPr>
      </w:pPr>
      <w:r>
        <w:rPr>
          <w:b/>
          <w:bCs/>
          <w:color w:val="auto"/>
          <w:sz w:val="20"/>
        </w:rPr>
        <w:t xml:space="preserve">                                                                                                            </w:t>
      </w:r>
      <w:r w:rsidR="00EC6776">
        <w:rPr>
          <w:b/>
          <w:bCs/>
          <w:color w:val="auto"/>
          <w:sz w:val="20"/>
        </w:rPr>
        <w:t xml:space="preserve">FINAL </w:t>
      </w:r>
      <w:r w:rsidR="00C6714B">
        <w:rPr>
          <w:b/>
          <w:bCs/>
          <w:color w:val="auto"/>
          <w:sz w:val="20"/>
        </w:rPr>
        <w:t>PROGRESS</w:t>
      </w:r>
      <w:r w:rsidR="00853660">
        <w:rPr>
          <w:b/>
          <w:bCs/>
          <w:color w:val="auto"/>
          <w:sz w:val="20"/>
        </w:rPr>
        <w:t xml:space="preserve"> </w:t>
      </w:r>
      <w:r w:rsidR="00B23DEC" w:rsidRPr="007A0ADC">
        <w:rPr>
          <w:b/>
          <w:bCs/>
          <w:color w:val="auto"/>
          <w:sz w:val="20"/>
        </w:rPr>
        <w:t>REPORT</w:t>
      </w:r>
    </w:p>
    <w:p w14:paraId="725F1F4E" w14:textId="05979EBB" w:rsidR="004D5F9F" w:rsidRPr="007A0ADC" w:rsidRDefault="004D5F9F" w:rsidP="000F03B8">
      <w:pPr>
        <w:spacing w:before="0" w:after="0"/>
        <w:jc w:val="center"/>
        <w:rPr>
          <w:b/>
          <w:bCs/>
          <w:color w:val="auto"/>
          <w:sz w:val="20"/>
        </w:rPr>
      </w:pPr>
      <w:r w:rsidRPr="007A0ADC">
        <w:rPr>
          <w:b/>
          <w:bCs/>
          <w:color w:val="auto"/>
          <w:sz w:val="20"/>
        </w:rPr>
        <w:t>(</w:t>
      </w:r>
      <w:r w:rsidR="00B23DEC" w:rsidRPr="007A0ADC">
        <w:rPr>
          <w:b/>
          <w:bCs/>
          <w:color w:val="auto"/>
          <w:sz w:val="20"/>
        </w:rPr>
        <w:t>1 July 202</w:t>
      </w:r>
      <w:r w:rsidR="00D04F1C">
        <w:rPr>
          <w:b/>
          <w:bCs/>
          <w:color w:val="auto"/>
          <w:sz w:val="20"/>
        </w:rPr>
        <w:t>2</w:t>
      </w:r>
      <w:r w:rsidR="00B23DEC" w:rsidRPr="007A0ADC">
        <w:rPr>
          <w:b/>
          <w:bCs/>
          <w:color w:val="auto"/>
          <w:sz w:val="20"/>
        </w:rPr>
        <w:t xml:space="preserve"> to </w:t>
      </w:r>
      <w:r w:rsidRPr="007A0ADC">
        <w:rPr>
          <w:b/>
          <w:bCs/>
          <w:color w:val="auto"/>
          <w:sz w:val="20"/>
        </w:rPr>
        <w:t>30 June 202</w:t>
      </w:r>
      <w:r w:rsidR="00885A8D">
        <w:rPr>
          <w:b/>
          <w:bCs/>
          <w:color w:val="auto"/>
          <w:sz w:val="20"/>
        </w:rPr>
        <w:t>4</w:t>
      </w:r>
      <w:r w:rsidRPr="007A0ADC">
        <w:rPr>
          <w:b/>
          <w:bCs/>
          <w:color w:val="auto"/>
          <w:sz w:val="20"/>
        </w:rPr>
        <w:t>)</w:t>
      </w:r>
    </w:p>
    <w:p w14:paraId="74E6837D" w14:textId="5499C2A9" w:rsidR="00B23DEC" w:rsidRPr="007A0ADC" w:rsidRDefault="00B23DEC" w:rsidP="000F03B8">
      <w:pPr>
        <w:spacing w:before="0" w:after="0"/>
        <w:jc w:val="center"/>
        <w:rPr>
          <w:b/>
          <w:bCs/>
          <w:color w:val="auto"/>
          <w:sz w:val="20"/>
        </w:rPr>
      </w:pPr>
    </w:p>
    <w:p w14:paraId="397DCCE1" w14:textId="5F4AD68A" w:rsidR="001A7F21" w:rsidRPr="008A0470" w:rsidRDefault="001A7F21" w:rsidP="001A7F21">
      <w:pPr>
        <w:pStyle w:val="Body"/>
        <w:rPr>
          <w:rFonts w:ascii="Arial" w:hAnsi="Arial" w:cs="Arial"/>
          <w:color w:val="auto"/>
          <w:sz w:val="20"/>
          <w:szCs w:val="20"/>
        </w:rPr>
      </w:pPr>
      <w:r w:rsidRPr="008A0470">
        <w:rPr>
          <w:rFonts w:ascii="Arial" w:hAnsi="Arial" w:cs="Arial"/>
          <w:color w:val="auto"/>
          <w:sz w:val="20"/>
          <w:szCs w:val="20"/>
        </w:rPr>
        <w:t>On 17 August 2022, the former Minister for Agriculture, Hon Gayle Tierney, issued a Statement of Expectations (SOE) to Agriculture Victoria</w:t>
      </w:r>
      <w:r w:rsidR="00E157ED">
        <w:rPr>
          <w:rFonts w:ascii="Arial" w:hAnsi="Arial" w:cs="Arial"/>
          <w:color w:val="auto"/>
          <w:sz w:val="20"/>
          <w:szCs w:val="20"/>
        </w:rPr>
        <w:t xml:space="preserve"> for the</w:t>
      </w:r>
      <w:r w:rsidR="00497D27">
        <w:rPr>
          <w:rFonts w:ascii="Arial" w:hAnsi="Arial" w:cs="Arial"/>
          <w:color w:val="auto"/>
          <w:sz w:val="20"/>
          <w:szCs w:val="20"/>
        </w:rPr>
        <w:t xml:space="preserve"> period 1 July 2022 to 30 June 2024</w:t>
      </w:r>
      <w:r w:rsidRPr="008A0470">
        <w:rPr>
          <w:rFonts w:ascii="Arial" w:hAnsi="Arial" w:cs="Arial"/>
          <w:color w:val="auto"/>
          <w:sz w:val="20"/>
          <w:szCs w:val="20"/>
        </w:rPr>
        <w:t>. Th</w:t>
      </w:r>
      <w:r w:rsidR="00812CF3">
        <w:rPr>
          <w:rFonts w:ascii="Arial" w:hAnsi="Arial" w:cs="Arial"/>
          <w:color w:val="auto"/>
          <w:sz w:val="20"/>
          <w:szCs w:val="20"/>
        </w:rPr>
        <w:t>e</w:t>
      </w:r>
      <w:r w:rsidRPr="008A0470">
        <w:rPr>
          <w:rFonts w:ascii="Arial" w:hAnsi="Arial" w:cs="Arial"/>
          <w:color w:val="auto"/>
          <w:sz w:val="20"/>
          <w:szCs w:val="20"/>
        </w:rPr>
        <w:t xml:space="preserve"> SOE outlines the Minister’s expectations for improved regulatory efficiency and effectiveness</w:t>
      </w:r>
      <w:r w:rsidR="00663FBB">
        <w:rPr>
          <w:rFonts w:ascii="Arial" w:hAnsi="Arial" w:cs="Arial"/>
          <w:color w:val="auto"/>
          <w:sz w:val="20"/>
          <w:szCs w:val="20"/>
        </w:rPr>
        <w:t xml:space="preserve">. </w:t>
      </w:r>
      <w:r w:rsidRPr="008A0470">
        <w:rPr>
          <w:rFonts w:ascii="Arial" w:hAnsi="Arial" w:cs="Arial"/>
          <w:color w:val="auto"/>
          <w:sz w:val="20"/>
          <w:szCs w:val="20"/>
        </w:rPr>
        <w:t>In response, Agriculture Victoria developed and implemented strategies to enhance its regulatory performance.</w:t>
      </w:r>
    </w:p>
    <w:p w14:paraId="2A29AB2E" w14:textId="281AA265" w:rsidR="001A7F21" w:rsidRPr="008A0470" w:rsidRDefault="001A7F21" w:rsidP="001A7F21">
      <w:pPr>
        <w:pStyle w:val="Body"/>
        <w:rPr>
          <w:rFonts w:ascii="Arial" w:hAnsi="Arial" w:cs="Arial"/>
          <w:color w:val="auto"/>
          <w:sz w:val="20"/>
          <w:szCs w:val="20"/>
        </w:rPr>
      </w:pPr>
      <w:r w:rsidRPr="008A0470">
        <w:rPr>
          <w:rFonts w:ascii="Arial" w:hAnsi="Arial" w:cs="Arial"/>
          <w:color w:val="auto"/>
          <w:sz w:val="20"/>
          <w:szCs w:val="20"/>
        </w:rPr>
        <w:t>Under the Department of Treasury and Finance SOE Framework for Regulators, Agriculture Victoria</w:t>
      </w:r>
      <w:r w:rsidR="004C7F2A">
        <w:rPr>
          <w:rFonts w:ascii="Arial" w:hAnsi="Arial" w:cs="Arial"/>
          <w:color w:val="auto"/>
          <w:sz w:val="20"/>
          <w:szCs w:val="20"/>
        </w:rPr>
        <w:t xml:space="preserve"> is required to</w:t>
      </w:r>
      <w:r w:rsidRPr="008A0470">
        <w:rPr>
          <w:rFonts w:ascii="Arial" w:hAnsi="Arial" w:cs="Arial"/>
          <w:color w:val="auto"/>
          <w:sz w:val="20"/>
          <w:szCs w:val="20"/>
        </w:rPr>
        <w:t xml:space="preserve"> report on its performance against the SOE targets for the period 1 July 2022 to 30 June 2024. </w:t>
      </w:r>
    </w:p>
    <w:p w14:paraId="1B98DC94" w14:textId="1B16EC15" w:rsidR="001A7F21" w:rsidRPr="008A0470" w:rsidRDefault="001A7F21" w:rsidP="001A7F21">
      <w:pPr>
        <w:pStyle w:val="Body"/>
        <w:rPr>
          <w:rFonts w:ascii="Arial" w:hAnsi="Arial" w:cs="Arial"/>
          <w:color w:val="auto"/>
          <w:sz w:val="20"/>
          <w:szCs w:val="20"/>
        </w:rPr>
      </w:pPr>
      <w:r w:rsidRPr="008A0470">
        <w:rPr>
          <w:rFonts w:ascii="Arial" w:hAnsi="Arial" w:cs="Arial"/>
          <w:color w:val="auto"/>
          <w:sz w:val="20"/>
          <w:szCs w:val="20"/>
        </w:rPr>
        <w:t>Agriculture Victoria made significant progress in achieving the Minister’s expectations outlined in the SOE. Through risk-based strategies, improved regulatory delivery, and proactive stakeholder engagement, Agriculture Victoria continues to enhance its regulatory efficiency and effectiveness. The key achievements are summarised below.</w:t>
      </w:r>
    </w:p>
    <w:p w14:paraId="367FEE57" w14:textId="77777777" w:rsidR="00966DA2" w:rsidRDefault="001A7F21" w:rsidP="00966DA2">
      <w:pPr>
        <w:pStyle w:val="Body"/>
        <w:rPr>
          <w:rFonts w:ascii="Arial" w:hAnsi="Arial" w:cs="Arial"/>
          <w:color w:val="auto"/>
          <w:sz w:val="20"/>
          <w:szCs w:val="20"/>
        </w:rPr>
      </w:pPr>
      <w:r w:rsidRPr="008A0470">
        <w:rPr>
          <w:rFonts w:ascii="Arial" w:hAnsi="Arial" w:cs="Arial"/>
          <w:color w:val="auto"/>
          <w:sz w:val="20"/>
          <w:szCs w:val="20"/>
        </w:rPr>
        <w:t>Further details on specific achievements are provided in the table that follows.</w:t>
      </w:r>
    </w:p>
    <w:p w14:paraId="30CC3669" w14:textId="01C9D1BD" w:rsidR="00966DA2" w:rsidRPr="00966DA2" w:rsidRDefault="00966DA2" w:rsidP="00966DA2">
      <w:pPr>
        <w:pStyle w:val="Body"/>
        <w:rPr>
          <w:rFonts w:ascii="Arial" w:hAnsi="Arial" w:cs="Arial"/>
          <w:color w:val="auto"/>
          <w:sz w:val="20"/>
          <w:szCs w:val="20"/>
        </w:rPr>
      </w:pPr>
      <w:r w:rsidRPr="00966DA2">
        <w:rPr>
          <w:rFonts w:ascii="Arial" w:hAnsi="Arial" w:cs="Arial"/>
          <w:b/>
          <w:bCs/>
          <w:color w:val="auto"/>
        </w:rPr>
        <w:t>Summary of key achievements</w:t>
      </w:r>
    </w:p>
    <w:p w14:paraId="5996A4B8" w14:textId="57173800" w:rsidR="001A7F21" w:rsidRPr="008A0470" w:rsidRDefault="001A7F21" w:rsidP="008A0470">
      <w:pPr>
        <w:pStyle w:val="BodyText"/>
        <w:rPr>
          <w:rFonts w:ascii="Arial" w:eastAsia="Arial Unicode MS" w:hAnsi="Arial" w:cs="Arial"/>
          <w:b/>
          <w:bCs/>
          <w:u w:color="000000"/>
        </w:rPr>
      </w:pPr>
      <w:r w:rsidRPr="2578F2EC">
        <w:rPr>
          <w:rFonts w:ascii="Arial" w:eastAsia="Arial Unicode MS" w:hAnsi="Arial" w:cs="Arial"/>
          <w:b/>
        </w:rPr>
        <w:t>Risk-Based Strategies</w:t>
      </w:r>
    </w:p>
    <w:p w14:paraId="343150BA" w14:textId="5312F444" w:rsidR="001A7F21" w:rsidRPr="00FC0F4A" w:rsidRDefault="425BD510" w:rsidP="00FC0F4A">
      <w:pPr>
        <w:pStyle w:val="Body"/>
        <w:rPr>
          <w:rFonts w:ascii="Arial" w:hAnsi="Arial" w:cs="Arial"/>
          <w:color w:val="auto"/>
          <w:sz w:val="20"/>
          <w:szCs w:val="20"/>
        </w:rPr>
      </w:pPr>
      <w:r w:rsidRPr="00FC0F4A">
        <w:rPr>
          <w:rFonts w:ascii="Arial" w:hAnsi="Arial" w:cs="Arial"/>
          <w:color w:val="auto"/>
          <w:sz w:val="20"/>
          <w:szCs w:val="20"/>
        </w:rPr>
        <w:t xml:space="preserve">Through the implementation of </w:t>
      </w:r>
      <w:r w:rsidR="516F874C" w:rsidRPr="00FC0F4A">
        <w:rPr>
          <w:rFonts w:ascii="Arial" w:hAnsi="Arial" w:cs="Arial"/>
          <w:color w:val="auto"/>
          <w:sz w:val="20"/>
          <w:szCs w:val="20"/>
        </w:rPr>
        <w:t>risk-based</w:t>
      </w:r>
      <w:r w:rsidRPr="00FC0F4A">
        <w:rPr>
          <w:rFonts w:ascii="Arial" w:hAnsi="Arial" w:cs="Arial"/>
          <w:color w:val="auto"/>
          <w:sz w:val="20"/>
          <w:szCs w:val="20"/>
        </w:rPr>
        <w:t xml:space="preserve"> compliance </w:t>
      </w:r>
      <w:r w:rsidR="2EC19123" w:rsidRPr="00FC0F4A">
        <w:rPr>
          <w:rFonts w:ascii="Arial" w:hAnsi="Arial" w:cs="Arial"/>
          <w:color w:val="auto"/>
          <w:sz w:val="20"/>
          <w:szCs w:val="20"/>
        </w:rPr>
        <w:t>strategies,</w:t>
      </w:r>
      <w:r w:rsidRPr="00FC0F4A">
        <w:rPr>
          <w:rFonts w:ascii="Arial" w:hAnsi="Arial" w:cs="Arial"/>
          <w:color w:val="auto"/>
          <w:sz w:val="20"/>
          <w:szCs w:val="20"/>
        </w:rPr>
        <w:t xml:space="preserve"> Agriculture Victoria achieved several key objectives:</w:t>
      </w:r>
    </w:p>
    <w:p w14:paraId="3EEB5D71" w14:textId="28A67C45" w:rsidR="001A7F21" w:rsidRPr="00FC0F4A" w:rsidRDefault="425BD510" w:rsidP="00FC0F4A">
      <w:pPr>
        <w:pStyle w:val="Body"/>
        <w:numPr>
          <w:ilvl w:val="0"/>
          <w:numId w:val="38"/>
        </w:numPr>
        <w:rPr>
          <w:rFonts w:ascii="Arial" w:hAnsi="Arial" w:cs="Arial"/>
          <w:color w:val="auto"/>
          <w:sz w:val="20"/>
          <w:szCs w:val="20"/>
        </w:rPr>
      </w:pPr>
      <w:r w:rsidRPr="77821116">
        <w:rPr>
          <w:rFonts w:ascii="Arial" w:hAnsi="Arial" w:cs="Arial"/>
          <w:color w:val="auto"/>
          <w:sz w:val="20"/>
          <w:szCs w:val="20"/>
          <w:u w:val="single"/>
        </w:rPr>
        <w:t>Developed Compliance Strategies:</w:t>
      </w:r>
      <w:r w:rsidRPr="77821116">
        <w:rPr>
          <w:rFonts w:ascii="Arial" w:hAnsi="Arial" w:cs="Arial"/>
          <w:color w:val="auto"/>
          <w:sz w:val="20"/>
          <w:szCs w:val="20"/>
        </w:rPr>
        <w:t xml:space="preserve"> Agriculture Victoria developed </w:t>
      </w:r>
      <w:r w:rsidR="000C2CDF" w:rsidRPr="77821116">
        <w:rPr>
          <w:rFonts w:ascii="Arial" w:hAnsi="Arial" w:cs="Arial"/>
          <w:color w:val="auto"/>
          <w:sz w:val="20"/>
          <w:szCs w:val="20"/>
        </w:rPr>
        <w:t>risk-based</w:t>
      </w:r>
      <w:r w:rsidRPr="77821116">
        <w:rPr>
          <w:rFonts w:ascii="Arial" w:hAnsi="Arial" w:cs="Arial"/>
          <w:color w:val="auto"/>
          <w:sz w:val="20"/>
          <w:szCs w:val="20"/>
        </w:rPr>
        <w:t xml:space="preserve"> compliance strategies tailored to </w:t>
      </w:r>
      <w:r w:rsidR="687B3479" w:rsidRPr="77821116">
        <w:rPr>
          <w:rFonts w:ascii="Arial" w:hAnsi="Arial" w:cs="Arial"/>
          <w:color w:val="auto"/>
          <w:sz w:val="20"/>
          <w:szCs w:val="20"/>
        </w:rPr>
        <w:t>support effective</w:t>
      </w:r>
      <w:r w:rsidRPr="77821116">
        <w:rPr>
          <w:rFonts w:ascii="Arial" w:hAnsi="Arial" w:cs="Arial"/>
          <w:color w:val="auto"/>
          <w:sz w:val="20"/>
          <w:szCs w:val="20"/>
        </w:rPr>
        <w:t xml:space="preserve"> risks </w:t>
      </w:r>
      <w:r w:rsidR="2ABF9DDB" w:rsidRPr="77821116">
        <w:rPr>
          <w:rFonts w:ascii="Arial" w:hAnsi="Arial" w:cs="Arial"/>
          <w:color w:val="auto"/>
          <w:sz w:val="20"/>
          <w:szCs w:val="20"/>
        </w:rPr>
        <w:t xml:space="preserve">management across </w:t>
      </w:r>
      <w:r w:rsidRPr="77821116">
        <w:rPr>
          <w:rFonts w:ascii="Arial" w:hAnsi="Arial" w:cs="Arial"/>
          <w:color w:val="auto"/>
          <w:sz w:val="20"/>
          <w:szCs w:val="20"/>
        </w:rPr>
        <w:t>all</w:t>
      </w:r>
      <w:r w:rsidR="6BD3EB3D" w:rsidRPr="77821116">
        <w:rPr>
          <w:rFonts w:ascii="Arial" w:hAnsi="Arial" w:cs="Arial"/>
          <w:color w:val="auto"/>
          <w:sz w:val="20"/>
          <w:szCs w:val="20"/>
        </w:rPr>
        <w:t xml:space="preserve"> its </w:t>
      </w:r>
      <w:r w:rsidRPr="77821116">
        <w:rPr>
          <w:rFonts w:ascii="Arial" w:hAnsi="Arial" w:cs="Arial"/>
          <w:color w:val="auto"/>
          <w:sz w:val="20"/>
          <w:szCs w:val="20"/>
        </w:rPr>
        <w:t>regulatory programs.</w:t>
      </w:r>
    </w:p>
    <w:p w14:paraId="352268F0" w14:textId="596BB506" w:rsidR="001A7F21" w:rsidRPr="00FC0F4A" w:rsidRDefault="00333F45" w:rsidP="00FC0F4A">
      <w:pPr>
        <w:pStyle w:val="Body"/>
        <w:numPr>
          <w:ilvl w:val="0"/>
          <w:numId w:val="38"/>
        </w:numPr>
        <w:rPr>
          <w:rFonts w:ascii="Arial" w:hAnsi="Arial" w:cs="Arial"/>
          <w:color w:val="auto"/>
          <w:sz w:val="20"/>
          <w:szCs w:val="20"/>
        </w:rPr>
      </w:pPr>
      <w:r>
        <w:rPr>
          <w:rFonts w:ascii="Arial" w:hAnsi="Arial" w:cs="Arial"/>
          <w:color w:val="auto"/>
          <w:sz w:val="20"/>
          <w:szCs w:val="20"/>
          <w:u w:val="single"/>
        </w:rPr>
        <w:t>Annual</w:t>
      </w:r>
      <w:r w:rsidR="425BD510" w:rsidRPr="00FC0F4A">
        <w:rPr>
          <w:rFonts w:ascii="Arial" w:hAnsi="Arial" w:cs="Arial"/>
          <w:color w:val="auto"/>
          <w:sz w:val="20"/>
          <w:szCs w:val="20"/>
          <w:u w:val="single"/>
        </w:rPr>
        <w:t xml:space="preserve"> Operational Plans:</w:t>
      </w:r>
      <w:r w:rsidR="425BD510" w:rsidRPr="00FC0F4A">
        <w:rPr>
          <w:rFonts w:ascii="Arial" w:hAnsi="Arial" w:cs="Arial"/>
          <w:color w:val="auto"/>
          <w:sz w:val="20"/>
          <w:szCs w:val="20"/>
        </w:rPr>
        <w:t xml:space="preserve"> These </w:t>
      </w:r>
      <w:r w:rsidR="0077589A">
        <w:rPr>
          <w:rFonts w:ascii="Arial" w:hAnsi="Arial" w:cs="Arial"/>
          <w:color w:val="auto"/>
          <w:sz w:val="20"/>
          <w:szCs w:val="20"/>
        </w:rPr>
        <w:t xml:space="preserve">risk-based compliance </w:t>
      </w:r>
      <w:r w:rsidR="425BD510" w:rsidRPr="00FC0F4A">
        <w:rPr>
          <w:rFonts w:ascii="Arial" w:hAnsi="Arial" w:cs="Arial"/>
          <w:color w:val="auto"/>
          <w:sz w:val="20"/>
          <w:szCs w:val="20"/>
        </w:rPr>
        <w:t>strategies were translated into annual operational plans, ensuring that regulatory objectives were pursued throughout the year.</w:t>
      </w:r>
    </w:p>
    <w:p w14:paraId="529BB3F8" w14:textId="71BAC23F" w:rsidR="001A7F21" w:rsidRPr="00FC0F4A" w:rsidRDefault="425BD510" w:rsidP="00FC0F4A">
      <w:pPr>
        <w:pStyle w:val="Body"/>
        <w:numPr>
          <w:ilvl w:val="0"/>
          <w:numId w:val="38"/>
        </w:numPr>
        <w:rPr>
          <w:rFonts w:ascii="Arial" w:hAnsi="Arial" w:cs="Arial"/>
          <w:color w:val="auto"/>
          <w:sz w:val="20"/>
          <w:szCs w:val="20"/>
        </w:rPr>
      </w:pPr>
      <w:r w:rsidRPr="00FC0F4A">
        <w:rPr>
          <w:rFonts w:ascii="Arial" w:hAnsi="Arial" w:cs="Arial"/>
          <w:color w:val="auto"/>
          <w:sz w:val="20"/>
          <w:szCs w:val="20"/>
          <w:u w:val="single"/>
        </w:rPr>
        <w:t>Implemented Environmental Scanning:</w:t>
      </w:r>
      <w:r w:rsidRPr="00FC0F4A">
        <w:rPr>
          <w:rFonts w:ascii="Arial" w:hAnsi="Arial" w:cs="Arial"/>
          <w:color w:val="auto"/>
          <w:sz w:val="20"/>
          <w:szCs w:val="20"/>
        </w:rPr>
        <w:t xml:space="preserve"> Successful implementation of environmental scanning ensured Agriculture Victoria remained aware of external factors that could impact its operations.</w:t>
      </w:r>
    </w:p>
    <w:p w14:paraId="4B1A70B0" w14:textId="162E2838" w:rsidR="001A7F21" w:rsidRPr="00FC0F4A" w:rsidRDefault="425BD510" w:rsidP="00FC0F4A">
      <w:pPr>
        <w:pStyle w:val="Body"/>
        <w:rPr>
          <w:rFonts w:ascii="Arial" w:hAnsi="Arial" w:cs="Arial"/>
          <w:color w:val="auto"/>
          <w:sz w:val="20"/>
          <w:szCs w:val="20"/>
        </w:rPr>
      </w:pPr>
      <w:r w:rsidRPr="00FC0F4A">
        <w:rPr>
          <w:rFonts w:ascii="Arial" w:hAnsi="Arial" w:cs="Arial"/>
          <w:color w:val="auto"/>
          <w:sz w:val="20"/>
          <w:szCs w:val="20"/>
        </w:rPr>
        <w:t xml:space="preserve">Overall, these efforts </w:t>
      </w:r>
      <w:r w:rsidRPr="5608AB93">
        <w:rPr>
          <w:rFonts w:ascii="Arial" w:hAnsi="Arial" w:cs="Arial"/>
          <w:color w:val="auto"/>
          <w:sz w:val="20"/>
          <w:szCs w:val="20"/>
        </w:rPr>
        <w:t>demonstrate</w:t>
      </w:r>
      <w:r w:rsidRPr="00FC0F4A">
        <w:rPr>
          <w:rFonts w:ascii="Arial" w:hAnsi="Arial" w:cs="Arial"/>
          <w:color w:val="auto"/>
          <w:sz w:val="20"/>
          <w:szCs w:val="20"/>
        </w:rPr>
        <w:t xml:space="preserve"> Agriculture Victoria's proactive approach to regulatory oversight, </w:t>
      </w:r>
      <w:r w:rsidRPr="5608AB93">
        <w:rPr>
          <w:rFonts w:ascii="Arial" w:hAnsi="Arial" w:cs="Arial"/>
          <w:color w:val="auto"/>
          <w:sz w:val="20"/>
          <w:szCs w:val="20"/>
        </w:rPr>
        <w:t>manag</w:t>
      </w:r>
      <w:r w:rsidR="5B382AD7" w:rsidRPr="5608AB93">
        <w:rPr>
          <w:rFonts w:ascii="Arial" w:hAnsi="Arial" w:cs="Arial"/>
          <w:color w:val="auto"/>
          <w:sz w:val="20"/>
          <w:szCs w:val="20"/>
        </w:rPr>
        <w:t>ing</w:t>
      </w:r>
      <w:r w:rsidRPr="00FC0F4A">
        <w:rPr>
          <w:rFonts w:ascii="Arial" w:hAnsi="Arial" w:cs="Arial"/>
          <w:color w:val="auto"/>
          <w:sz w:val="20"/>
          <w:szCs w:val="20"/>
        </w:rPr>
        <w:t xml:space="preserve"> regulatory risks efficiently, </w:t>
      </w:r>
      <w:r w:rsidRPr="5608AB93">
        <w:rPr>
          <w:rFonts w:ascii="Arial" w:hAnsi="Arial" w:cs="Arial"/>
          <w:color w:val="auto"/>
          <w:sz w:val="20"/>
          <w:szCs w:val="20"/>
        </w:rPr>
        <w:t>align</w:t>
      </w:r>
      <w:r w:rsidR="74664864" w:rsidRPr="5608AB93">
        <w:rPr>
          <w:rFonts w:ascii="Arial" w:hAnsi="Arial" w:cs="Arial"/>
          <w:color w:val="auto"/>
          <w:sz w:val="20"/>
          <w:szCs w:val="20"/>
        </w:rPr>
        <w:t>ing</w:t>
      </w:r>
      <w:r w:rsidRPr="00FC0F4A">
        <w:rPr>
          <w:rFonts w:ascii="Arial" w:hAnsi="Arial" w:cs="Arial"/>
          <w:color w:val="auto"/>
          <w:sz w:val="20"/>
          <w:szCs w:val="20"/>
        </w:rPr>
        <w:t xml:space="preserve"> operational plans with strategic goals, and </w:t>
      </w:r>
      <w:r w:rsidRPr="5608AB93">
        <w:rPr>
          <w:rFonts w:ascii="Arial" w:hAnsi="Arial" w:cs="Arial"/>
          <w:color w:val="auto"/>
          <w:sz w:val="20"/>
          <w:szCs w:val="20"/>
        </w:rPr>
        <w:t>remain</w:t>
      </w:r>
      <w:r w:rsidR="3495B79F" w:rsidRPr="5608AB93">
        <w:rPr>
          <w:rFonts w:ascii="Arial" w:hAnsi="Arial" w:cs="Arial"/>
          <w:color w:val="auto"/>
          <w:sz w:val="20"/>
          <w:szCs w:val="20"/>
        </w:rPr>
        <w:t>ing</w:t>
      </w:r>
      <w:r w:rsidRPr="00FC0F4A">
        <w:rPr>
          <w:rFonts w:ascii="Arial" w:hAnsi="Arial" w:cs="Arial"/>
          <w:color w:val="auto"/>
          <w:sz w:val="20"/>
          <w:szCs w:val="20"/>
        </w:rPr>
        <w:t xml:space="preserve"> responsive to external changes affecting </w:t>
      </w:r>
      <w:r w:rsidR="49A41C8B" w:rsidRPr="5608AB93">
        <w:rPr>
          <w:rFonts w:ascii="Arial" w:hAnsi="Arial" w:cs="Arial"/>
          <w:color w:val="auto"/>
          <w:sz w:val="20"/>
          <w:szCs w:val="20"/>
        </w:rPr>
        <w:t xml:space="preserve">its regulatory </w:t>
      </w:r>
      <w:r w:rsidR="1693A1F1" w:rsidRPr="5608AB93">
        <w:rPr>
          <w:rFonts w:ascii="Arial" w:hAnsi="Arial" w:cs="Arial"/>
          <w:color w:val="auto"/>
          <w:sz w:val="20"/>
          <w:szCs w:val="20"/>
        </w:rPr>
        <w:t>environment</w:t>
      </w:r>
      <w:r w:rsidRPr="00FC0F4A">
        <w:rPr>
          <w:rFonts w:ascii="Arial" w:hAnsi="Arial" w:cs="Arial"/>
          <w:color w:val="auto"/>
          <w:sz w:val="20"/>
          <w:szCs w:val="20"/>
        </w:rPr>
        <w:t>.</w:t>
      </w:r>
    </w:p>
    <w:p w14:paraId="6456C1B2" w14:textId="77777777" w:rsidR="00AD3F21" w:rsidRDefault="00AD3F21" w:rsidP="00FC0F4A">
      <w:pPr>
        <w:spacing w:before="0" w:after="160" w:line="276" w:lineRule="auto"/>
        <w:rPr>
          <w:rFonts w:eastAsia="Arial Unicode MS" w:cs="Arial"/>
          <w:i/>
          <w:iCs/>
          <w:color w:val="auto"/>
          <w:sz w:val="20"/>
          <w:lang w:val="en-US"/>
        </w:rPr>
      </w:pPr>
    </w:p>
    <w:p w14:paraId="5F8CC89F" w14:textId="77777777" w:rsidR="00AD3F21" w:rsidRDefault="00AD3F21" w:rsidP="00FC0F4A">
      <w:pPr>
        <w:spacing w:before="0" w:after="160" w:line="276" w:lineRule="auto"/>
        <w:rPr>
          <w:rFonts w:eastAsia="Arial Unicode MS" w:cs="Arial"/>
          <w:i/>
          <w:iCs/>
          <w:color w:val="auto"/>
          <w:sz w:val="20"/>
          <w:lang w:val="en-US"/>
        </w:rPr>
      </w:pPr>
    </w:p>
    <w:p w14:paraId="67A730FD" w14:textId="5E849DB6" w:rsidR="00F20D32" w:rsidRPr="00AD3F21" w:rsidRDefault="00F20D32" w:rsidP="00F20D32">
      <w:pPr>
        <w:spacing w:before="0" w:after="160" w:line="276" w:lineRule="auto"/>
        <w:rPr>
          <w:rFonts w:eastAsia="Arial Unicode MS" w:cs="Arial"/>
          <w:i/>
          <w:iCs/>
          <w:color w:val="auto"/>
          <w:sz w:val="20"/>
          <w:lang w:val="en-US"/>
        </w:rPr>
      </w:pPr>
      <w:r w:rsidRPr="77821116">
        <w:rPr>
          <w:rFonts w:eastAsia="Arial Unicode MS" w:cs="Arial"/>
          <w:i/>
          <w:iCs/>
          <w:color w:val="auto"/>
          <w:sz w:val="20"/>
          <w:lang w:val="en-US"/>
        </w:rPr>
        <w:lastRenderedPageBreak/>
        <w:t>Regulatory Approach and Regulatory Framework</w:t>
      </w:r>
    </w:p>
    <w:p w14:paraId="7F267043" w14:textId="6BBBCB74" w:rsidR="00C47004" w:rsidRPr="00240FE1" w:rsidRDefault="07C80383" w:rsidP="002A12F2">
      <w:pPr>
        <w:spacing w:before="0" w:after="120"/>
        <w:jc w:val="both"/>
        <w:rPr>
          <w:rFonts w:cs="Arial"/>
          <w:color w:val="auto"/>
          <w:sz w:val="20"/>
          <w:lang w:val="en-US"/>
        </w:rPr>
      </w:pPr>
      <w:r w:rsidRPr="77821116">
        <w:rPr>
          <w:rStyle w:val="normaltextrun"/>
          <w:rFonts w:eastAsia="Arial" w:cs="Arial"/>
          <w:color w:val="000000" w:themeColor="text1"/>
          <w:sz w:val="20"/>
        </w:rPr>
        <w:t xml:space="preserve">Publication of the Agriculture Victoria Regulatory Approach and Regulatory Framework has improved transparency of Agriculture Victoria’s regulatory approach and operational framework with its regulated entities and the broader community. Transparency will foster greater trust and understanding of Agriculture Victoria’s regulatory approach to </w:t>
      </w:r>
      <w:r w:rsidR="00A70533">
        <w:rPr>
          <w:rStyle w:val="normaltextrun"/>
          <w:rFonts w:eastAsia="Arial" w:cs="Arial"/>
          <w:color w:val="000000" w:themeColor="text1"/>
          <w:sz w:val="20"/>
        </w:rPr>
        <w:t>support</w:t>
      </w:r>
      <w:r w:rsidRPr="77821116">
        <w:rPr>
          <w:rStyle w:val="normaltextrun"/>
          <w:rFonts w:eastAsia="Arial" w:cs="Arial"/>
          <w:color w:val="000000" w:themeColor="text1"/>
          <w:sz w:val="20"/>
        </w:rPr>
        <w:t xml:space="preserve"> collaborative effort </w:t>
      </w:r>
      <w:r w:rsidR="009D22CC">
        <w:rPr>
          <w:rStyle w:val="normaltextrun"/>
          <w:rFonts w:eastAsia="Arial" w:cs="Arial"/>
          <w:color w:val="000000" w:themeColor="text1"/>
          <w:sz w:val="20"/>
        </w:rPr>
        <w:t>to</w:t>
      </w:r>
      <w:r w:rsidRPr="77821116">
        <w:rPr>
          <w:rStyle w:val="normaltextrun"/>
          <w:rFonts w:eastAsia="Arial" w:cs="Arial"/>
          <w:color w:val="000000" w:themeColor="text1"/>
          <w:sz w:val="20"/>
        </w:rPr>
        <w:t xml:space="preserve"> achiev</w:t>
      </w:r>
      <w:r w:rsidR="009D22CC">
        <w:rPr>
          <w:rStyle w:val="normaltextrun"/>
          <w:rFonts w:eastAsia="Arial" w:cs="Arial"/>
          <w:color w:val="000000" w:themeColor="text1"/>
          <w:sz w:val="20"/>
        </w:rPr>
        <w:t>e</w:t>
      </w:r>
      <w:r w:rsidRPr="77821116">
        <w:rPr>
          <w:rStyle w:val="normaltextrun"/>
          <w:rFonts w:eastAsia="Arial" w:cs="Arial"/>
          <w:color w:val="000000" w:themeColor="text1"/>
          <w:sz w:val="20"/>
        </w:rPr>
        <w:t xml:space="preserve"> compliance and shared responsibility.  </w:t>
      </w:r>
      <w:r w:rsidR="617D96A4" w:rsidRPr="77821116">
        <w:rPr>
          <w:rFonts w:eastAsia="Arial Unicode MS" w:cs="Arial"/>
          <w:color w:val="auto"/>
          <w:sz w:val="20"/>
          <w:lang w:val="en-US"/>
        </w:rPr>
        <w:t xml:space="preserve">The Regulatory Approach </w:t>
      </w:r>
      <w:r w:rsidR="000E100B">
        <w:rPr>
          <w:rFonts w:eastAsia="Arial Unicode MS" w:cs="Arial"/>
          <w:color w:val="auto"/>
          <w:sz w:val="20"/>
          <w:lang w:val="en-US"/>
        </w:rPr>
        <w:t>articulates</w:t>
      </w:r>
      <w:r w:rsidR="617D96A4" w:rsidRPr="77821116">
        <w:rPr>
          <w:rFonts w:eastAsia="Arial Unicode MS" w:cs="Arial"/>
          <w:color w:val="auto"/>
          <w:sz w:val="20"/>
          <w:lang w:val="en-US"/>
        </w:rPr>
        <w:t xml:space="preserve"> guiding principles for </w:t>
      </w:r>
      <w:r w:rsidR="46907C81" w:rsidRPr="77821116">
        <w:rPr>
          <w:rFonts w:eastAsia="Arial Unicode MS" w:cs="Arial"/>
          <w:color w:val="auto"/>
          <w:sz w:val="20"/>
          <w:lang w:val="en-US"/>
        </w:rPr>
        <w:t xml:space="preserve">regulated </w:t>
      </w:r>
      <w:r w:rsidR="49F900CF" w:rsidRPr="77821116">
        <w:rPr>
          <w:rFonts w:eastAsia="Arial Unicode MS" w:cs="Arial"/>
          <w:color w:val="auto"/>
          <w:sz w:val="20"/>
          <w:lang w:val="en-US"/>
        </w:rPr>
        <w:t>entities</w:t>
      </w:r>
      <w:r w:rsidR="617D96A4" w:rsidRPr="77821116">
        <w:rPr>
          <w:rFonts w:eastAsia="Arial Unicode MS" w:cs="Arial"/>
          <w:color w:val="auto"/>
          <w:sz w:val="20"/>
          <w:lang w:val="en-US"/>
        </w:rPr>
        <w:t xml:space="preserve"> and the community</w:t>
      </w:r>
      <w:r w:rsidR="00022991">
        <w:rPr>
          <w:rFonts w:eastAsia="Arial Unicode MS" w:cs="Arial"/>
          <w:color w:val="auto"/>
          <w:sz w:val="20"/>
          <w:lang w:val="en-US"/>
        </w:rPr>
        <w:t>,</w:t>
      </w:r>
      <w:r w:rsidR="009D22CC">
        <w:rPr>
          <w:rFonts w:eastAsia="Arial Unicode MS" w:cs="Arial"/>
          <w:color w:val="auto"/>
          <w:sz w:val="20"/>
          <w:lang w:val="en-US"/>
        </w:rPr>
        <w:t xml:space="preserve"> and</w:t>
      </w:r>
      <w:r w:rsidR="617D96A4" w:rsidRPr="77821116">
        <w:rPr>
          <w:rFonts w:eastAsia="Arial Unicode MS" w:cs="Arial"/>
          <w:color w:val="auto"/>
          <w:sz w:val="20"/>
          <w:lang w:val="en-US"/>
        </w:rPr>
        <w:t xml:space="preserve"> operationalises these principles </w:t>
      </w:r>
      <w:r w:rsidR="009D22CC">
        <w:rPr>
          <w:rFonts w:eastAsia="Arial Unicode MS" w:cs="Arial"/>
          <w:color w:val="auto"/>
          <w:sz w:val="20"/>
          <w:lang w:val="en-US"/>
        </w:rPr>
        <w:t>through</w:t>
      </w:r>
      <w:r w:rsidR="617D96A4" w:rsidRPr="77821116">
        <w:rPr>
          <w:rFonts w:eastAsia="Arial Unicode MS" w:cs="Arial"/>
          <w:color w:val="auto"/>
          <w:sz w:val="20"/>
          <w:lang w:val="en-US"/>
        </w:rPr>
        <w:t xml:space="preserve"> officer training and regulatory activities.</w:t>
      </w:r>
    </w:p>
    <w:p w14:paraId="20C7F6CD" w14:textId="58EEC57F" w:rsidR="004C11DB" w:rsidRPr="00240FE1" w:rsidRDefault="004C11DB" w:rsidP="00EC5B0D">
      <w:pPr>
        <w:spacing w:before="0" w:after="160" w:line="276" w:lineRule="auto"/>
        <w:rPr>
          <w:rFonts w:cs="Arial"/>
          <w:i/>
          <w:color w:val="auto"/>
          <w:sz w:val="20"/>
          <w:lang w:val="en-US"/>
        </w:rPr>
      </w:pPr>
      <w:r w:rsidRPr="5BDE9AA6">
        <w:rPr>
          <w:rFonts w:cs="Arial"/>
          <w:i/>
          <w:color w:val="auto"/>
          <w:sz w:val="20"/>
          <w:lang w:val="en-US"/>
        </w:rPr>
        <w:t>Compliance strategies</w:t>
      </w:r>
    </w:p>
    <w:p w14:paraId="623936C1" w14:textId="69B662E8" w:rsidR="001A7F21" w:rsidRPr="00FC0F4A" w:rsidRDefault="00420807" w:rsidP="00FC0F4A">
      <w:pPr>
        <w:spacing w:before="0" w:after="160" w:line="276" w:lineRule="auto"/>
        <w:rPr>
          <w:rFonts w:ascii="Calibri" w:eastAsia="Calibri" w:hAnsi="Calibri" w:cs="Calibri"/>
          <w:color w:val="auto"/>
          <w:sz w:val="24"/>
          <w:szCs w:val="24"/>
        </w:rPr>
      </w:pPr>
      <w:r>
        <w:rPr>
          <w:rFonts w:cs="Arial"/>
          <w:color w:val="auto"/>
          <w:sz w:val="20"/>
          <w:lang w:val="en-US"/>
        </w:rPr>
        <w:t>A</w:t>
      </w:r>
      <w:r w:rsidR="00EE0AB1" w:rsidRPr="5BDE9AA6">
        <w:rPr>
          <w:rFonts w:cs="Arial"/>
          <w:color w:val="auto"/>
          <w:sz w:val="20"/>
          <w:lang w:val="en-US"/>
        </w:rPr>
        <w:t xml:space="preserve">ll regulatory programs have developed compliance strategies in accordance with the Compliance Management Policy. </w:t>
      </w:r>
      <w:r w:rsidR="00F12004" w:rsidRPr="00F12004">
        <w:rPr>
          <w:rFonts w:cs="Arial"/>
          <w:color w:val="000000"/>
          <w:sz w:val="20"/>
          <w:shd w:val="clear" w:color="auto" w:fill="FFFFFF"/>
        </w:rPr>
        <w:t>These strategies are customised to prioritise and mitigate risks and inform the development of annual operational plans that enable more effective monitoring and management of risks.  </w:t>
      </w:r>
    </w:p>
    <w:p w14:paraId="47F67902" w14:textId="52B7BDC3" w:rsidR="001A7F21" w:rsidRPr="008A0470" w:rsidRDefault="001A7F21" w:rsidP="001A7F21">
      <w:pPr>
        <w:pStyle w:val="Body"/>
        <w:spacing w:before="240" w:after="240"/>
        <w:rPr>
          <w:rFonts w:ascii="Arial" w:hAnsi="Arial" w:cs="Arial"/>
          <w:i/>
          <w:iCs/>
          <w:color w:val="auto"/>
          <w:sz w:val="20"/>
          <w:szCs w:val="20"/>
          <w:lang w:val="en-AU"/>
        </w:rPr>
      </w:pPr>
      <w:r w:rsidRPr="008A0470">
        <w:rPr>
          <w:rFonts w:ascii="Arial" w:hAnsi="Arial" w:cs="Arial"/>
          <w:i/>
          <w:iCs/>
          <w:color w:val="auto"/>
          <w:sz w:val="20"/>
          <w:szCs w:val="20"/>
          <w:lang w:val="en-AU"/>
        </w:rPr>
        <w:t>Emergency Preparedness and Response</w:t>
      </w:r>
    </w:p>
    <w:p w14:paraId="558D2BF9" w14:textId="6155D2FD" w:rsidR="001A7F21" w:rsidRPr="008A0470" w:rsidRDefault="001A7F21" w:rsidP="001A7F21">
      <w:pPr>
        <w:pStyle w:val="Body"/>
        <w:spacing w:before="240" w:after="240"/>
        <w:rPr>
          <w:rFonts w:ascii="Arial" w:hAnsi="Arial" w:cs="Arial"/>
          <w:color w:val="auto"/>
          <w:sz w:val="20"/>
          <w:szCs w:val="20"/>
          <w:lang w:val="en-AU"/>
        </w:rPr>
      </w:pPr>
      <w:r w:rsidRPr="008A0470">
        <w:rPr>
          <w:rFonts w:ascii="Arial" w:hAnsi="Arial" w:cs="Arial"/>
          <w:color w:val="auto"/>
          <w:sz w:val="20"/>
          <w:szCs w:val="20"/>
          <w:lang w:val="en-AU"/>
        </w:rPr>
        <w:t xml:space="preserve">Agriculture Victoria completed essential planning, training, and preparation for effective compliance during </w:t>
      </w:r>
      <w:r w:rsidR="00837B05">
        <w:rPr>
          <w:rFonts w:ascii="Arial" w:hAnsi="Arial" w:cs="Arial"/>
          <w:color w:val="auto"/>
          <w:sz w:val="20"/>
          <w:szCs w:val="20"/>
          <w:lang w:val="en-AU"/>
        </w:rPr>
        <w:t>e</w:t>
      </w:r>
      <w:r w:rsidRPr="008A0470">
        <w:rPr>
          <w:rFonts w:ascii="Arial" w:hAnsi="Arial" w:cs="Arial"/>
          <w:color w:val="auto"/>
          <w:sz w:val="20"/>
          <w:szCs w:val="20"/>
          <w:lang w:val="en-AU"/>
        </w:rPr>
        <w:t xml:space="preserve">mergency </w:t>
      </w:r>
      <w:r w:rsidR="00837B05">
        <w:rPr>
          <w:rFonts w:ascii="Arial" w:hAnsi="Arial" w:cs="Arial"/>
          <w:color w:val="auto"/>
          <w:sz w:val="20"/>
          <w:szCs w:val="20"/>
          <w:lang w:val="en-AU"/>
        </w:rPr>
        <w:t>a</w:t>
      </w:r>
      <w:r w:rsidRPr="008A0470">
        <w:rPr>
          <w:rFonts w:ascii="Arial" w:hAnsi="Arial" w:cs="Arial"/>
          <w:color w:val="auto"/>
          <w:sz w:val="20"/>
          <w:szCs w:val="20"/>
          <w:lang w:val="en-AU"/>
        </w:rPr>
        <w:t xml:space="preserve">nimal </w:t>
      </w:r>
      <w:r w:rsidR="00837B05">
        <w:rPr>
          <w:rFonts w:ascii="Arial" w:hAnsi="Arial" w:cs="Arial"/>
          <w:color w:val="auto"/>
          <w:sz w:val="20"/>
          <w:szCs w:val="20"/>
          <w:lang w:val="en-AU"/>
        </w:rPr>
        <w:t>d</w:t>
      </w:r>
      <w:r w:rsidRPr="008A0470">
        <w:rPr>
          <w:rFonts w:ascii="Arial" w:hAnsi="Arial" w:cs="Arial"/>
          <w:color w:val="auto"/>
          <w:sz w:val="20"/>
          <w:szCs w:val="20"/>
          <w:lang w:val="en-AU"/>
        </w:rPr>
        <w:t>isease</w:t>
      </w:r>
      <w:r w:rsidR="00837B05">
        <w:rPr>
          <w:rFonts w:ascii="Arial" w:hAnsi="Arial" w:cs="Arial"/>
          <w:color w:val="auto"/>
          <w:sz w:val="20"/>
          <w:szCs w:val="20"/>
          <w:lang w:val="en-AU"/>
        </w:rPr>
        <w:t xml:space="preserve"> (EAD)</w:t>
      </w:r>
      <w:r w:rsidRPr="008A0470">
        <w:rPr>
          <w:rFonts w:ascii="Arial" w:hAnsi="Arial" w:cs="Arial"/>
          <w:color w:val="auto"/>
          <w:sz w:val="20"/>
          <w:szCs w:val="20"/>
          <w:lang w:val="en-AU"/>
        </w:rPr>
        <w:t xml:space="preserve"> outbreaks. Key efforts include</w:t>
      </w:r>
      <w:r w:rsidR="00D03F68">
        <w:rPr>
          <w:rFonts w:ascii="Arial" w:hAnsi="Arial" w:cs="Arial"/>
          <w:color w:val="auto"/>
          <w:sz w:val="20"/>
          <w:szCs w:val="20"/>
          <w:lang w:val="en-AU"/>
        </w:rPr>
        <w:t>d</w:t>
      </w:r>
      <w:r w:rsidRPr="008A0470">
        <w:rPr>
          <w:rFonts w:ascii="Arial" w:hAnsi="Arial" w:cs="Arial"/>
          <w:color w:val="auto"/>
          <w:sz w:val="20"/>
          <w:szCs w:val="20"/>
          <w:lang w:val="en-AU"/>
        </w:rPr>
        <w:t>:</w:t>
      </w:r>
    </w:p>
    <w:p w14:paraId="48B1DA34" w14:textId="2B5C7EDD" w:rsidR="00D94B90" w:rsidRPr="00D94B90" w:rsidRDefault="001A7F21" w:rsidP="00D94B90">
      <w:pPr>
        <w:pStyle w:val="ListParagraph"/>
        <w:numPr>
          <w:ilvl w:val="0"/>
          <w:numId w:val="38"/>
        </w:numPr>
        <w:rPr>
          <w:rFonts w:eastAsia="Arial Unicode MS" w:cs="Arial"/>
          <w:color w:val="auto"/>
          <w:sz w:val="20"/>
          <w:u w:color="000000"/>
          <w:lang w:val="en-US" w:eastAsia="en-AU"/>
        </w:rPr>
      </w:pPr>
      <w:r w:rsidRPr="00D94B90">
        <w:rPr>
          <w:rFonts w:cs="Arial"/>
          <w:color w:val="auto"/>
          <w:sz w:val="20"/>
          <w:u w:val="single"/>
        </w:rPr>
        <w:t>Training Programs:</w:t>
      </w:r>
      <w:r w:rsidRPr="00D94B90">
        <w:rPr>
          <w:rFonts w:cs="Arial"/>
          <w:color w:val="auto"/>
          <w:sz w:val="20"/>
        </w:rPr>
        <w:t xml:space="preserve"> </w:t>
      </w:r>
      <w:r w:rsidR="009C542F">
        <w:rPr>
          <w:rFonts w:cs="Arial"/>
          <w:color w:val="auto"/>
          <w:sz w:val="20"/>
        </w:rPr>
        <w:t>C</w:t>
      </w:r>
      <w:r w:rsidRPr="00D94B90">
        <w:rPr>
          <w:rFonts w:cs="Arial"/>
          <w:color w:val="auto"/>
          <w:sz w:val="20"/>
        </w:rPr>
        <w:t>omprehensive training for prosecuting potential breaches</w:t>
      </w:r>
      <w:r w:rsidR="00D94B90" w:rsidRPr="00D94B90">
        <w:t xml:space="preserve"> </w:t>
      </w:r>
      <w:r w:rsidR="00F20D32" w:rsidRPr="00D94B90">
        <w:rPr>
          <w:rFonts w:eastAsia="Arial Unicode MS" w:cs="Arial"/>
          <w:color w:val="auto"/>
          <w:sz w:val="20"/>
          <w:u w:color="000000"/>
          <w:lang w:val="en-US" w:eastAsia="en-AU"/>
        </w:rPr>
        <w:t>of mandatory orders and other legislative requirements</w:t>
      </w:r>
      <w:r w:rsidR="000C3005">
        <w:rPr>
          <w:rFonts w:eastAsia="Arial Unicode MS" w:cs="Arial"/>
          <w:color w:val="auto"/>
          <w:sz w:val="20"/>
          <w:u w:color="000000"/>
          <w:lang w:val="en-US" w:eastAsia="en-AU"/>
        </w:rPr>
        <w:t>.</w:t>
      </w:r>
      <w:r w:rsidR="00F20D32" w:rsidRPr="00D94B90">
        <w:rPr>
          <w:rFonts w:eastAsia="Arial Unicode MS" w:cs="Arial"/>
          <w:color w:val="auto"/>
          <w:sz w:val="20"/>
          <w:u w:color="000000"/>
          <w:lang w:val="en-US" w:eastAsia="en-AU"/>
        </w:rPr>
        <w:t xml:space="preserve"> </w:t>
      </w:r>
    </w:p>
    <w:p w14:paraId="6B64D4C6" w14:textId="22581F40"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Guidance and Coordination:</w:t>
      </w:r>
      <w:r w:rsidRPr="00065130">
        <w:rPr>
          <w:rFonts w:ascii="Arial" w:hAnsi="Arial" w:cs="Arial"/>
          <w:color w:val="auto"/>
          <w:sz w:val="20"/>
          <w:szCs w:val="20"/>
        </w:rPr>
        <w:t xml:space="preserve"> </w:t>
      </w:r>
      <w:r w:rsidR="00FB071A">
        <w:rPr>
          <w:rFonts w:ascii="Arial" w:hAnsi="Arial" w:cs="Arial"/>
          <w:color w:val="auto"/>
          <w:sz w:val="20"/>
          <w:szCs w:val="20"/>
        </w:rPr>
        <w:t>The development of</w:t>
      </w:r>
      <w:r w:rsidR="009A59A2" w:rsidRPr="00F3288F">
        <w:rPr>
          <w:rFonts w:ascii="Arial" w:hAnsi="Arial" w:cs="Arial"/>
          <w:color w:val="auto"/>
          <w:sz w:val="20"/>
          <w:szCs w:val="20"/>
        </w:rPr>
        <w:t xml:space="preserve"> </w:t>
      </w:r>
      <w:r w:rsidRPr="00F3288F">
        <w:rPr>
          <w:rFonts w:ascii="Arial" w:hAnsi="Arial" w:cs="Arial"/>
          <w:color w:val="auto"/>
          <w:sz w:val="20"/>
          <w:szCs w:val="20"/>
        </w:rPr>
        <w:t>guidance materials, establishing information-sharing arrangements, and coordinating enforcement activities with agencies like Victoria Police.</w:t>
      </w:r>
    </w:p>
    <w:p w14:paraId="1643A9D7" w14:textId="77777777" w:rsidR="001A7F21" w:rsidRPr="00F3288F" w:rsidRDefault="001A7F21" w:rsidP="00F3288F">
      <w:pPr>
        <w:pStyle w:val="Body"/>
        <w:numPr>
          <w:ilvl w:val="0"/>
          <w:numId w:val="38"/>
        </w:numPr>
        <w:rPr>
          <w:rFonts w:ascii="Arial" w:hAnsi="Arial" w:cs="Arial"/>
          <w:color w:val="auto"/>
          <w:sz w:val="20"/>
          <w:szCs w:val="20"/>
        </w:rPr>
      </w:pPr>
      <w:r w:rsidRPr="00F3288F">
        <w:rPr>
          <w:rFonts w:ascii="Arial" w:hAnsi="Arial" w:cs="Arial"/>
          <w:color w:val="auto"/>
          <w:sz w:val="20"/>
          <w:szCs w:val="20"/>
          <w:u w:val="single"/>
        </w:rPr>
        <w:t>Risk Management Strategies:</w:t>
      </w:r>
      <w:r w:rsidRPr="00065130">
        <w:rPr>
          <w:rFonts w:ascii="Arial" w:hAnsi="Arial" w:cs="Arial"/>
          <w:color w:val="auto"/>
          <w:sz w:val="20"/>
          <w:szCs w:val="20"/>
        </w:rPr>
        <w:t xml:space="preserve"> </w:t>
      </w:r>
      <w:r w:rsidRPr="00F3288F">
        <w:rPr>
          <w:rFonts w:ascii="Arial" w:hAnsi="Arial" w:cs="Arial"/>
          <w:color w:val="auto"/>
          <w:sz w:val="20"/>
          <w:szCs w:val="20"/>
        </w:rPr>
        <w:t>Implementing strategies for high-risk scenarios, such as breaches of control or restricted area orders.</w:t>
      </w:r>
    </w:p>
    <w:p w14:paraId="0276DC3F" w14:textId="5CC3E006" w:rsidR="00F36F29"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Legislative Improvements:</w:t>
      </w:r>
      <w:r w:rsidR="00566DCC" w:rsidRPr="00065130">
        <w:rPr>
          <w:rFonts w:ascii="Arial" w:hAnsi="Arial" w:cs="Arial"/>
          <w:color w:val="auto"/>
          <w:sz w:val="20"/>
          <w:szCs w:val="20"/>
        </w:rPr>
        <w:t xml:space="preserve"> </w:t>
      </w:r>
      <w:r w:rsidR="00F36F29" w:rsidRPr="00F3288F">
        <w:rPr>
          <w:rFonts w:ascii="Arial" w:hAnsi="Arial" w:cs="Arial"/>
          <w:color w:val="auto"/>
          <w:sz w:val="20"/>
          <w:szCs w:val="20"/>
        </w:rPr>
        <w:t xml:space="preserve">The </w:t>
      </w:r>
      <w:r w:rsidR="00F36F29" w:rsidRPr="00C2028F">
        <w:rPr>
          <w:rFonts w:ascii="Arial" w:hAnsi="Arial" w:cs="Arial"/>
          <w:i/>
          <w:iCs/>
          <w:color w:val="auto"/>
          <w:sz w:val="20"/>
          <w:szCs w:val="20"/>
        </w:rPr>
        <w:t>Biosecurity Legislation Amendment (Incident Response) Act 2024</w:t>
      </w:r>
      <w:r w:rsidR="00F36F29" w:rsidRPr="00F3288F">
        <w:rPr>
          <w:rFonts w:ascii="Arial" w:hAnsi="Arial" w:cs="Arial"/>
          <w:color w:val="auto"/>
          <w:sz w:val="20"/>
          <w:szCs w:val="20"/>
        </w:rPr>
        <w:t xml:space="preserve"> (BLAIR Act) received Royal Assent on 13 February 2024. The BLAIR Act amends the </w:t>
      </w:r>
      <w:r w:rsidR="00F36F29" w:rsidRPr="00C2028F">
        <w:rPr>
          <w:rFonts w:ascii="Arial" w:hAnsi="Arial" w:cs="Arial"/>
          <w:i/>
          <w:iCs/>
          <w:color w:val="auto"/>
          <w:sz w:val="20"/>
          <w:szCs w:val="20"/>
        </w:rPr>
        <w:t>Livestock Disease Control Act 1994</w:t>
      </w:r>
      <w:r w:rsidR="00F36F29" w:rsidRPr="00F3288F">
        <w:rPr>
          <w:rFonts w:ascii="Arial" w:hAnsi="Arial" w:cs="Arial"/>
          <w:color w:val="auto"/>
          <w:sz w:val="20"/>
          <w:szCs w:val="20"/>
        </w:rPr>
        <w:t xml:space="preserve">, </w:t>
      </w:r>
      <w:r w:rsidR="00F36F29" w:rsidRPr="00C2028F">
        <w:rPr>
          <w:rFonts w:ascii="Arial" w:hAnsi="Arial" w:cs="Arial"/>
          <w:i/>
          <w:iCs/>
          <w:color w:val="auto"/>
          <w:sz w:val="20"/>
          <w:szCs w:val="20"/>
        </w:rPr>
        <w:t>Livestock Management Act 2010</w:t>
      </w:r>
      <w:r w:rsidR="00F36F29" w:rsidRPr="00F3288F">
        <w:rPr>
          <w:rFonts w:ascii="Arial" w:hAnsi="Arial" w:cs="Arial"/>
          <w:color w:val="auto"/>
          <w:sz w:val="20"/>
          <w:szCs w:val="20"/>
        </w:rPr>
        <w:t xml:space="preserve"> and </w:t>
      </w:r>
      <w:r w:rsidR="00F36F29" w:rsidRPr="00C2028F">
        <w:rPr>
          <w:rFonts w:ascii="Arial" w:hAnsi="Arial" w:cs="Arial"/>
          <w:i/>
          <w:iCs/>
          <w:color w:val="auto"/>
          <w:sz w:val="20"/>
          <w:szCs w:val="20"/>
        </w:rPr>
        <w:t>Plant Biosecurity Act 2010</w:t>
      </w:r>
      <w:r w:rsidR="00F36F29" w:rsidRPr="00F3288F">
        <w:rPr>
          <w:rFonts w:ascii="Arial" w:hAnsi="Arial" w:cs="Arial"/>
          <w:color w:val="auto"/>
          <w:sz w:val="20"/>
          <w:szCs w:val="20"/>
        </w:rPr>
        <w:t xml:space="preserve"> to manage biosecurity incidents, including preparing for, responding to, and recovering from an </w:t>
      </w:r>
      <w:r w:rsidR="009738B7">
        <w:rPr>
          <w:rFonts w:ascii="Arial" w:hAnsi="Arial" w:cs="Arial"/>
          <w:color w:val="auto"/>
          <w:sz w:val="20"/>
          <w:szCs w:val="20"/>
        </w:rPr>
        <w:t>EAD</w:t>
      </w:r>
      <w:r w:rsidR="00F3288F" w:rsidRPr="00F3288F">
        <w:rPr>
          <w:rFonts w:ascii="Arial" w:hAnsi="Arial" w:cs="Arial"/>
          <w:color w:val="auto"/>
          <w:sz w:val="20"/>
          <w:szCs w:val="20"/>
        </w:rPr>
        <w:t>,</w:t>
      </w:r>
      <w:r w:rsidR="00F36F29" w:rsidRPr="00F3288F">
        <w:rPr>
          <w:rFonts w:ascii="Arial" w:hAnsi="Arial" w:cs="Arial"/>
          <w:color w:val="auto"/>
          <w:sz w:val="20"/>
          <w:szCs w:val="20"/>
        </w:rPr>
        <w:t xml:space="preserve"> or plant pest or disease, detection or outbreak.</w:t>
      </w:r>
    </w:p>
    <w:p w14:paraId="2E4912A0" w14:textId="3945A408" w:rsidR="001A7F21" w:rsidRPr="008A0470" w:rsidRDefault="001A7F21" w:rsidP="008A0470">
      <w:pPr>
        <w:pStyle w:val="BodyText"/>
        <w:rPr>
          <w:rFonts w:ascii="Arial" w:eastAsia="Arial Unicode MS" w:hAnsi="Arial" w:cs="Arial"/>
          <w:b/>
          <w:bCs/>
          <w:u w:color="000000"/>
        </w:rPr>
      </w:pPr>
      <w:r w:rsidRPr="008A0470">
        <w:rPr>
          <w:rFonts w:ascii="Arial" w:eastAsia="Arial Unicode MS" w:hAnsi="Arial" w:cs="Arial"/>
          <w:b/>
          <w:bCs/>
          <w:u w:color="000000"/>
        </w:rPr>
        <w:t>Improved Delivery</w:t>
      </w:r>
    </w:p>
    <w:p w14:paraId="445C551F" w14:textId="7255502C" w:rsidR="001A7F21" w:rsidRPr="008A0470" w:rsidRDefault="001A7F21" w:rsidP="001A7F21">
      <w:pPr>
        <w:pStyle w:val="Body"/>
        <w:spacing w:before="240" w:after="240"/>
        <w:rPr>
          <w:rFonts w:ascii="Arial" w:hAnsi="Arial" w:cs="Arial"/>
          <w:color w:val="auto"/>
          <w:sz w:val="20"/>
          <w:szCs w:val="20"/>
          <w:lang w:val="en-AU"/>
        </w:rPr>
      </w:pPr>
      <w:r w:rsidRPr="008A0470">
        <w:rPr>
          <w:rFonts w:ascii="Arial" w:hAnsi="Arial" w:cs="Arial"/>
          <w:color w:val="auto"/>
          <w:sz w:val="20"/>
          <w:szCs w:val="20"/>
          <w:lang w:val="en-AU"/>
        </w:rPr>
        <w:t xml:space="preserve">Key initiatives Agriculture </w:t>
      </w:r>
      <w:r w:rsidR="0040731C">
        <w:rPr>
          <w:rFonts w:ascii="Arial" w:hAnsi="Arial" w:cs="Arial"/>
          <w:color w:val="auto"/>
          <w:sz w:val="20"/>
          <w:szCs w:val="20"/>
          <w:lang w:val="en-AU"/>
        </w:rPr>
        <w:t>Victoria</w:t>
      </w:r>
      <w:r w:rsidRPr="008A0470">
        <w:rPr>
          <w:rFonts w:ascii="Arial" w:hAnsi="Arial" w:cs="Arial"/>
          <w:color w:val="auto"/>
          <w:sz w:val="20"/>
          <w:szCs w:val="20"/>
          <w:lang w:val="en-AU"/>
        </w:rPr>
        <w:t xml:space="preserve"> successfully implemented to ensure the efficient delivery of its regulatory functions include</w:t>
      </w:r>
      <w:r w:rsidR="00C678BB">
        <w:rPr>
          <w:rFonts w:ascii="Arial" w:hAnsi="Arial" w:cs="Arial"/>
          <w:color w:val="auto"/>
          <w:sz w:val="20"/>
          <w:szCs w:val="20"/>
          <w:lang w:val="en-AU"/>
        </w:rPr>
        <w:t>d</w:t>
      </w:r>
      <w:r w:rsidRPr="008A0470">
        <w:rPr>
          <w:rFonts w:ascii="Arial" w:hAnsi="Arial" w:cs="Arial"/>
          <w:color w:val="auto"/>
          <w:sz w:val="20"/>
          <w:szCs w:val="20"/>
          <w:lang w:val="en-AU"/>
        </w:rPr>
        <w:t>:</w:t>
      </w:r>
    </w:p>
    <w:p w14:paraId="253A6DAA" w14:textId="2F6FC16C"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Centralisation and Development of Compliance Processes:</w:t>
      </w:r>
      <w:r w:rsidRPr="00065130">
        <w:rPr>
          <w:rFonts w:ascii="Arial" w:hAnsi="Arial" w:cs="Arial"/>
          <w:color w:val="auto"/>
          <w:sz w:val="20"/>
          <w:szCs w:val="20"/>
        </w:rPr>
        <w:t xml:space="preserve"> </w:t>
      </w:r>
      <w:r w:rsidRPr="00F3288F">
        <w:rPr>
          <w:rFonts w:ascii="Arial" w:hAnsi="Arial" w:cs="Arial"/>
          <w:color w:val="auto"/>
          <w:sz w:val="20"/>
          <w:szCs w:val="20"/>
        </w:rPr>
        <w:t>Maintenance and development of centrali</w:t>
      </w:r>
      <w:r w:rsidR="0075153E" w:rsidRPr="00F3288F">
        <w:rPr>
          <w:rFonts w:ascii="Arial" w:hAnsi="Arial" w:cs="Arial"/>
          <w:color w:val="auto"/>
          <w:sz w:val="20"/>
          <w:szCs w:val="20"/>
        </w:rPr>
        <w:t>s</w:t>
      </w:r>
      <w:r w:rsidRPr="00F3288F">
        <w:rPr>
          <w:rFonts w:ascii="Arial" w:hAnsi="Arial" w:cs="Arial"/>
          <w:color w:val="auto"/>
          <w:sz w:val="20"/>
          <w:szCs w:val="20"/>
        </w:rPr>
        <w:t>ed compliance processes and data management.</w:t>
      </w:r>
    </w:p>
    <w:p w14:paraId="4E6C3155" w14:textId="5488986C" w:rsidR="001A7F21" w:rsidRPr="00F3288F" w:rsidRDefault="001A7F21" w:rsidP="00F3288F">
      <w:pPr>
        <w:pStyle w:val="Body"/>
        <w:numPr>
          <w:ilvl w:val="0"/>
          <w:numId w:val="38"/>
        </w:numPr>
        <w:rPr>
          <w:rFonts w:ascii="Arial" w:hAnsi="Arial" w:cs="Arial"/>
          <w:color w:val="auto"/>
          <w:sz w:val="20"/>
          <w:szCs w:val="20"/>
          <w:u w:val="single"/>
        </w:rPr>
      </w:pPr>
      <w:r w:rsidRPr="2D380A65">
        <w:rPr>
          <w:rFonts w:ascii="Arial" w:hAnsi="Arial" w:cs="Arial"/>
          <w:color w:val="auto"/>
          <w:sz w:val="20"/>
          <w:szCs w:val="20"/>
          <w:u w:val="single"/>
        </w:rPr>
        <w:t>Implementation of Regulatory Business System Products:</w:t>
      </w:r>
      <w:r w:rsidRPr="2D380A65">
        <w:rPr>
          <w:rFonts w:ascii="Arial" w:hAnsi="Arial" w:cs="Arial"/>
          <w:color w:val="auto"/>
          <w:sz w:val="20"/>
          <w:szCs w:val="20"/>
        </w:rPr>
        <w:t xml:space="preserve"> Leading the implementation of regulatory business system products, including chemical use </w:t>
      </w:r>
      <w:r w:rsidR="009F5206" w:rsidRPr="2D380A65">
        <w:rPr>
          <w:rFonts w:ascii="Arial" w:hAnsi="Arial" w:cs="Arial"/>
          <w:color w:val="auto"/>
          <w:sz w:val="20"/>
          <w:szCs w:val="20"/>
        </w:rPr>
        <w:t>authorities</w:t>
      </w:r>
      <w:r w:rsidR="009F5206">
        <w:rPr>
          <w:rFonts w:ascii="Arial" w:hAnsi="Arial" w:cs="Arial"/>
          <w:color w:val="auto"/>
          <w:sz w:val="20"/>
          <w:szCs w:val="20"/>
        </w:rPr>
        <w:t>.</w:t>
      </w:r>
      <w:r w:rsidR="39FEF399" w:rsidRPr="2D380A65">
        <w:rPr>
          <w:rFonts w:ascii="Arial" w:hAnsi="Arial" w:cs="Arial"/>
          <w:color w:val="auto"/>
          <w:sz w:val="20"/>
          <w:szCs w:val="20"/>
        </w:rPr>
        <w:t xml:space="preserve"> The successful launch of Agriculture Victoria </w:t>
      </w:r>
      <w:r w:rsidR="00067A63" w:rsidRPr="2D380A65">
        <w:rPr>
          <w:rFonts w:ascii="Arial" w:hAnsi="Arial" w:cs="Arial"/>
          <w:color w:val="auto"/>
          <w:sz w:val="20"/>
          <w:szCs w:val="20"/>
        </w:rPr>
        <w:t>Connect</w:t>
      </w:r>
      <w:r w:rsidR="39FEF399" w:rsidRPr="2D380A65">
        <w:rPr>
          <w:rFonts w:ascii="Arial" w:hAnsi="Arial" w:cs="Arial"/>
          <w:color w:val="auto"/>
          <w:sz w:val="20"/>
          <w:szCs w:val="20"/>
        </w:rPr>
        <w:t xml:space="preserve"> (AV Connect)</w:t>
      </w:r>
      <w:r w:rsidR="00067A63" w:rsidRPr="2D380A65">
        <w:rPr>
          <w:rFonts w:ascii="Arial" w:hAnsi="Arial" w:cs="Arial"/>
          <w:color w:val="auto"/>
          <w:sz w:val="20"/>
          <w:szCs w:val="20"/>
        </w:rPr>
        <w:t xml:space="preserve">, our </w:t>
      </w:r>
      <w:r w:rsidR="009C6A6B" w:rsidRPr="2D380A65">
        <w:rPr>
          <w:rFonts w:ascii="Arial" w:hAnsi="Arial" w:cs="Arial"/>
          <w:color w:val="auto"/>
          <w:sz w:val="20"/>
          <w:szCs w:val="20"/>
        </w:rPr>
        <w:t>external-facing</w:t>
      </w:r>
      <w:r w:rsidR="00067A63" w:rsidRPr="2D380A65">
        <w:rPr>
          <w:rFonts w:ascii="Arial" w:hAnsi="Arial" w:cs="Arial"/>
          <w:color w:val="auto"/>
          <w:sz w:val="20"/>
          <w:szCs w:val="20"/>
        </w:rPr>
        <w:t xml:space="preserve"> constituent portal,</w:t>
      </w:r>
      <w:r w:rsidR="39FEF399" w:rsidRPr="2D380A65">
        <w:rPr>
          <w:rFonts w:ascii="Arial" w:hAnsi="Arial" w:cs="Arial"/>
          <w:color w:val="auto"/>
          <w:sz w:val="20"/>
          <w:szCs w:val="20"/>
        </w:rPr>
        <w:t xml:space="preserve"> marks a significant milestone in digital transformation. The initial deployment of chemical use </w:t>
      </w:r>
      <w:r w:rsidR="00067A63" w:rsidRPr="2D380A65">
        <w:rPr>
          <w:rFonts w:ascii="Arial" w:hAnsi="Arial" w:cs="Arial"/>
          <w:color w:val="auto"/>
          <w:sz w:val="20"/>
          <w:szCs w:val="20"/>
        </w:rPr>
        <w:t>authorities</w:t>
      </w:r>
      <w:r w:rsidR="39FEF399" w:rsidRPr="2D380A65">
        <w:rPr>
          <w:rFonts w:ascii="Arial" w:hAnsi="Arial" w:cs="Arial"/>
          <w:color w:val="auto"/>
          <w:sz w:val="20"/>
          <w:szCs w:val="20"/>
        </w:rPr>
        <w:t xml:space="preserve"> functionality has streamlined processes, reducing application costs significantly, </w:t>
      </w:r>
      <w:r w:rsidR="006D3303" w:rsidRPr="2D380A65">
        <w:rPr>
          <w:rFonts w:ascii="Arial" w:hAnsi="Arial" w:cs="Arial"/>
          <w:color w:val="auto"/>
          <w:sz w:val="20"/>
          <w:szCs w:val="20"/>
        </w:rPr>
        <w:t xml:space="preserve">and </w:t>
      </w:r>
      <w:r w:rsidR="39FEF399" w:rsidRPr="2D380A65">
        <w:rPr>
          <w:rFonts w:ascii="Arial" w:hAnsi="Arial" w:cs="Arial"/>
          <w:color w:val="auto"/>
          <w:sz w:val="20"/>
          <w:szCs w:val="20"/>
        </w:rPr>
        <w:t>saving businesses and the community substantial administrative costs.</w:t>
      </w:r>
    </w:p>
    <w:p w14:paraId="56CC117F" w14:textId="57B54BDC"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lastRenderedPageBreak/>
        <w:t>Maintenance of Existing Online Services:</w:t>
      </w:r>
      <w:r w:rsidRPr="00065130">
        <w:rPr>
          <w:rFonts w:ascii="Arial" w:hAnsi="Arial" w:cs="Arial"/>
          <w:color w:val="auto"/>
          <w:sz w:val="20"/>
          <w:szCs w:val="20"/>
        </w:rPr>
        <w:t xml:space="preserve"> </w:t>
      </w:r>
      <w:r w:rsidR="00A56E12">
        <w:rPr>
          <w:rFonts w:ascii="Arial" w:hAnsi="Arial" w:cs="Arial"/>
          <w:color w:val="auto"/>
          <w:sz w:val="20"/>
          <w:szCs w:val="20"/>
        </w:rPr>
        <w:t xml:space="preserve">This provided for the </w:t>
      </w:r>
      <w:r w:rsidR="4153B01F" w:rsidRPr="350F6AEA">
        <w:rPr>
          <w:rFonts w:ascii="Arial" w:hAnsi="Arial" w:cs="Arial"/>
          <w:color w:val="auto"/>
          <w:sz w:val="20"/>
          <w:szCs w:val="20"/>
        </w:rPr>
        <w:t>c</w:t>
      </w:r>
      <w:r w:rsidR="00A56E12" w:rsidRPr="350F6AEA">
        <w:rPr>
          <w:rFonts w:ascii="Arial" w:hAnsi="Arial" w:cs="Arial"/>
          <w:color w:val="auto"/>
          <w:sz w:val="20"/>
          <w:szCs w:val="20"/>
        </w:rPr>
        <w:t>ontinued</w:t>
      </w:r>
      <w:r w:rsidR="00A56E12" w:rsidRPr="00F3288F">
        <w:rPr>
          <w:rFonts w:ascii="Arial" w:hAnsi="Arial" w:cs="Arial"/>
          <w:color w:val="auto"/>
          <w:sz w:val="20"/>
          <w:szCs w:val="20"/>
        </w:rPr>
        <w:t xml:space="preserve"> </w:t>
      </w:r>
      <w:r w:rsidRPr="00F3288F">
        <w:rPr>
          <w:rFonts w:ascii="Arial" w:hAnsi="Arial" w:cs="Arial"/>
          <w:color w:val="auto"/>
          <w:sz w:val="20"/>
          <w:szCs w:val="20"/>
        </w:rPr>
        <w:t xml:space="preserve">support </w:t>
      </w:r>
      <w:r w:rsidR="00C3332B">
        <w:rPr>
          <w:rFonts w:ascii="Arial" w:hAnsi="Arial" w:cs="Arial"/>
          <w:color w:val="auto"/>
          <w:sz w:val="20"/>
          <w:szCs w:val="20"/>
        </w:rPr>
        <w:t>of</w:t>
      </w:r>
      <w:r w:rsidRPr="00F3288F">
        <w:rPr>
          <w:rFonts w:ascii="Arial" w:hAnsi="Arial" w:cs="Arial"/>
          <w:color w:val="auto"/>
          <w:sz w:val="20"/>
          <w:szCs w:val="20"/>
        </w:rPr>
        <w:t xml:space="preserve"> legacy online services, such as Livestock Tags, Property Identification Codes, Bee Registration, Plant Health Certification, and the Pet Exchange Register.</w:t>
      </w:r>
    </w:p>
    <w:p w14:paraId="6DC820CE" w14:textId="77EBE48B"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Extension and Improvement of the Pet Exchange Register:</w:t>
      </w:r>
      <w:r w:rsidRPr="00F3288F">
        <w:rPr>
          <w:rFonts w:ascii="Arial" w:hAnsi="Arial" w:cs="Arial"/>
          <w:color w:val="auto"/>
          <w:sz w:val="20"/>
          <w:szCs w:val="20"/>
        </w:rPr>
        <w:t xml:space="preserve"> </w:t>
      </w:r>
      <w:r w:rsidR="00144BA4">
        <w:rPr>
          <w:rFonts w:ascii="Arial" w:hAnsi="Arial" w:cs="Arial"/>
          <w:color w:val="auto"/>
          <w:sz w:val="20"/>
          <w:szCs w:val="20"/>
        </w:rPr>
        <w:t>This involved e</w:t>
      </w:r>
      <w:r w:rsidR="00144BA4" w:rsidRPr="00F3288F">
        <w:rPr>
          <w:rFonts w:ascii="Arial" w:hAnsi="Arial" w:cs="Arial"/>
          <w:color w:val="auto"/>
          <w:sz w:val="20"/>
          <w:szCs w:val="20"/>
        </w:rPr>
        <w:t xml:space="preserve">ngaging </w:t>
      </w:r>
      <w:r w:rsidRPr="00F3288F">
        <w:rPr>
          <w:rFonts w:ascii="Arial" w:hAnsi="Arial" w:cs="Arial"/>
          <w:color w:val="auto"/>
          <w:sz w:val="20"/>
          <w:szCs w:val="20"/>
        </w:rPr>
        <w:t xml:space="preserve">the service provider for two more years, enhancing </w:t>
      </w:r>
      <w:r w:rsidR="00B71196">
        <w:rPr>
          <w:rFonts w:ascii="Arial" w:hAnsi="Arial" w:cs="Arial"/>
          <w:color w:val="auto"/>
          <w:sz w:val="20"/>
          <w:szCs w:val="20"/>
        </w:rPr>
        <w:t xml:space="preserve">the </w:t>
      </w:r>
      <w:r w:rsidRPr="00F3288F">
        <w:rPr>
          <w:rFonts w:ascii="Arial" w:hAnsi="Arial" w:cs="Arial"/>
          <w:color w:val="auto"/>
          <w:sz w:val="20"/>
          <w:szCs w:val="20"/>
        </w:rPr>
        <w:t>user experience, and reviewing the database for capability.</w:t>
      </w:r>
    </w:p>
    <w:p w14:paraId="4EF35324" w14:textId="77777777" w:rsidR="001A7F21" w:rsidRPr="008A0470" w:rsidRDefault="001A7F21" w:rsidP="001A7F21">
      <w:pPr>
        <w:pStyle w:val="Body"/>
        <w:spacing w:before="240" w:after="240"/>
        <w:rPr>
          <w:rFonts w:ascii="Arial" w:hAnsi="Arial" w:cs="Arial"/>
          <w:i/>
          <w:iCs/>
          <w:color w:val="auto"/>
          <w:sz w:val="20"/>
          <w:szCs w:val="20"/>
          <w:lang w:val="en-AU"/>
        </w:rPr>
      </w:pPr>
      <w:r w:rsidRPr="008A0470">
        <w:rPr>
          <w:rFonts w:ascii="Arial" w:hAnsi="Arial" w:cs="Arial"/>
          <w:i/>
          <w:iCs/>
          <w:color w:val="auto"/>
          <w:sz w:val="20"/>
          <w:szCs w:val="20"/>
          <w:lang w:val="en-AU"/>
        </w:rPr>
        <w:t>Regulatory Staff Training and Development</w:t>
      </w:r>
    </w:p>
    <w:p w14:paraId="67C966BD" w14:textId="70F26789" w:rsidR="001A7F21" w:rsidRPr="008A0470" w:rsidRDefault="001A7F21" w:rsidP="001A7F21">
      <w:pPr>
        <w:pStyle w:val="Body"/>
        <w:spacing w:before="240" w:after="240"/>
        <w:rPr>
          <w:rFonts w:ascii="Arial" w:hAnsi="Arial" w:cs="Arial"/>
          <w:color w:val="auto"/>
          <w:sz w:val="20"/>
          <w:szCs w:val="20"/>
          <w:lang w:val="en-AU"/>
        </w:rPr>
      </w:pPr>
      <w:r w:rsidRPr="008A0470">
        <w:rPr>
          <w:rFonts w:ascii="Arial" w:hAnsi="Arial" w:cs="Arial"/>
          <w:color w:val="auto"/>
          <w:sz w:val="20"/>
          <w:szCs w:val="20"/>
          <w:lang w:val="en-AU"/>
        </w:rPr>
        <w:t xml:space="preserve">Agriculture Victoria made notable strides in enhancing regulatory skills and knowledge among Authorised Officers (AOs). The AO Induction Program </w:t>
      </w:r>
      <w:r w:rsidR="008728F8">
        <w:rPr>
          <w:rFonts w:ascii="Arial" w:hAnsi="Arial" w:cs="Arial"/>
          <w:color w:val="auto"/>
          <w:sz w:val="20"/>
          <w:szCs w:val="20"/>
          <w:lang w:val="en-AU"/>
        </w:rPr>
        <w:t>was</w:t>
      </w:r>
      <w:r w:rsidRPr="008A0470">
        <w:rPr>
          <w:rFonts w:ascii="Arial" w:hAnsi="Arial" w:cs="Arial"/>
          <w:color w:val="auto"/>
          <w:sz w:val="20"/>
          <w:szCs w:val="20"/>
          <w:lang w:val="en-AU"/>
        </w:rPr>
        <w:t xml:space="preserve"> comprehensively reviewed, ensuring alignment with current regulatory requirements. Achievements include</w:t>
      </w:r>
      <w:r w:rsidR="008728F8">
        <w:rPr>
          <w:rFonts w:ascii="Arial" w:hAnsi="Arial" w:cs="Arial"/>
          <w:color w:val="auto"/>
          <w:sz w:val="20"/>
          <w:szCs w:val="20"/>
          <w:lang w:val="en-AU"/>
        </w:rPr>
        <w:t>d</w:t>
      </w:r>
      <w:r w:rsidRPr="008A0470">
        <w:rPr>
          <w:rFonts w:ascii="Arial" w:hAnsi="Arial" w:cs="Arial"/>
          <w:color w:val="auto"/>
          <w:sz w:val="20"/>
          <w:szCs w:val="20"/>
          <w:lang w:val="en-AU"/>
        </w:rPr>
        <w:t>:</w:t>
      </w:r>
    </w:p>
    <w:p w14:paraId="3477589F" w14:textId="1C4BCAA2"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Completion and Approval of AO Certificate IV Program:</w:t>
      </w:r>
      <w:r w:rsidRPr="00065130">
        <w:rPr>
          <w:rFonts w:ascii="Arial" w:hAnsi="Arial" w:cs="Arial"/>
          <w:color w:val="auto"/>
          <w:sz w:val="20"/>
          <w:szCs w:val="20"/>
        </w:rPr>
        <w:t xml:space="preserve"> </w:t>
      </w:r>
      <w:r w:rsidRPr="00F3288F">
        <w:rPr>
          <w:rFonts w:ascii="Arial" w:hAnsi="Arial" w:cs="Arial"/>
          <w:color w:val="auto"/>
          <w:sz w:val="20"/>
          <w:szCs w:val="20"/>
        </w:rPr>
        <w:t xml:space="preserve">The Certificate IV in Government Investigations program </w:t>
      </w:r>
      <w:r w:rsidR="00EA1F60">
        <w:rPr>
          <w:rFonts w:ascii="Arial" w:hAnsi="Arial" w:cs="Arial"/>
          <w:color w:val="auto"/>
          <w:sz w:val="20"/>
          <w:szCs w:val="20"/>
        </w:rPr>
        <w:t>was</w:t>
      </w:r>
      <w:r w:rsidRPr="00F3288F">
        <w:rPr>
          <w:rFonts w:ascii="Arial" w:hAnsi="Arial" w:cs="Arial"/>
          <w:color w:val="auto"/>
          <w:sz w:val="20"/>
          <w:szCs w:val="20"/>
        </w:rPr>
        <w:t xml:space="preserve"> successfully planned and approved.</w:t>
      </w:r>
    </w:p>
    <w:p w14:paraId="618F9E2E" w14:textId="18A6BA3B" w:rsidR="001A7F21" w:rsidRPr="00F3288F" w:rsidRDefault="001A7F21" w:rsidP="00F3288F">
      <w:pPr>
        <w:pStyle w:val="Body"/>
        <w:numPr>
          <w:ilvl w:val="0"/>
          <w:numId w:val="38"/>
        </w:numPr>
        <w:rPr>
          <w:rFonts w:ascii="Arial" w:hAnsi="Arial" w:cs="Arial"/>
          <w:color w:val="auto"/>
          <w:sz w:val="20"/>
          <w:szCs w:val="20"/>
        </w:rPr>
      </w:pPr>
      <w:r w:rsidRPr="00F3288F">
        <w:rPr>
          <w:rFonts w:ascii="Arial" w:hAnsi="Arial" w:cs="Arial"/>
          <w:color w:val="auto"/>
          <w:sz w:val="20"/>
          <w:szCs w:val="20"/>
          <w:u w:val="single"/>
        </w:rPr>
        <w:t>Induction Programs:</w:t>
      </w:r>
      <w:r w:rsidRPr="00065130">
        <w:rPr>
          <w:rFonts w:ascii="Arial" w:hAnsi="Arial" w:cs="Arial"/>
          <w:color w:val="auto"/>
          <w:sz w:val="20"/>
          <w:szCs w:val="20"/>
        </w:rPr>
        <w:t xml:space="preserve"> </w:t>
      </w:r>
      <w:r w:rsidRPr="00F3288F">
        <w:rPr>
          <w:rFonts w:ascii="Arial" w:hAnsi="Arial" w:cs="Arial"/>
          <w:color w:val="auto"/>
          <w:sz w:val="20"/>
          <w:szCs w:val="20"/>
        </w:rPr>
        <w:t>Ongoing induction programs provide</w:t>
      </w:r>
      <w:r w:rsidR="009F45A5">
        <w:rPr>
          <w:rFonts w:ascii="Arial" w:hAnsi="Arial" w:cs="Arial"/>
          <w:color w:val="auto"/>
          <w:sz w:val="20"/>
          <w:szCs w:val="20"/>
        </w:rPr>
        <w:t>d</w:t>
      </w:r>
      <w:r w:rsidRPr="00F3288F">
        <w:rPr>
          <w:rFonts w:ascii="Arial" w:hAnsi="Arial" w:cs="Arial"/>
          <w:color w:val="auto"/>
          <w:sz w:val="20"/>
          <w:szCs w:val="20"/>
        </w:rPr>
        <w:t xml:space="preserve"> foundational knowledge to new recruits.</w:t>
      </w:r>
    </w:p>
    <w:p w14:paraId="5DB4436B" w14:textId="13B035A7"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Upskilling AOs:</w:t>
      </w:r>
      <w:r w:rsidRPr="00065130">
        <w:rPr>
          <w:rFonts w:ascii="Arial" w:hAnsi="Arial" w:cs="Arial"/>
          <w:color w:val="auto"/>
          <w:sz w:val="20"/>
          <w:szCs w:val="20"/>
        </w:rPr>
        <w:t xml:space="preserve"> </w:t>
      </w:r>
      <w:r w:rsidR="00CC67FD">
        <w:rPr>
          <w:rFonts w:ascii="Arial" w:hAnsi="Arial" w:cs="Arial"/>
          <w:color w:val="auto"/>
          <w:sz w:val="20"/>
          <w:szCs w:val="20"/>
        </w:rPr>
        <w:t>Agriculture Victoria increased</w:t>
      </w:r>
      <w:r w:rsidR="00CC67FD" w:rsidRPr="00F3288F">
        <w:rPr>
          <w:rFonts w:ascii="Arial" w:hAnsi="Arial" w:cs="Arial"/>
          <w:color w:val="auto"/>
          <w:sz w:val="20"/>
          <w:szCs w:val="20"/>
        </w:rPr>
        <w:t xml:space="preserve"> </w:t>
      </w:r>
      <w:r w:rsidR="00883590" w:rsidRPr="00F3288F">
        <w:rPr>
          <w:rFonts w:ascii="Arial" w:hAnsi="Arial" w:cs="Arial"/>
          <w:color w:val="auto"/>
          <w:sz w:val="20"/>
          <w:szCs w:val="20"/>
        </w:rPr>
        <w:t xml:space="preserve">the capability </w:t>
      </w:r>
      <w:r w:rsidR="00E2236E" w:rsidRPr="00F3288F">
        <w:rPr>
          <w:rFonts w:ascii="Arial" w:hAnsi="Arial" w:cs="Arial"/>
          <w:color w:val="auto"/>
          <w:sz w:val="20"/>
          <w:szCs w:val="20"/>
        </w:rPr>
        <w:t xml:space="preserve">of </w:t>
      </w:r>
      <w:r w:rsidR="00CC67FD">
        <w:rPr>
          <w:rFonts w:ascii="Arial" w:hAnsi="Arial" w:cs="Arial"/>
          <w:color w:val="auto"/>
          <w:sz w:val="20"/>
          <w:szCs w:val="20"/>
        </w:rPr>
        <w:t>its</w:t>
      </w:r>
      <w:r w:rsidR="00E2236E" w:rsidRPr="00F3288F">
        <w:rPr>
          <w:rFonts w:ascii="Arial" w:hAnsi="Arial" w:cs="Arial"/>
          <w:color w:val="auto"/>
          <w:sz w:val="20"/>
          <w:szCs w:val="20"/>
        </w:rPr>
        <w:t xml:space="preserve"> staff </w:t>
      </w:r>
      <w:r w:rsidR="00A66CA7" w:rsidRPr="00F3288F">
        <w:rPr>
          <w:rFonts w:ascii="Arial" w:hAnsi="Arial" w:cs="Arial"/>
          <w:color w:val="auto"/>
          <w:sz w:val="20"/>
          <w:szCs w:val="20"/>
        </w:rPr>
        <w:t>in</w:t>
      </w:r>
      <w:r w:rsidR="00C96A88" w:rsidRPr="00F3288F">
        <w:rPr>
          <w:rFonts w:ascii="Arial" w:hAnsi="Arial" w:cs="Arial"/>
          <w:color w:val="auto"/>
          <w:sz w:val="20"/>
          <w:szCs w:val="20"/>
        </w:rPr>
        <w:t xml:space="preserve"> unders</w:t>
      </w:r>
      <w:r w:rsidR="005E046F">
        <w:rPr>
          <w:rFonts w:ascii="Arial" w:hAnsi="Arial" w:cs="Arial"/>
          <w:color w:val="auto"/>
          <w:sz w:val="20"/>
          <w:szCs w:val="20"/>
        </w:rPr>
        <w:t>t</w:t>
      </w:r>
      <w:r w:rsidR="00C96A88" w:rsidRPr="00F3288F">
        <w:rPr>
          <w:rFonts w:ascii="Arial" w:hAnsi="Arial" w:cs="Arial"/>
          <w:color w:val="auto"/>
          <w:sz w:val="20"/>
          <w:szCs w:val="20"/>
        </w:rPr>
        <w:t>anding of</w:t>
      </w:r>
      <w:r w:rsidR="00461848" w:rsidRPr="00F3288F">
        <w:rPr>
          <w:rFonts w:ascii="Arial" w:hAnsi="Arial" w:cs="Arial"/>
          <w:color w:val="auto"/>
          <w:sz w:val="20"/>
          <w:szCs w:val="20"/>
        </w:rPr>
        <w:t xml:space="preserve"> relevant</w:t>
      </w:r>
      <w:r w:rsidR="00A66CA7" w:rsidRPr="00F3288F">
        <w:rPr>
          <w:rFonts w:ascii="Arial" w:hAnsi="Arial" w:cs="Arial"/>
          <w:color w:val="auto"/>
          <w:sz w:val="20"/>
          <w:szCs w:val="20"/>
        </w:rPr>
        <w:t xml:space="preserve"> legislative</w:t>
      </w:r>
      <w:r w:rsidR="00461848" w:rsidRPr="00F3288F">
        <w:rPr>
          <w:rFonts w:ascii="Arial" w:hAnsi="Arial" w:cs="Arial"/>
          <w:color w:val="auto"/>
          <w:sz w:val="20"/>
          <w:szCs w:val="20"/>
        </w:rPr>
        <w:t xml:space="preserve"> requirements </w:t>
      </w:r>
      <w:r w:rsidR="00A66CA7" w:rsidRPr="00F3288F">
        <w:rPr>
          <w:rFonts w:ascii="Arial" w:hAnsi="Arial" w:cs="Arial"/>
          <w:color w:val="auto"/>
          <w:sz w:val="20"/>
          <w:szCs w:val="20"/>
        </w:rPr>
        <w:t xml:space="preserve">and </w:t>
      </w:r>
      <w:r w:rsidR="00F3288F" w:rsidRPr="00F3288F">
        <w:rPr>
          <w:rFonts w:ascii="Arial" w:hAnsi="Arial" w:cs="Arial"/>
          <w:color w:val="auto"/>
          <w:sz w:val="20"/>
          <w:szCs w:val="20"/>
        </w:rPr>
        <w:t>risk-based</w:t>
      </w:r>
      <w:r w:rsidR="00A66CA7" w:rsidRPr="00F3288F">
        <w:rPr>
          <w:rFonts w:ascii="Arial" w:hAnsi="Arial" w:cs="Arial"/>
          <w:color w:val="auto"/>
          <w:sz w:val="20"/>
          <w:szCs w:val="20"/>
        </w:rPr>
        <w:t xml:space="preserve"> compliance and enforcement approaches</w:t>
      </w:r>
      <w:r w:rsidR="00CC67FD">
        <w:rPr>
          <w:rFonts w:ascii="Arial" w:hAnsi="Arial" w:cs="Arial"/>
          <w:color w:val="auto"/>
          <w:sz w:val="20"/>
          <w:szCs w:val="20"/>
        </w:rPr>
        <w:t>.</w:t>
      </w:r>
      <w:r w:rsidR="00A66CA7" w:rsidRPr="00F3288F">
        <w:rPr>
          <w:rFonts w:ascii="Arial" w:hAnsi="Arial" w:cs="Arial"/>
          <w:color w:val="auto"/>
          <w:sz w:val="20"/>
          <w:szCs w:val="20"/>
        </w:rPr>
        <w:t xml:space="preserve"> </w:t>
      </w:r>
    </w:p>
    <w:p w14:paraId="678B519C" w14:textId="07953E92"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eLearning Modules:</w:t>
      </w:r>
      <w:r w:rsidRPr="00065130">
        <w:rPr>
          <w:rFonts w:ascii="Arial" w:hAnsi="Arial" w:cs="Arial"/>
          <w:color w:val="auto"/>
          <w:sz w:val="20"/>
          <w:szCs w:val="20"/>
        </w:rPr>
        <w:t xml:space="preserve"> </w:t>
      </w:r>
      <w:r w:rsidR="00AE3366">
        <w:rPr>
          <w:rFonts w:ascii="Arial" w:hAnsi="Arial" w:cs="Arial"/>
          <w:color w:val="auto"/>
          <w:sz w:val="20"/>
          <w:szCs w:val="20"/>
        </w:rPr>
        <w:t xml:space="preserve">the development of </w:t>
      </w:r>
      <w:r w:rsidRPr="00F3288F">
        <w:rPr>
          <w:rFonts w:ascii="Arial" w:hAnsi="Arial" w:cs="Arial"/>
          <w:color w:val="auto"/>
          <w:sz w:val="20"/>
          <w:szCs w:val="20"/>
        </w:rPr>
        <w:t>eLearning modules</w:t>
      </w:r>
      <w:r w:rsidR="009C2E69">
        <w:rPr>
          <w:rFonts w:ascii="Arial" w:hAnsi="Arial" w:cs="Arial"/>
          <w:color w:val="auto"/>
          <w:sz w:val="20"/>
          <w:szCs w:val="20"/>
        </w:rPr>
        <w:t xml:space="preserve"> </w:t>
      </w:r>
      <w:r w:rsidRPr="00F3288F">
        <w:rPr>
          <w:rFonts w:ascii="Arial" w:hAnsi="Arial" w:cs="Arial"/>
          <w:color w:val="auto"/>
          <w:sz w:val="20"/>
          <w:szCs w:val="20"/>
        </w:rPr>
        <w:t>to improve accessibility to regulatory knowledge.</w:t>
      </w:r>
    </w:p>
    <w:p w14:paraId="66C6C388" w14:textId="2E1C2AFF" w:rsidR="001A7F21" w:rsidRPr="008A0470" w:rsidRDefault="001A7F21" w:rsidP="001A7F21">
      <w:pPr>
        <w:pStyle w:val="Body"/>
        <w:spacing w:before="240" w:after="240"/>
        <w:rPr>
          <w:rFonts w:ascii="Arial" w:hAnsi="Arial" w:cs="Arial"/>
          <w:color w:val="auto"/>
          <w:sz w:val="20"/>
          <w:szCs w:val="20"/>
          <w:lang w:val="en-AU"/>
        </w:rPr>
      </w:pPr>
      <w:r w:rsidRPr="008A0470">
        <w:rPr>
          <w:rFonts w:ascii="Arial" w:hAnsi="Arial" w:cs="Arial"/>
          <w:color w:val="auto"/>
          <w:sz w:val="20"/>
          <w:szCs w:val="20"/>
          <w:lang w:val="en-AU"/>
        </w:rPr>
        <w:t>The Compliance Management Forum, which convene</w:t>
      </w:r>
      <w:r w:rsidR="008315F8">
        <w:rPr>
          <w:rFonts w:ascii="Arial" w:hAnsi="Arial" w:cs="Arial"/>
          <w:color w:val="auto"/>
          <w:sz w:val="20"/>
          <w:szCs w:val="20"/>
          <w:lang w:val="en-AU"/>
        </w:rPr>
        <w:t>d</w:t>
      </w:r>
      <w:r w:rsidRPr="008A0470">
        <w:rPr>
          <w:rFonts w:ascii="Arial" w:hAnsi="Arial" w:cs="Arial"/>
          <w:color w:val="auto"/>
          <w:sz w:val="20"/>
          <w:szCs w:val="20"/>
          <w:lang w:val="en-AU"/>
        </w:rPr>
        <w:t xml:space="preserve"> monthly, foster</w:t>
      </w:r>
      <w:r w:rsidR="008315F8">
        <w:rPr>
          <w:rFonts w:ascii="Arial" w:hAnsi="Arial" w:cs="Arial"/>
          <w:color w:val="auto"/>
          <w:sz w:val="20"/>
          <w:szCs w:val="20"/>
          <w:lang w:val="en-AU"/>
        </w:rPr>
        <w:t>ed</w:t>
      </w:r>
      <w:r w:rsidRPr="008A0470">
        <w:rPr>
          <w:rFonts w:ascii="Arial" w:hAnsi="Arial" w:cs="Arial"/>
          <w:color w:val="auto"/>
          <w:sz w:val="20"/>
          <w:szCs w:val="20"/>
          <w:lang w:val="en-AU"/>
        </w:rPr>
        <w:t xml:space="preserve"> collaboration and knowledge exchange among compliance program managers. Agriculture Victoria's involvement in the Whole of Victorian Government regulatory reform agenda underscores its commitment to improving regulatory practices.</w:t>
      </w:r>
    </w:p>
    <w:p w14:paraId="72482DE4" w14:textId="77777777" w:rsidR="001A7F21" w:rsidRPr="008510F6" w:rsidRDefault="001A7F21" w:rsidP="00812CF3">
      <w:pPr>
        <w:pStyle w:val="BodyText"/>
        <w:rPr>
          <w:rFonts w:ascii="Arial" w:eastAsia="Arial Unicode MS" w:hAnsi="Arial" w:cs="Arial"/>
          <w:b/>
          <w:bCs/>
          <w:u w:color="000000"/>
        </w:rPr>
      </w:pPr>
      <w:r w:rsidRPr="008510F6">
        <w:rPr>
          <w:rFonts w:ascii="Arial" w:eastAsia="Arial Unicode MS" w:hAnsi="Arial" w:cs="Arial"/>
          <w:b/>
          <w:bCs/>
          <w:u w:color="000000"/>
        </w:rPr>
        <w:t>Stakeholder Engagement and Consultation</w:t>
      </w:r>
    </w:p>
    <w:p w14:paraId="56157CD6" w14:textId="7E2494BC" w:rsidR="001A7F21" w:rsidRPr="008A0470" w:rsidRDefault="001A7F21" w:rsidP="001A7F21">
      <w:pPr>
        <w:pStyle w:val="Body"/>
        <w:spacing w:before="240" w:after="240"/>
        <w:rPr>
          <w:rFonts w:ascii="Arial" w:hAnsi="Arial" w:cs="Arial"/>
          <w:color w:val="auto"/>
          <w:sz w:val="20"/>
          <w:szCs w:val="20"/>
          <w:lang w:val="en-AU"/>
        </w:rPr>
      </w:pPr>
      <w:r w:rsidRPr="008A0470">
        <w:rPr>
          <w:rFonts w:ascii="Arial" w:hAnsi="Arial" w:cs="Arial"/>
          <w:color w:val="auto"/>
          <w:sz w:val="20"/>
          <w:szCs w:val="20"/>
          <w:lang w:val="en-AU"/>
        </w:rPr>
        <w:t>Agriculture Victoria effectively informed and educated stakeholders to foster support for improved compliance through various initiatives, including:</w:t>
      </w:r>
    </w:p>
    <w:p w14:paraId="11630512" w14:textId="4C459BE0"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Transparency in Animal Use Reporting:</w:t>
      </w:r>
      <w:r w:rsidRPr="00065130">
        <w:rPr>
          <w:rFonts w:ascii="Arial" w:hAnsi="Arial" w:cs="Arial"/>
          <w:color w:val="auto"/>
          <w:sz w:val="20"/>
          <w:szCs w:val="20"/>
        </w:rPr>
        <w:t xml:space="preserve"> </w:t>
      </w:r>
      <w:r w:rsidRPr="00F3288F">
        <w:rPr>
          <w:rFonts w:ascii="Arial" w:hAnsi="Arial" w:cs="Arial"/>
          <w:color w:val="auto"/>
          <w:sz w:val="20"/>
          <w:szCs w:val="20"/>
        </w:rPr>
        <w:t xml:space="preserve">Annual reports on animals used for scientific purposes </w:t>
      </w:r>
      <w:r w:rsidR="00461D2F">
        <w:rPr>
          <w:rFonts w:ascii="Arial" w:hAnsi="Arial" w:cs="Arial"/>
          <w:color w:val="auto"/>
          <w:sz w:val="20"/>
          <w:szCs w:val="20"/>
        </w:rPr>
        <w:t>were</w:t>
      </w:r>
      <w:r w:rsidR="00461D2F" w:rsidRPr="00F3288F">
        <w:rPr>
          <w:rFonts w:ascii="Arial" w:hAnsi="Arial" w:cs="Arial"/>
          <w:color w:val="auto"/>
          <w:sz w:val="20"/>
          <w:szCs w:val="20"/>
        </w:rPr>
        <w:t xml:space="preserve"> </w:t>
      </w:r>
      <w:r w:rsidRPr="00F3288F">
        <w:rPr>
          <w:rFonts w:ascii="Arial" w:hAnsi="Arial" w:cs="Arial"/>
          <w:color w:val="auto"/>
          <w:sz w:val="20"/>
          <w:szCs w:val="20"/>
        </w:rPr>
        <w:t>published online. The 2020 Animal Use Statistics Report was released in August 2022</w:t>
      </w:r>
      <w:r w:rsidR="009A657F" w:rsidRPr="00F3288F">
        <w:rPr>
          <w:rFonts w:ascii="Arial" w:hAnsi="Arial" w:cs="Arial"/>
          <w:color w:val="auto"/>
          <w:sz w:val="20"/>
          <w:szCs w:val="20"/>
        </w:rPr>
        <w:t xml:space="preserve">. The 2021 Animal Use </w:t>
      </w:r>
      <w:r w:rsidR="00BF779A" w:rsidRPr="00F3288F">
        <w:rPr>
          <w:rFonts w:ascii="Arial" w:hAnsi="Arial" w:cs="Arial"/>
          <w:color w:val="auto"/>
          <w:sz w:val="20"/>
          <w:szCs w:val="20"/>
        </w:rPr>
        <w:t>Statistics Report was released in February 202</w:t>
      </w:r>
      <w:r w:rsidR="003D4488" w:rsidRPr="00F3288F">
        <w:rPr>
          <w:rFonts w:ascii="Arial" w:hAnsi="Arial" w:cs="Arial"/>
          <w:color w:val="auto"/>
          <w:sz w:val="20"/>
          <w:szCs w:val="20"/>
        </w:rPr>
        <w:t>4</w:t>
      </w:r>
      <w:r w:rsidR="00BF779A" w:rsidRPr="00F3288F">
        <w:rPr>
          <w:rFonts w:ascii="Arial" w:hAnsi="Arial" w:cs="Arial"/>
          <w:color w:val="auto"/>
          <w:sz w:val="20"/>
          <w:szCs w:val="20"/>
        </w:rPr>
        <w:t>. The 2022 report is due to be released in the second half of 2024.</w:t>
      </w:r>
    </w:p>
    <w:p w14:paraId="1EC64986" w14:textId="29DAEB64"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Collaboration with Community Pest Management Groups (CPMGs):</w:t>
      </w:r>
      <w:r w:rsidRPr="00065130">
        <w:rPr>
          <w:rFonts w:ascii="Arial" w:hAnsi="Arial" w:cs="Arial"/>
          <w:color w:val="auto"/>
          <w:sz w:val="20"/>
          <w:szCs w:val="20"/>
        </w:rPr>
        <w:t xml:space="preserve"> </w:t>
      </w:r>
      <w:r w:rsidR="00B04E2E">
        <w:rPr>
          <w:rFonts w:ascii="Arial" w:hAnsi="Arial" w:cs="Arial"/>
          <w:color w:val="auto"/>
          <w:sz w:val="20"/>
          <w:szCs w:val="20"/>
        </w:rPr>
        <w:t xml:space="preserve">This included the </w:t>
      </w:r>
      <w:r w:rsidR="4CE79927" w:rsidRPr="6F0400A6">
        <w:rPr>
          <w:rFonts w:ascii="Arial" w:hAnsi="Arial" w:cs="Arial"/>
          <w:color w:val="auto"/>
          <w:sz w:val="20"/>
          <w:szCs w:val="20"/>
        </w:rPr>
        <w:t>s</w:t>
      </w:r>
      <w:r w:rsidR="00B04E2E" w:rsidRPr="00F3288F">
        <w:rPr>
          <w:rFonts w:ascii="Arial" w:hAnsi="Arial" w:cs="Arial"/>
          <w:color w:val="auto"/>
          <w:sz w:val="20"/>
          <w:szCs w:val="20"/>
        </w:rPr>
        <w:t xml:space="preserve">uccessful </w:t>
      </w:r>
      <w:r w:rsidRPr="00F3288F">
        <w:rPr>
          <w:rFonts w:ascii="Arial" w:hAnsi="Arial" w:cs="Arial"/>
          <w:color w:val="auto"/>
          <w:sz w:val="20"/>
          <w:szCs w:val="20"/>
        </w:rPr>
        <w:t>collaboration with four state-wide CPMGs, offering project management support and annual operational funding.</w:t>
      </w:r>
    </w:p>
    <w:p w14:paraId="37FF662F" w14:textId="77698137"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t>Support for Animal Ethics Committees and Licence Holders:</w:t>
      </w:r>
      <w:r w:rsidRPr="00065130">
        <w:rPr>
          <w:rFonts w:ascii="Arial" w:hAnsi="Arial" w:cs="Arial"/>
          <w:color w:val="auto"/>
          <w:sz w:val="20"/>
          <w:szCs w:val="20"/>
        </w:rPr>
        <w:t xml:space="preserve"> </w:t>
      </w:r>
      <w:r w:rsidR="0095752C">
        <w:rPr>
          <w:rFonts w:ascii="Arial" w:hAnsi="Arial" w:cs="Arial"/>
          <w:color w:val="auto"/>
          <w:sz w:val="20"/>
          <w:szCs w:val="20"/>
        </w:rPr>
        <w:t>The</w:t>
      </w:r>
      <w:r w:rsidRPr="00F3288F">
        <w:rPr>
          <w:rFonts w:ascii="Arial" w:hAnsi="Arial" w:cs="Arial"/>
          <w:color w:val="auto"/>
          <w:sz w:val="20"/>
          <w:szCs w:val="20"/>
        </w:rPr>
        <w:t xml:space="preserve"> e-Learning module </w:t>
      </w:r>
      <w:r w:rsidR="0095752C">
        <w:rPr>
          <w:rFonts w:ascii="Arial" w:hAnsi="Arial" w:cs="Arial"/>
          <w:color w:val="auto"/>
          <w:sz w:val="20"/>
          <w:szCs w:val="20"/>
        </w:rPr>
        <w:t xml:space="preserve">was developed </w:t>
      </w:r>
      <w:r w:rsidRPr="00F3288F">
        <w:rPr>
          <w:rFonts w:ascii="Arial" w:hAnsi="Arial" w:cs="Arial"/>
          <w:color w:val="auto"/>
          <w:sz w:val="20"/>
          <w:szCs w:val="20"/>
        </w:rPr>
        <w:t xml:space="preserve">in </w:t>
      </w:r>
      <w:r w:rsidR="00521A03" w:rsidRPr="00F3288F">
        <w:rPr>
          <w:rFonts w:ascii="Arial" w:hAnsi="Arial" w:cs="Arial"/>
          <w:color w:val="auto"/>
          <w:sz w:val="20"/>
          <w:szCs w:val="20"/>
        </w:rPr>
        <w:t>August 2022 and</w:t>
      </w:r>
      <w:r w:rsidR="00352253">
        <w:rPr>
          <w:rFonts w:ascii="Arial" w:hAnsi="Arial" w:cs="Arial"/>
          <w:color w:val="auto"/>
          <w:sz w:val="20"/>
          <w:szCs w:val="20"/>
        </w:rPr>
        <w:t xml:space="preserve"> </w:t>
      </w:r>
      <w:r w:rsidR="00A963DC">
        <w:rPr>
          <w:rFonts w:ascii="Arial" w:hAnsi="Arial" w:cs="Arial"/>
          <w:color w:val="auto"/>
          <w:sz w:val="20"/>
          <w:szCs w:val="20"/>
        </w:rPr>
        <w:t xml:space="preserve">was </w:t>
      </w:r>
      <w:r w:rsidRPr="00F3288F">
        <w:rPr>
          <w:rFonts w:ascii="Arial" w:hAnsi="Arial" w:cs="Arial"/>
          <w:color w:val="auto"/>
          <w:sz w:val="20"/>
          <w:szCs w:val="20"/>
        </w:rPr>
        <w:t xml:space="preserve">completed by over </w:t>
      </w:r>
      <w:r w:rsidR="00121A59">
        <w:rPr>
          <w:rFonts w:ascii="Arial" w:hAnsi="Arial" w:cs="Arial"/>
          <w:color w:val="auto"/>
          <w:sz w:val="20"/>
          <w:szCs w:val="20"/>
        </w:rPr>
        <w:t>480</w:t>
      </w:r>
      <w:r w:rsidR="00BF779A" w:rsidRPr="00F3288F">
        <w:rPr>
          <w:rFonts w:ascii="Arial" w:hAnsi="Arial" w:cs="Arial"/>
          <w:color w:val="auto"/>
          <w:sz w:val="20"/>
          <w:szCs w:val="20"/>
        </w:rPr>
        <w:t xml:space="preserve"> </w:t>
      </w:r>
      <w:r w:rsidRPr="00F3288F">
        <w:rPr>
          <w:rFonts w:ascii="Arial" w:hAnsi="Arial" w:cs="Arial"/>
          <w:color w:val="auto"/>
          <w:sz w:val="20"/>
          <w:szCs w:val="20"/>
        </w:rPr>
        <w:t>individuals.</w:t>
      </w:r>
    </w:p>
    <w:p w14:paraId="5BFFDE02" w14:textId="6EA408DA" w:rsidR="001A7F21" w:rsidRPr="00F3288F" w:rsidRDefault="001A7F21" w:rsidP="00F3288F">
      <w:pPr>
        <w:pStyle w:val="Body"/>
        <w:numPr>
          <w:ilvl w:val="0"/>
          <w:numId w:val="38"/>
        </w:numPr>
        <w:rPr>
          <w:rFonts w:ascii="Arial" w:hAnsi="Arial" w:cs="Arial"/>
          <w:color w:val="auto"/>
          <w:sz w:val="20"/>
          <w:szCs w:val="20"/>
          <w:u w:val="single"/>
        </w:rPr>
      </w:pPr>
      <w:r w:rsidRPr="00F3288F">
        <w:rPr>
          <w:rFonts w:ascii="Arial" w:hAnsi="Arial" w:cs="Arial"/>
          <w:color w:val="auto"/>
          <w:sz w:val="20"/>
          <w:szCs w:val="20"/>
          <w:u w:val="single"/>
        </w:rPr>
        <w:lastRenderedPageBreak/>
        <w:t>Partnerships Against Pests Grants:</w:t>
      </w:r>
      <w:r w:rsidRPr="00065130">
        <w:rPr>
          <w:rFonts w:ascii="Arial" w:hAnsi="Arial" w:cs="Arial"/>
          <w:color w:val="auto"/>
          <w:sz w:val="20"/>
          <w:szCs w:val="20"/>
        </w:rPr>
        <w:t xml:space="preserve"> </w:t>
      </w:r>
      <w:r w:rsidR="00E33BE7">
        <w:rPr>
          <w:rFonts w:ascii="Arial" w:hAnsi="Arial" w:cs="Arial"/>
          <w:color w:val="auto"/>
          <w:sz w:val="20"/>
          <w:szCs w:val="20"/>
        </w:rPr>
        <w:t xml:space="preserve">This included the </w:t>
      </w:r>
      <w:r w:rsidR="163A9A84" w:rsidRPr="16901360">
        <w:rPr>
          <w:rFonts w:ascii="Arial" w:hAnsi="Arial" w:cs="Arial"/>
          <w:color w:val="auto"/>
          <w:sz w:val="20"/>
          <w:szCs w:val="20"/>
        </w:rPr>
        <w:t>s</w:t>
      </w:r>
      <w:r w:rsidR="00E33BE7" w:rsidRPr="16901360">
        <w:rPr>
          <w:rFonts w:ascii="Arial" w:hAnsi="Arial" w:cs="Arial"/>
          <w:color w:val="auto"/>
          <w:sz w:val="20"/>
          <w:szCs w:val="20"/>
        </w:rPr>
        <w:t>uccessful</w:t>
      </w:r>
      <w:r w:rsidR="00E33BE7" w:rsidRPr="00F3288F">
        <w:rPr>
          <w:rFonts w:ascii="Arial" w:hAnsi="Arial" w:cs="Arial"/>
          <w:color w:val="auto"/>
          <w:sz w:val="20"/>
          <w:szCs w:val="20"/>
        </w:rPr>
        <w:t xml:space="preserve"> </w:t>
      </w:r>
      <w:r w:rsidRPr="00F3288F">
        <w:rPr>
          <w:rFonts w:ascii="Arial" w:hAnsi="Arial" w:cs="Arial"/>
          <w:color w:val="auto"/>
          <w:sz w:val="20"/>
          <w:szCs w:val="20"/>
        </w:rPr>
        <w:t>delivery of Round 2 of the Partnerships Against Pests grant in May 2024, promoting community-led stakeholder engagement.</w:t>
      </w:r>
    </w:p>
    <w:p w14:paraId="01F4D0C4" w14:textId="30B75336" w:rsidR="001A7F21" w:rsidRPr="008A0470" w:rsidRDefault="001A7F21" w:rsidP="001A7F21">
      <w:pPr>
        <w:pStyle w:val="Body"/>
        <w:spacing w:before="240" w:after="240"/>
        <w:rPr>
          <w:rFonts w:ascii="Arial" w:hAnsi="Arial" w:cs="Arial"/>
          <w:color w:val="auto"/>
          <w:sz w:val="20"/>
          <w:szCs w:val="20"/>
          <w:lang w:val="en-AU"/>
        </w:rPr>
      </w:pPr>
      <w:r w:rsidRPr="2D380A65">
        <w:rPr>
          <w:rFonts w:ascii="Arial" w:hAnsi="Arial" w:cs="Arial"/>
          <w:color w:val="auto"/>
          <w:sz w:val="20"/>
          <w:szCs w:val="20"/>
          <w:lang w:val="en-AU"/>
        </w:rPr>
        <w:t xml:space="preserve">Additionally, </w:t>
      </w:r>
      <w:r w:rsidR="00EF2F3A">
        <w:rPr>
          <w:rFonts w:ascii="Arial" w:hAnsi="Arial" w:cs="Arial"/>
          <w:color w:val="auto"/>
          <w:sz w:val="20"/>
          <w:szCs w:val="20"/>
          <w:lang w:val="en-AU"/>
        </w:rPr>
        <w:t>c</w:t>
      </w:r>
      <w:r w:rsidRPr="2D380A65">
        <w:rPr>
          <w:rFonts w:ascii="Arial" w:hAnsi="Arial" w:cs="Arial"/>
          <w:color w:val="auto"/>
          <w:sz w:val="20"/>
          <w:szCs w:val="20"/>
          <w:lang w:val="en-AU"/>
        </w:rPr>
        <w:t xml:space="preserve">ollaboration </w:t>
      </w:r>
      <w:r w:rsidR="00811C98" w:rsidRPr="2D380A65">
        <w:rPr>
          <w:rFonts w:ascii="Arial" w:hAnsi="Arial" w:cs="Arial"/>
          <w:color w:val="auto"/>
          <w:sz w:val="20"/>
          <w:szCs w:val="20"/>
          <w:lang w:val="en-AU"/>
        </w:rPr>
        <w:t>across</w:t>
      </w:r>
      <w:r w:rsidR="0093431F" w:rsidRPr="2D380A65">
        <w:rPr>
          <w:rFonts w:ascii="Arial" w:hAnsi="Arial" w:cs="Arial"/>
          <w:color w:val="auto"/>
          <w:sz w:val="20"/>
          <w:szCs w:val="20"/>
          <w:lang w:val="en-AU"/>
        </w:rPr>
        <w:t xml:space="preserve"> </w:t>
      </w:r>
      <w:r w:rsidRPr="2D380A65">
        <w:rPr>
          <w:rFonts w:ascii="Arial" w:hAnsi="Arial" w:cs="Arial"/>
          <w:color w:val="auto"/>
          <w:sz w:val="20"/>
          <w:szCs w:val="20"/>
          <w:lang w:val="en-AU"/>
        </w:rPr>
        <w:t>the Department of Energy, Environment and Climate Action</w:t>
      </w:r>
      <w:r w:rsidR="00DA5313" w:rsidRPr="2D380A65">
        <w:rPr>
          <w:rFonts w:ascii="Arial" w:hAnsi="Arial" w:cs="Arial"/>
          <w:color w:val="auto"/>
          <w:sz w:val="20"/>
          <w:szCs w:val="20"/>
          <w:lang w:val="en-AU"/>
        </w:rPr>
        <w:t>,</w:t>
      </w:r>
      <w:r w:rsidRPr="2D380A65">
        <w:rPr>
          <w:rFonts w:ascii="Arial" w:hAnsi="Arial" w:cs="Arial"/>
          <w:color w:val="auto"/>
          <w:sz w:val="20"/>
          <w:szCs w:val="20"/>
          <w:lang w:val="en-AU"/>
        </w:rPr>
        <w:t xml:space="preserve"> and </w:t>
      </w:r>
      <w:r w:rsidR="0093431F" w:rsidRPr="2D380A65">
        <w:rPr>
          <w:rFonts w:ascii="Arial" w:hAnsi="Arial" w:cs="Arial"/>
          <w:color w:val="auto"/>
          <w:sz w:val="20"/>
          <w:szCs w:val="20"/>
          <w:lang w:val="en-AU"/>
        </w:rPr>
        <w:t xml:space="preserve">with </w:t>
      </w:r>
      <w:r w:rsidRPr="2D380A65">
        <w:rPr>
          <w:rFonts w:ascii="Arial" w:hAnsi="Arial" w:cs="Arial"/>
          <w:color w:val="auto"/>
          <w:sz w:val="20"/>
          <w:szCs w:val="20"/>
          <w:lang w:val="en-AU"/>
        </w:rPr>
        <w:t>Crime Stoppers Victoria</w:t>
      </w:r>
      <w:r w:rsidR="00DA5313" w:rsidRPr="2D380A65">
        <w:rPr>
          <w:rFonts w:ascii="Arial" w:hAnsi="Arial" w:cs="Arial"/>
          <w:color w:val="auto"/>
          <w:sz w:val="20"/>
          <w:szCs w:val="20"/>
          <w:lang w:val="en-AU"/>
        </w:rPr>
        <w:t>,</w:t>
      </w:r>
      <w:r w:rsidRPr="2D380A65">
        <w:rPr>
          <w:rFonts w:ascii="Arial" w:hAnsi="Arial" w:cs="Arial"/>
          <w:color w:val="auto"/>
          <w:sz w:val="20"/>
          <w:szCs w:val="20"/>
          <w:lang w:val="en-AU"/>
        </w:rPr>
        <w:t xml:space="preserve"> </w:t>
      </w:r>
      <w:r w:rsidR="000605C7" w:rsidRPr="2D380A65">
        <w:rPr>
          <w:rFonts w:ascii="Arial" w:hAnsi="Arial" w:cs="Arial"/>
          <w:color w:val="auto"/>
          <w:sz w:val="20"/>
          <w:szCs w:val="20"/>
          <w:lang w:val="en-AU"/>
        </w:rPr>
        <w:t xml:space="preserve">continued </w:t>
      </w:r>
      <w:r w:rsidRPr="2D380A65">
        <w:rPr>
          <w:rFonts w:ascii="Arial" w:hAnsi="Arial" w:cs="Arial"/>
          <w:color w:val="auto"/>
          <w:sz w:val="20"/>
          <w:szCs w:val="20"/>
          <w:lang w:val="en-AU"/>
        </w:rPr>
        <w:t>to disrupt illegal exotic pest animal trade, while quarterly meetings with RSPCA Victoria and engagement with Aboriginal communities further emphasise</w:t>
      </w:r>
      <w:r w:rsidR="000605C7" w:rsidRPr="2D380A65">
        <w:rPr>
          <w:rFonts w:ascii="Arial" w:hAnsi="Arial" w:cs="Arial"/>
          <w:color w:val="auto"/>
          <w:sz w:val="20"/>
          <w:szCs w:val="20"/>
          <w:lang w:val="en-AU"/>
        </w:rPr>
        <w:t>d</w:t>
      </w:r>
      <w:r w:rsidRPr="2D380A65">
        <w:rPr>
          <w:rFonts w:ascii="Arial" w:hAnsi="Arial" w:cs="Arial"/>
          <w:color w:val="auto"/>
          <w:sz w:val="20"/>
          <w:szCs w:val="20"/>
          <w:lang w:val="en-AU"/>
        </w:rPr>
        <w:t xml:space="preserve"> Agriculture Victoria's commitment to comprehensive stakeholder engagement.</w:t>
      </w:r>
    </w:p>
    <w:p w14:paraId="7DD1A13E" w14:textId="15A00D46" w:rsidR="310A5A13" w:rsidRPr="00064B61" w:rsidRDefault="00FF5929" w:rsidP="310A5A13">
      <w:pPr>
        <w:pStyle w:val="Body"/>
        <w:rPr>
          <w:rFonts w:ascii="Arial" w:hAnsi="Arial" w:cs="Arial"/>
          <w:b/>
          <w:bCs/>
          <w:color w:val="auto"/>
          <w:sz w:val="20"/>
          <w:szCs w:val="20"/>
        </w:rPr>
      </w:pPr>
      <w:r>
        <w:rPr>
          <w:rFonts w:ascii="Arial" w:hAnsi="Arial" w:cs="Arial"/>
          <w:b/>
          <w:bCs/>
          <w:color w:val="auto"/>
          <w:sz w:val="20"/>
          <w:szCs w:val="20"/>
        </w:rPr>
        <w:t>Progress</w:t>
      </w:r>
      <w:r w:rsidR="00064B61" w:rsidRPr="00064B61">
        <w:rPr>
          <w:rFonts w:ascii="Arial" w:hAnsi="Arial" w:cs="Arial"/>
          <w:b/>
          <w:bCs/>
          <w:color w:val="auto"/>
          <w:sz w:val="20"/>
          <w:szCs w:val="20"/>
        </w:rPr>
        <w:t xml:space="preserve"> Report</w:t>
      </w:r>
    </w:p>
    <w:tbl>
      <w:tblPr>
        <w:tblStyle w:val="TableGrid"/>
        <w:tblW w:w="0" w:type="auto"/>
        <w:tblCellMar>
          <w:top w:w="108" w:type="dxa"/>
          <w:bottom w:w="108" w:type="dxa"/>
        </w:tblCellMar>
        <w:tblLook w:val="04A0" w:firstRow="1" w:lastRow="0" w:firstColumn="1" w:lastColumn="0" w:noHBand="0" w:noVBand="1"/>
      </w:tblPr>
      <w:tblGrid>
        <w:gridCol w:w="3068"/>
        <w:gridCol w:w="3752"/>
        <w:gridCol w:w="7740"/>
      </w:tblGrid>
      <w:tr w:rsidR="00BD57FF" w:rsidRPr="007A0ADC" w14:paraId="1DD15586" w14:textId="16BE2752" w:rsidTr="67285148">
        <w:tc>
          <w:tcPr>
            <w:tcW w:w="0" w:type="auto"/>
            <w:gridSpan w:val="3"/>
            <w:shd w:val="clear" w:color="auto" w:fill="E7E6E6" w:themeFill="background2"/>
          </w:tcPr>
          <w:p w14:paraId="59D843DA" w14:textId="19F23D50" w:rsidR="00BD57FF" w:rsidRDefault="00DC3CEA" w:rsidP="00CB682A">
            <w:pPr>
              <w:spacing w:before="0" w:after="0"/>
              <w:rPr>
                <w:rFonts w:ascii="Segoe UI" w:hAnsi="Segoe UI" w:cs="Segoe UI"/>
                <w:b/>
                <w:bCs/>
                <w:color w:val="000000" w:themeColor="text1"/>
                <w:sz w:val="20"/>
              </w:rPr>
            </w:pPr>
            <w:r>
              <w:rPr>
                <w:rFonts w:ascii="Segoe UI" w:hAnsi="Segoe UI" w:cs="Segoe UI"/>
                <w:b/>
                <w:bCs/>
                <w:color w:val="000000" w:themeColor="text1"/>
                <w:sz w:val="20"/>
              </w:rPr>
              <w:t xml:space="preserve">Thematic </w:t>
            </w:r>
            <w:r w:rsidR="00BD57FF" w:rsidRPr="00E13A44">
              <w:rPr>
                <w:rFonts w:ascii="Segoe UI" w:hAnsi="Segoe UI" w:cs="Segoe UI"/>
                <w:b/>
                <w:bCs/>
                <w:color w:val="000000" w:themeColor="text1"/>
                <w:sz w:val="20"/>
              </w:rPr>
              <w:t>priority element</w:t>
            </w:r>
            <w:r w:rsidR="00BD57FF">
              <w:rPr>
                <w:rFonts w:ascii="Segoe UI" w:hAnsi="Segoe UI" w:cs="Segoe UI"/>
                <w:b/>
                <w:bCs/>
                <w:color w:val="000000" w:themeColor="text1"/>
                <w:sz w:val="20"/>
              </w:rPr>
              <w:t xml:space="preserve"> 1: Risk</w:t>
            </w:r>
            <w:r w:rsidR="00373345">
              <w:rPr>
                <w:rFonts w:ascii="Segoe UI" w:hAnsi="Segoe UI" w:cs="Segoe UI"/>
                <w:b/>
                <w:bCs/>
                <w:color w:val="000000" w:themeColor="text1"/>
                <w:sz w:val="20"/>
              </w:rPr>
              <w:t>-</w:t>
            </w:r>
            <w:r w:rsidR="00BD57FF">
              <w:rPr>
                <w:rFonts w:ascii="Segoe UI" w:hAnsi="Segoe UI" w:cs="Segoe UI"/>
                <w:b/>
                <w:bCs/>
                <w:color w:val="000000" w:themeColor="text1"/>
                <w:sz w:val="20"/>
              </w:rPr>
              <w:t>based strategies</w:t>
            </w:r>
          </w:p>
          <w:p w14:paraId="44913EBD" w14:textId="77777777" w:rsidR="00BD57FF" w:rsidRPr="00E13A44" w:rsidRDefault="00BD57FF" w:rsidP="00CB682A">
            <w:pPr>
              <w:spacing w:before="0" w:after="0"/>
              <w:rPr>
                <w:rFonts w:cs="Arial"/>
                <w:b/>
                <w:bCs/>
                <w:color w:val="000000" w:themeColor="text1"/>
                <w:sz w:val="20"/>
              </w:rPr>
            </w:pPr>
          </w:p>
          <w:p w14:paraId="420390A8" w14:textId="54AD9E5C" w:rsidR="00BD57FF" w:rsidRPr="00F039BF" w:rsidRDefault="00BD57FF" w:rsidP="00CB682A">
            <w:pPr>
              <w:spacing w:before="0" w:after="0"/>
              <w:rPr>
                <w:i/>
                <w:iCs/>
                <w:color w:val="auto"/>
                <w:sz w:val="20"/>
              </w:rPr>
            </w:pPr>
            <w:r w:rsidRPr="007A0ADC">
              <w:rPr>
                <w:i/>
                <w:iCs/>
                <w:color w:val="auto"/>
                <w:sz w:val="20"/>
              </w:rPr>
              <w:t>Agriculture Victoria to continue to focus its regulatory activity and resources to where the risks of harm to community and industry are greatest</w:t>
            </w:r>
            <w:r w:rsidR="00EE0F45">
              <w:rPr>
                <w:i/>
                <w:iCs/>
                <w:color w:val="auto"/>
                <w:sz w:val="20"/>
              </w:rPr>
              <w:t xml:space="preserve"> a</w:t>
            </w:r>
            <w:r w:rsidR="00EE0F45">
              <w:rPr>
                <w:i/>
                <w:iCs/>
                <w:color w:val="auto"/>
              </w:rPr>
              <w:t>nd</w:t>
            </w:r>
            <w:r w:rsidRPr="007A0ADC">
              <w:rPr>
                <w:i/>
                <w:iCs/>
                <w:color w:val="auto"/>
                <w:sz w:val="20"/>
              </w:rPr>
              <w:t xml:space="preserve"> continuously develop and improve its capacity as a risk-based regulator</w:t>
            </w:r>
            <w:r w:rsidR="00E31780">
              <w:rPr>
                <w:i/>
                <w:iCs/>
                <w:color w:val="auto"/>
                <w:sz w:val="20"/>
              </w:rPr>
              <w:t>.</w:t>
            </w:r>
          </w:p>
        </w:tc>
      </w:tr>
      <w:tr w:rsidR="00303D1B" w:rsidRPr="007A0ADC" w14:paraId="6E40E61D" w14:textId="7F241222" w:rsidTr="67285148">
        <w:tc>
          <w:tcPr>
            <w:tcW w:w="0" w:type="auto"/>
            <w:shd w:val="clear" w:color="auto" w:fill="E7E6E6" w:themeFill="background2"/>
          </w:tcPr>
          <w:p w14:paraId="02CABD04" w14:textId="51082F5B" w:rsidR="00BD57FF" w:rsidRPr="007A0ADC" w:rsidRDefault="00BD57FF" w:rsidP="00EC3C75">
            <w:pPr>
              <w:spacing w:before="0"/>
              <w:rPr>
                <w:rFonts w:cs="Arial"/>
                <w:b/>
                <w:bCs/>
                <w:color w:val="auto"/>
                <w:sz w:val="20"/>
              </w:rPr>
            </w:pPr>
            <w:r w:rsidRPr="007A0ADC">
              <w:rPr>
                <w:rFonts w:cs="Arial"/>
                <w:b/>
                <w:bCs/>
                <w:color w:val="auto"/>
                <w:sz w:val="20"/>
              </w:rPr>
              <w:t xml:space="preserve">Expectation </w:t>
            </w:r>
          </w:p>
        </w:tc>
        <w:tc>
          <w:tcPr>
            <w:tcW w:w="0" w:type="auto"/>
            <w:shd w:val="clear" w:color="auto" w:fill="E7E6E6" w:themeFill="background2"/>
          </w:tcPr>
          <w:p w14:paraId="6CFB4583" w14:textId="5C68B492" w:rsidR="00BD57FF" w:rsidRPr="007A0ADC" w:rsidRDefault="00BD57FF" w:rsidP="00EC3C75">
            <w:pPr>
              <w:spacing w:before="0"/>
              <w:rPr>
                <w:rFonts w:cs="Arial"/>
                <w:b/>
                <w:bCs/>
                <w:color w:val="auto"/>
                <w:sz w:val="20"/>
              </w:rPr>
            </w:pPr>
            <w:r w:rsidRPr="007A0ADC">
              <w:rPr>
                <w:rFonts w:cs="Arial"/>
                <w:b/>
                <w:bCs/>
                <w:color w:val="auto"/>
                <w:sz w:val="20"/>
              </w:rPr>
              <w:t xml:space="preserve">Outputs/Deliverables </w:t>
            </w:r>
          </w:p>
        </w:tc>
        <w:tc>
          <w:tcPr>
            <w:tcW w:w="0" w:type="auto"/>
            <w:shd w:val="clear" w:color="auto" w:fill="E7E6E6" w:themeFill="background2"/>
          </w:tcPr>
          <w:p w14:paraId="4991824F" w14:textId="2FDE9930" w:rsidR="00BD57FF" w:rsidRPr="001C424E" w:rsidRDefault="00FE477F" w:rsidP="00EC3C75">
            <w:pPr>
              <w:spacing w:before="0"/>
              <w:rPr>
                <w:rFonts w:cs="Arial"/>
                <w:b/>
                <w:bCs/>
                <w:color w:val="auto"/>
                <w:sz w:val="20"/>
              </w:rPr>
            </w:pPr>
            <w:r w:rsidRPr="001C424E">
              <w:rPr>
                <w:rFonts w:cs="Arial"/>
                <w:b/>
                <w:bCs/>
                <w:color w:val="auto"/>
                <w:sz w:val="20"/>
              </w:rPr>
              <w:t xml:space="preserve">Achievements </w:t>
            </w:r>
            <w:r w:rsidR="00BA5797" w:rsidRPr="001C424E">
              <w:rPr>
                <w:b/>
                <w:bCs/>
                <w:color w:val="auto"/>
                <w:sz w:val="20"/>
              </w:rPr>
              <w:t xml:space="preserve">as </w:t>
            </w:r>
            <w:r w:rsidR="00E31780" w:rsidRPr="001C424E">
              <w:rPr>
                <w:b/>
                <w:bCs/>
                <w:color w:val="auto"/>
                <w:sz w:val="20"/>
              </w:rPr>
              <w:t>of</w:t>
            </w:r>
            <w:r w:rsidR="00341D33" w:rsidRPr="001C424E">
              <w:rPr>
                <w:b/>
                <w:bCs/>
                <w:color w:val="auto"/>
                <w:sz w:val="20"/>
              </w:rPr>
              <w:t xml:space="preserve"> 30 June 2024</w:t>
            </w:r>
          </w:p>
        </w:tc>
      </w:tr>
      <w:tr w:rsidR="00303D1B" w:rsidRPr="007A0ADC" w14:paraId="4BE856EF" w14:textId="7F9F58D5" w:rsidTr="67285148">
        <w:tc>
          <w:tcPr>
            <w:tcW w:w="0" w:type="auto"/>
            <w:vMerge w:val="restart"/>
            <w:shd w:val="clear" w:color="auto" w:fill="auto"/>
          </w:tcPr>
          <w:p w14:paraId="18B02DC1" w14:textId="0E422657" w:rsidR="001A42FE" w:rsidRPr="00D50AEF" w:rsidRDefault="001A42FE" w:rsidP="00242A97">
            <w:pPr>
              <w:spacing w:before="0"/>
              <w:rPr>
                <w:rFonts w:cs="Arial"/>
                <w:b/>
                <w:bCs/>
                <w:color w:val="auto"/>
                <w:sz w:val="20"/>
              </w:rPr>
            </w:pPr>
            <w:r w:rsidRPr="008D0041">
              <w:rPr>
                <w:rFonts w:cs="Arial"/>
                <w:b/>
                <w:bCs/>
                <w:color w:val="000000" w:themeColor="text1"/>
                <w:sz w:val="20"/>
              </w:rPr>
              <w:t>Continue with compliance planning, and the development of risk-based compliance strategies</w:t>
            </w:r>
            <w:r w:rsidR="008D0041">
              <w:rPr>
                <w:rFonts w:cs="Arial"/>
                <w:b/>
                <w:bCs/>
                <w:color w:val="000000" w:themeColor="text1"/>
                <w:sz w:val="20"/>
              </w:rPr>
              <w:t>.</w:t>
            </w:r>
          </w:p>
        </w:tc>
        <w:tc>
          <w:tcPr>
            <w:tcW w:w="0" w:type="auto"/>
          </w:tcPr>
          <w:p w14:paraId="5B6FA97E" w14:textId="48DC57A0" w:rsidR="00DC3CEA" w:rsidRPr="007A0ADC" w:rsidRDefault="00DC3CEA" w:rsidP="00D62996">
            <w:pPr>
              <w:pStyle w:val="ListParagraph"/>
              <w:numPr>
                <w:ilvl w:val="0"/>
                <w:numId w:val="2"/>
              </w:numPr>
              <w:spacing w:before="0" w:after="0"/>
              <w:contextualSpacing w:val="0"/>
              <w:rPr>
                <w:rFonts w:cs="Arial"/>
                <w:color w:val="auto"/>
                <w:sz w:val="20"/>
              </w:rPr>
            </w:pPr>
            <w:r w:rsidRPr="007A0ADC">
              <w:rPr>
                <w:rFonts w:cs="Arial"/>
                <w:color w:val="auto"/>
                <w:sz w:val="20"/>
              </w:rPr>
              <w:t xml:space="preserve">Regulatory programs to develop compliance program strategies and annual operational plans under the Compliance Management Policy. </w:t>
            </w:r>
          </w:p>
          <w:p w14:paraId="59ECC119" w14:textId="7B0A748D" w:rsidR="00DC3CEA" w:rsidRPr="007A0ADC" w:rsidRDefault="00DC3CEA" w:rsidP="00501642">
            <w:pPr>
              <w:pStyle w:val="ListParagraph"/>
              <w:spacing w:before="0" w:after="0"/>
              <w:ind w:left="360"/>
              <w:contextualSpacing w:val="0"/>
              <w:rPr>
                <w:rFonts w:cs="Arial"/>
                <w:color w:val="auto"/>
                <w:sz w:val="20"/>
              </w:rPr>
            </w:pPr>
          </w:p>
        </w:tc>
        <w:tc>
          <w:tcPr>
            <w:tcW w:w="0" w:type="auto"/>
          </w:tcPr>
          <w:p w14:paraId="1BD4D090" w14:textId="365539BF" w:rsidR="00683C82" w:rsidRPr="00534F65" w:rsidRDefault="00683C82" w:rsidP="00174124">
            <w:pPr>
              <w:numPr>
                <w:ilvl w:val="0"/>
                <w:numId w:val="11"/>
              </w:numPr>
              <w:tabs>
                <w:tab w:val="num" w:pos="720"/>
              </w:tabs>
              <w:spacing w:before="0" w:after="0"/>
              <w:rPr>
                <w:rFonts w:cs="Arial"/>
                <w:b/>
                <w:bCs/>
                <w:color w:val="auto"/>
                <w:sz w:val="20"/>
                <w:u w:val="single"/>
              </w:rPr>
            </w:pPr>
            <w:r w:rsidRPr="00683C82">
              <w:rPr>
                <w:rFonts w:cs="Arial"/>
                <w:b/>
                <w:bCs/>
                <w:color w:val="auto"/>
                <w:sz w:val="20"/>
              </w:rPr>
              <w:t xml:space="preserve">Environmental Scanning and Compliance Strategy Development: </w:t>
            </w:r>
            <w:r w:rsidRPr="00683C82">
              <w:rPr>
                <w:rFonts w:cs="Arial"/>
                <w:color w:val="auto"/>
                <w:sz w:val="20"/>
              </w:rPr>
              <w:t>All regulatory programs</w:t>
            </w:r>
            <w:r w:rsidR="00ED2729">
              <w:rPr>
                <w:rFonts w:cs="Arial"/>
                <w:color w:val="auto"/>
                <w:sz w:val="20"/>
              </w:rPr>
              <w:t xml:space="preserve"> across Agriculture </w:t>
            </w:r>
            <w:r w:rsidR="00760D62">
              <w:rPr>
                <w:rFonts w:cs="Arial"/>
                <w:color w:val="auto"/>
                <w:sz w:val="20"/>
              </w:rPr>
              <w:t>Victoria</w:t>
            </w:r>
            <w:r w:rsidRPr="00683C82">
              <w:rPr>
                <w:rFonts w:cs="Arial"/>
                <w:color w:val="auto"/>
                <w:sz w:val="20"/>
              </w:rPr>
              <w:t xml:space="preserve"> have successfully conducted thorough environmental scanning. </w:t>
            </w:r>
            <w:r w:rsidR="00B42716">
              <w:rPr>
                <w:rFonts w:cs="Arial"/>
                <w:color w:val="auto"/>
                <w:sz w:val="20"/>
              </w:rPr>
              <w:t xml:space="preserve">With </w:t>
            </w:r>
            <w:r w:rsidRPr="00683C82">
              <w:rPr>
                <w:rFonts w:cs="Arial"/>
                <w:color w:val="auto"/>
                <w:sz w:val="20"/>
              </w:rPr>
              <w:t>th</w:t>
            </w:r>
            <w:r w:rsidR="00B42716">
              <w:rPr>
                <w:rFonts w:cs="Arial"/>
                <w:color w:val="auto"/>
                <w:sz w:val="20"/>
              </w:rPr>
              <w:t>is</w:t>
            </w:r>
            <w:r w:rsidRPr="00683C82">
              <w:rPr>
                <w:rFonts w:cs="Arial"/>
                <w:color w:val="auto"/>
                <w:sz w:val="20"/>
              </w:rPr>
              <w:t xml:space="preserve"> insight, each program developed comprehensive compliance program strategies tailored to their specific needs.</w:t>
            </w:r>
          </w:p>
          <w:p w14:paraId="28687F4C" w14:textId="2AB318EC" w:rsidR="00DC3CEA" w:rsidRPr="00B975E7" w:rsidRDefault="00683C82" w:rsidP="00174124">
            <w:pPr>
              <w:numPr>
                <w:ilvl w:val="0"/>
                <w:numId w:val="11"/>
              </w:numPr>
              <w:tabs>
                <w:tab w:val="num" w:pos="720"/>
              </w:tabs>
              <w:spacing w:before="0" w:after="0"/>
              <w:rPr>
                <w:rFonts w:cs="Arial"/>
                <w:color w:val="auto"/>
                <w:sz w:val="20"/>
              </w:rPr>
            </w:pPr>
            <w:r w:rsidRPr="00683C82">
              <w:rPr>
                <w:rFonts w:cs="Arial"/>
                <w:b/>
                <w:bCs/>
                <w:color w:val="auto"/>
                <w:sz w:val="20"/>
              </w:rPr>
              <w:t>Annual Operational Plans:</w:t>
            </w:r>
            <w:r w:rsidRPr="00683C82">
              <w:rPr>
                <w:rFonts w:cs="Arial"/>
                <w:color w:val="auto"/>
                <w:sz w:val="20"/>
              </w:rPr>
              <w:t xml:space="preserve"> Each program prepared and finali</w:t>
            </w:r>
            <w:r>
              <w:rPr>
                <w:rFonts w:cs="Arial"/>
                <w:color w:val="auto"/>
                <w:sz w:val="20"/>
              </w:rPr>
              <w:t>s</w:t>
            </w:r>
            <w:r w:rsidRPr="00683C82">
              <w:rPr>
                <w:rFonts w:cs="Arial"/>
                <w:color w:val="auto"/>
                <w:sz w:val="20"/>
              </w:rPr>
              <w:t>ed their annual operational plans, ensuring a structured approach to achieving their regulatory objectives.</w:t>
            </w:r>
          </w:p>
        </w:tc>
      </w:tr>
      <w:tr w:rsidR="00303D1B" w:rsidRPr="007A0ADC" w14:paraId="17D613AE" w14:textId="2744E777" w:rsidTr="67285148">
        <w:tc>
          <w:tcPr>
            <w:tcW w:w="0" w:type="auto"/>
            <w:vMerge/>
          </w:tcPr>
          <w:p w14:paraId="7E5BA60D" w14:textId="41C148E0" w:rsidR="00DC3CEA" w:rsidRPr="007A0ADC" w:rsidRDefault="00DC3CEA" w:rsidP="005C5F6F">
            <w:pPr>
              <w:spacing w:before="0" w:after="0"/>
              <w:rPr>
                <w:rFonts w:cs="Arial"/>
                <w:color w:val="auto"/>
                <w:sz w:val="20"/>
              </w:rPr>
            </w:pPr>
          </w:p>
        </w:tc>
        <w:tc>
          <w:tcPr>
            <w:tcW w:w="0" w:type="auto"/>
          </w:tcPr>
          <w:p w14:paraId="4DB1932E" w14:textId="603A51DA" w:rsidR="00DC3CEA" w:rsidRPr="007A0ADC" w:rsidRDefault="00DC3CEA" w:rsidP="00D62996">
            <w:pPr>
              <w:pStyle w:val="ListParagraph"/>
              <w:numPr>
                <w:ilvl w:val="0"/>
                <w:numId w:val="2"/>
              </w:numPr>
              <w:spacing w:before="0" w:after="0"/>
              <w:contextualSpacing w:val="0"/>
              <w:rPr>
                <w:rFonts w:cs="Arial"/>
                <w:color w:val="auto"/>
                <w:sz w:val="20"/>
              </w:rPr>
            </w:pPr>
            <w:r w:rsidRPr="007A0ADC">
              <w:rPr>
                <w:rFonts w:cs="Arial"/>
                <w:color w:val="auto"/>
                <w:sz w:val="20"/>
              </w:rPr>
              <w:t xml:space="preserve">Regulatory programs to continue to conduct annual reviews/health checks of existing compliance program strategies or plans and adjust as required.  </w:t>
            </w:r>
          </w:p>
        </w:tc>
        <w:tc>
          <w:tcPr>
            <w:tcW w:w="0" w:type="auto"/>
          </w:tcPr>
          <w:p w14:paraId="4C669E5C" w14:textId="3DEA5952" w:rsidR="00DC3CEA" w:rsidRPr="003842D0" w:rsidRDefault="00ED7144" w:rsidP="00174124">
            <w:pPr>
              <w:pStyle w:val="ListParagraph"/>
              <w:numPr>
                <w:ilvl w:val="0"/>
                <w:numId w:val="7"/>
              </w:numPr>
              <w:spacing w:before="0" w:after="0"/>
              <w:rPr>
                <w:rFonts w:cs="Arial"/>
                <w:b/>
                <w:bCs/>
                <w:color w:val="auto"/>
                <w:sz w:val="20"/>
                <w:u w:val="single"/>
              </w:rPr>
            </w:pPr>
            <w:r w:rsidRPr="003842D0">
              <w:rPr>
                <w:rFonts w:cs="Arial"/>
                <w:b/>
                <w:bCs/>
                <w:color w:val="auto"/>
                <w:sz w:val="20"/>
              </w:rPr>
              <w:t>Monitoring and Updating Compliance Program Strategies:</w:t>
            </w:r>
            <w:r w:rsidRPr="003842D0">
              <w:rPr>
                <w:rFonts w:cs="Arial"/>
                <w:color w:val="auto"/>
                <w:sz w:val="20"/>
              </w:rPr>
              <w:t xml:space="preserve"> All regulatory programs across Agriculture </w:t>
            </w:r>
            <w:r w:rsidR="00760D62" w:rsidRPr="003842D0">
              <w:rPr>
                <w:rFonts w:cs="Arial"/>
                <w:color w:val="auto"/>
                <w:sz w:val="20"/>
              </w:rPr>
              <w:t>Victoria</w:t>
            </w:r>
            <w:r w:rsidRPr="003842D0">
              <w:rPr>
                <w:rFonts w:cs="Arial"/>
                <w:color w:val="auto"/>
                <w:sz w:val="20"/>
              </w:rPr>
              <w:t xml:space="preserve"> have either completed or are actively progressing monitoring of their compliance program strategies. Updates are being made as needed to ensure these strategies remain current and effective.</w:t>
            </w:r>
          </w:p>
        </w:tc>
      </w:tr>
      <w:tr w:rsidR="00303D1B" w:rsidRPr="007A0ADC" w14:paraId="1332E58A" w14:textId="0B97C6F8" w:rsidTr="67285148">
        <w:tc>
          <w:tcPr>
            <w:tcW w:w="0" w:type="auto"/>
            <w:vMerge/>
          </w:tcPr>
          <w:p w14:paraId="29F0C848" w14:textId="1DBE4461" w:rsidR="00DC3CEA" w:rsidRPr="007A0ADC" w:rsidRDefault="00DC3CEA" w:rsidP="005C5F6F">
            <w:pPr>
              <w:spacing w:before="0" w:after="0"/>
              <w:rPr>
                <w:rFonts w:cs="Arial"/>
                <w:color w:val="auto"/>
                <w:sz w:val="20"/>
              </w:rPr>
            </w:pPr>
          </w:p>
        </w:tc>
        <w:tc>
          <w:tcPr>
            <w:tcW w:w="0" w:type="auto"/>
          </w:tcPr>
          <w:p w14:paraId="4DDC5E99" w14:textId="77777777" w:rsidR="00DC3CEA" w:rsidRPr="00D01B45" w:rsidRDefault="00DC3CEA" w:rsidP="00D91053">
            <w:pPr>
              <w:pStyle w:val="ListParagraph"/>
              <w:numPr>
                <w:ilvl w:val="0"/>
                <w:numId w:val="2"/>
              </w:numPr>
              <w:spacing w:before="0" w:after="0"/>
              <w:contextualSpacing w:val="0"/>
              <w:rPr>
                <w:rFonts w:cs="Arial"/>
                <w:color w:val="auto"/>
                <w:sz w:val="20"/>
              </w:rPr>
            </w:pPr>
            <w:r w:rsidRPr="00B245CA">
              <w:rPr>
                <w:rFonts w:cs="Arial"/>
                <w:color w:val="000000" w:themeColor="text1"/>
                <w:sz w:val="20"/>
              </w:rPr>
              <w:t>Develop a revised operational approach for Food Safety to meet new requirements for Horticulture.</w:t>
            </w:r>
          </w:p>
          <w:p w14:paraId="5CD35B1D" w14:textId="48468FA9" w:rsidR="00DC3CEA" w:rsidRPr="00622360" w:rsidRDefault="00DC3CEA" w:rsidP="0D652328">
            <w:pPr>
              <w:pStyle w:val="ListParagraph"/>
              <w:numPr>
                <w:ilvl w:val="0"/>
                <w:numId w:val="2"/>
              </w:numPr>
              <w:spacing w:before="0" w:after="0"/>
              <w:rPr>
                <w:rFonts w:cs="Arial"/>
                <w:color w:val="000000" w:themeColor="text1"/>
                <w:sz w:val="20"/>
              </w:rPr>
            </w:pPr>
            <w:r w:rsidRPr="00622360">
              <w:rPr>
                <w:rFonts w:cs="Arial"/>
                <w:color w:val="000000" w:themeColor="text1"/>
                <w:sz w:val="20"/>
              </w:rPr>
              <w:t>Approval by Government of new regulatory model</w:t>
            </w:r>
            <w:r w:rsidR="00622360" w:rsidRPr="00622360">
              <w:rPr>
                <w:rFonts w:cs="Arial"/>
                <w:color w:val="000000" w:themeColor="text1"/>
                <w:sz w:val="20"/>
              </w:rPr>
              <w:t>.</w:t>
            </w:r>
          </w:p>
          <w:p w14:paraId="7B39B614" w14:textId="77777777" w:rsidR="00DC3CEA" w:rsidRPr="00622360" w:rsidRDefault="00DC3CEA" w:rsidP="00D91053">
            <w:pPr>
              <w:pStyle w:val="ListParagraph"/>
              <w:numPr>
                <w:ilvl w:val="0"/>
                <w:numId w:val="2"/>
              </w:numPr>
              <w:spacing w:before="0" w:after="0"/>
              <w:contextualSpacing w:val="0"/>
              <w:rPr>
                <w:rFonts w:cs="Arial"/>
                <w:color w:val="000000" w:themeColor="text1"/>
                <w:sz w:val="20"/>
              </w:rPr>
            </w:pPr>
            <w:r w:rsidRPr="00622360">
              <w:rPr>
                <w:rFonts w:cs="Arial"/>
                <w:color w:val="000000" w:themeColor="text1"/>
                <w:sz w:val="20"/>
              </w:rPr>
              <w:lastRenderedPageBreak/>
              <w:t>Develop regulations to support new model.</w:t>
            </w:r>
          </w:p>
          <w:p w14:paraId="24CBF709" w14:textId="42073752" w:rsidR="00DC3CEA" w:rsidRPr="00D01B45" w:rsidRDefault="00DC3CEA" w:rsidP="0D652328">
            <w:pPr>
              <w:pStyle w:val="ListParagraph"/>
              <w:numPr>
                <w:ilvl w:val="0"/>
                <w:numId w:val="2"/>
              </w:numPr>
              <w:spacing w:before="0" w:after="0"/>
              <w:rPr>
                <w:rFonts w:cs="Arial"/>
                <w:color w:val="auto"/>
                <w:sz w:val="20"/>
              </w:rPr>
            </w:pPr>
            <w:r w:rsidRPr="00622360">
              <w:rPr>
                <w:rFonts w:cs="Arial"/>
                <w:color w:val="000000" w:themeColor="text1"/>
                <w:sz w:val="20"/>
              </w:rPr>
              <w:t>Regulatory Impact Statement development.</w:t>
            </w:r>
          </w:p>
        </w:tc>
        <w:tc>
          <w:tcPr>
            <w:tcW w:w="0" w:type="auto"/>
          </w:tcPr>
          <w:p w14:paraId="359A5C24" w14:textId="1F4248C7" w:rsidR="00656EF4" w:rsidRPr="003842D0" w:rsidRDefault="00656EF4" w:rsidP="00D658DF">
            <w:pPr>
              <w:pStyle w:val="ListParagraph"/>
              <w:numPr>
                <w:ilvl w:val="0"/>
                <w:numId w:val="2"/>
              </w:numPr>
              <w:spacing w:before="0" w:after="0"/>
              <w:rPr>
                <w:rFonts w:cs="Arial"/>
                <w:b/>
                <w:bCs/>
                <w:color w:val="000000" w:themeColor="text1"/>
                <w:sz w:val="20"/>
              </w:rPr>
            </w:pPr>
            <w:r w:rsidRPr="003842D0">
              <w:rPr>
                <w:rFonts w:cs="Arial"/>
                <w:b/>
                <w:bCs/>
                <w:color w:val="000000" w:themeColor="text1"/>
                <w:sz w:val="20"/>
              </w:rPr>
              <w:lastRenderedPageBreak/>
              <w:t xml:space="preserve">Introduction of New </w:t>
            </w:r>
            <w:r w:rsidR="00765CAC">
              <w:rPr>
                <w:rFonts w:cs="Arial"/>
                <w:b/>
                <w:bCs/>
                <w:color w:val="000000" w:themeColor="text1"/>
                <w:sz w:val="20"/>
              </w:rPr>
              <w:t xml:space="preserve">Food Safety </w:t>
            </w:r>
            <w:r w:rsidRPr="003842D0">
              <w:rPr>
                <w:rFonts w:cs="Arial"/>
                <w:b/>
                <w:bCs/>
                <w:color w:val="000000" w:themeColor="text1"/>
                <w:sz w:val="20"/>
              </w:rPr>
              <w:t>Standards:</w:t>
            </w:r>
            <w:r w:rsidR="00477345" w:rsidRPr="003842D0">
              <w:rPr>
                <w:rFonts w:cs="Arial"/>
                <w:b/>
                <w:bCs/>
                <w:color w:val="000000" w:themeColor="text1"/>
                <w:sz w:val="20"/>
              </w:rPr>
              <w:t xml:space="preserve"> </w:t>
            </w:r>
            <w:r w:rsidRPr="003842D0">
              <w:rPr>
                <w:rFonts w:cs="Arial"/>
                <w:color w:val="000000" w:themeColor="text1"/>
                <w:sz w:val="20"/>
              </w:rPr>
              <w:t xml:space="preserve">In August 2022, new national primary production and processing standards </w:t>
            </w:r>
            <w:r w:rsidR="002A08A0" w:rsidRPr="003842D0">
              <w:rPr>
                <w:rFonts w:cs="Arial"/>
                <w:color w:val="000000" w:themeColor="text1"/>
                <w:sz w:val="20"/>
              </w:rPr>
              <w:t>for berries, leafy vegetables</w:t>
            </w:r>
            <w:r w:rsidR="00AE7170" w:rsidRPr="003842D0">
              <w:rPr>
                <w:rFonts w:cs="Arial"/>
                <w:color w:val="000000" w:themeColor="text1"/>
                <w:sz w:val="20"/>
              </w:rPr>
              <w:t>, and melons</w:t>
            </w:r>
            <w:r w:rsidR="002A08A0" w:rsidRPr="003842D0">
              <w:rPr>
                <w:rFonts w:cs="Arial"/>
                <w:color w:val="000000" w:themeColor="text1"/>
                <w:sz w:val="20"/>
              </w:rPr>
              <w:t xml:space="preserve"> </w:t>
            </w:r>
            <w:r w:rsidRPr="003842D0">
              <w:rPr>
                <w:rFonts w:cs="Arial"/>
                <w:color w:val="000000" w:themeColor="text1"/>
                <w:sz w:val="20"/>
              </w:rPr>
              <w:t xml:space="preserve">were </w:t>
            </w:r>
            <w:r w:rsidR="00DB7B5B">
              <w:rPr>
                <w:rFonts w:cs="Arial"/>
                <w:color w:val="000000" w:themeColor="text1"/>
                <w:sz w:val="20"/>
              </w:rPr>
              <w:t>agreed by the Food Ministers</w:t>
            </w:r>
            <w:r w:rsidR="002A08A0">
              <w:rPr>
                <w:rFonts w:cs="Arial"/>
                <w:color w:val="000000" w:themeColor="text1"/>
                <w:sz w:val="20"/>
              </w:rPr>
              <w:t>’</w:t>
            </w:r>
            <w:r w:rsidR="00DB7B5B">
              <w:rPr>
                <w:rFonts w:cs="Arial"/>
                <w:color w:val="000000" w:themeColor="text1"/>
                <w:sz w:val="20"/>
              </w:rPr>
              <w:t xml:space="preserve"> Meeting</w:t>
            </w:r>
            <w:r w:rsidRPr="003842D0">
              <w:rPr>
                <w:rFonts w:cs="Arial"/>
                <w:color w:val="000000" w:themeColor="text1"/>
                <w:sz w:val="20"/>
              </w:rPr>
              <w:t xml:space="preserve">. These new requirements </w:t>
            </w:r>
            <w:r w:rsidR="00445900" w:rsidRPr="003842D0">
              <w:rPr>
                <w:rFonts w:cs="Arial"/>
                <w:color w:val="000000" w:themeColor="text1"/>
                <w:sz w:val="20"/>
              </w:rPr>
              <w:t xml:space="preserve">in the Australia New Zealand Food Standards Code </w:t>
            </w:r>
            <w:r w:rsidRPr="003842D0">
              <w:rPr>
                <w:rFonts w:cs="Arial"/>
                <w:color w:val="000000" w:themeColor="text1"/>
                <w:sz w:val="20"/>
              </w:rPr>
              <w:t>will come into effect on 12 February 2025.</w:t>
            </w:r>
            <w:r w:rsidR="00076842">
              <w:rPr>
                <w:rFonts w:cs="Arial"/>
                <w:color w:val="000000" w:themeColor="text1"/>
                <w:sz w:val="20"/>
              </w:rPr>
              <w:t xml:space="preserve">  </w:t>
            </w:r>
          </w:p>
          <w:p w14:paraId="7402B6FF" w14:textId="09A96C9F" w:rsidR="00477345" w:rsidRPr="003842D0" w:rsidRDefault="00656EF4" w:rsidP="6F9C0DAD">
            <w:pPr>
              <w:pStyle w:val="ListParagraph"/>
              <w:numPr>
                <w:ilvl w:val="0"/>
                <w:numId w:val="2"/>
              </w:numPr>
              <w:spacing w:before="0" w:after="0"/>
              <w:rPr>
                <w:rFonts w:cs="Arial"/>
                <w:color w:val="000000" w:themeColor="text1"/>
                <w:sz w:val="20"/>
              </w:rPr>
            </w:pPr>
            <w:r w:rsidRPr="6F9C0DAD">
              <w:rPr>
                <w:rFonts w:cs="Arial"/>
                <w:b/>
                <w:bCs/>
                <w:color w:val="000000" w:themeColor="text1"/>
                <w:sz w:val="20"/>
              </w:rPr>
              <w:lastRenderedPageBreak/>
              <w:t>Approval of Regulatory Model:</w:t>
            </w:r>
            <w:r w:rsidR="00477345" w:rsidRPr="6F9C0DAD">
              <w:rPr>
                <w:rFonts w:cs="Arial"/>
                <w:b/>
                <w:bCs/>
                <w:color w:val="000000" w:themeColor="text1"/>
                <w:sz w:val="20"/>
              </w:rPr>
              <w:t xml:space="preserve"> </w:t>
            </w:r>
            <w:r w:rsidR="009E044E">
              <w:rPr>
                <w:rFonts w:cs="Arial"/>
                <w:color w:val="000000" w:themeColor="text1"/>
                <w:sz w:val="20"/>
              </w:rPr>
              <w:t xml:space="preserve">Legislative amendments to the </w:t>
            </w:r>
            <w:r w:rsidR="009E044E" w:rsidRPr="00FC5131">
              <w:rPr>
                <w:rFonts w:cs="Arial"/>
                <w:i/>
                <w:iCs/>
                <w:color w:val="000000" w:themeColor="text1"/>
                <w:sz w:val="20"/>
              </w:rPr>
              <w:t>Food Act 1984</w:t>
            </w:r>
            <w:r w:rsidR="009E044E">
              <w:rPr>
                <w:rFonts w:cs="Arial"/>
                <w:color w:val="000000" w:themeColor="text1"/>
                <w:sz w:val="20"/>
              </w:rPr>
              <w:t xml:space="preserve"> to facilitate the development of regulations to implement the standards effectively were passed by </w:t>
            </w:r>
            <w:r w:rsidR="000907AA">
              <w:rPr>
                <w:rFonts w:cs="Arial"/>
                <w:color w:val="000000" w:themeColor="text1"/>
                <w:sz w:val="20"/>
              </w:rPr>
              <w:t xml:space="preserve">the Victorian </w:t>
            </w:r>
            <w:r w:rsidR="009E044E">
              <w:rPr>
                <w:rFonts w:cs="Arial"/>
                <w:color w:val="000000" w:themeColor="text1"/>
                <w:sz w:val="20"/>
              </w:rPr>
              <w:t xml:space="preserve">Parliament in February 2024. Agriculture Victoria has been engaging peak bodies on a proposed regulatory model ahead of formal consultation </w:t>
            </w:r>
            <w:r w:rsidR="00944601">
              <w:rPr>
                <w:rFonts w:cs="Arial"/>
                <w:color w:val="000000" w:themeColor="text1"/>
                <w:sz w:val="20"/>
              </w:rPr>
              <w:t xml:space="preserve">on regulations </w:t>
            </w:r>
            <w:r w:rsidR="009E044E">
              <w:rPr>
                <w:rFonts w:cs="Arial"/>
                <w:color w:val="000000" w:themeColor="text1"/>
                <w:sz w:val="20"/>
              </w:rPr>
              <w:t xml:space="preserve">later in 2024. </w:t>
            </w:r>
          </w:p>
          <w:p w14:paraId="795D8136" w14:textId="1539ABFD" w:rsidR="00DC3CEA" w:rsidRPr="009A734A" w:rsidRDefault="00656EF4" w:rsidP="00EF263B">
            <w:pPr>
              <w:pStyle w:val="ListParagraph"/>
              <w:numPr>
                <w:ilvl w:val="0"/>
                <w:numId w:val="2"/>
              </w:numPr>
              <w:spacing w:before="0" w:after="0"/>
              <w:rPr>
                <w:rFonts w:cs="Arial"/>
                <w:b/>
                <w:bCs/>
                <w:color w:val="000000" w:themeColor="text1"/>
                <w:sz w:val="20"/>
              </w:rPr>
            </w:pPr>
            <w:r w:rsidRPr="003842D0">
              <w:rPr>
                <w:rFonts w:cs="Arial"/>
                <w:b/>
                <w:bCs/>
                <w:color w:val="000000" w:themeColor="text1"/>
                <w:sz w:val="20"/>
              </w:rPr>
              <w:t>Annual Registration and Compliance:</w:t>
            </w:r>
            <w:r w:rsidR="00176EAF" w:rsidRPr="003842D0">
              <w:rPr>
                <w:rFonts w:cs="Arial"/>
                <w:b/>
                <w:bCs/>
                <w:color w:val="000000" w:themeColor="text1"/>
                <w:sz w:val="20"/>
              </w:rPr>
              <w:t xml:space="preserve"> </w:t>
            </w:r>
            <w:r w:rsidRPr="003842D0">
              <w:rPr>
                <w:rFonts w:cs="Arial"/>
                <w:color w:val="000000" w:themeColor="text1"/>
                <w:sz w:val="20"/>
              </w:rPr>
              <w:t>Agriculture Victoria will annually register, approve food safety arrangements, and charge regulatory fees for 500 to 750 horticulture businesses that are not currently subject to specific food safety obligations. To reduce the burden on businesses, existing industry certification schemes will be recogni</w:t>
            </w:r>
            <w:r w:rsidR="00176EAF" w:rsidRPr="003842D0">
              <w:rPr>
                <w:rFonts w:cs="Arial"/>
                <w:color w:val="000000" w:themeColor="text1"/>
                <w:sz w:val="20"/>
              </w:rPr>
              <w:t>s</w:t>
            </w:r>
            <w:r w:rsidRPr="003842D0">
              <w:rPr>
                <w:rFonts w:cs="Arial"/>
                <w:color w:val="000000" w:themeColor="text1"/>
                <w:sz w:val="20"/>
              </w:rPr>
              <w:t>ed, eliminating the need for duplicative audits.</w:t>
            </w:r>
          </w:p>
        </w:tc>
      </w:tr>
      <w:tr w:rsidR="00303D1B" w:rsidRPr="007A0ADC" w14:paraId="44D29E85" w14:textId="47323182" w:rsidTr="67285148">
        <w:trPr>
          <w:trHeight w:val="2570"/>
        </w:trPr>
        <w:tc>
          <w:tcPr>
            <w:tcW w:w="0" w:type="auto"/>
            <w:shd w:val="clear" w:color="auto" w:fill="FFFFFF" w:themeFill="background1"/>
          </w:tcPr>
          <w:p w14:paraId="2A96DD65" w14:textId="0A817987" w:rsidR="00E50564" w:rsidRPr="00DC3CEA" w:rsidRDefault="00E50564" w:rsidP="00501642">
            <w:pPr>
              <w:spacing w:before="0" w:after="0"/>
              <w:rPr>
                <w:rFonts w:cs="Arial"/>
                <w:b/>
                <w:bCs/>
                <w:color w:val="auto"/>
                <w:sz w:val="20"/>
              </w:rPr>
            </w:pPr>
            <w:r w:rsidRPr="008D0041">
              <w:rPr>
                <w:rFonts w:cs="Arial"/>
                <w:b/>
                <w:bCs/>
                <w:color w:val="auto"/>
                <w:sz w:val="20"/>
              </w:rPr>
              <w:lastRenderedPageBreak/>
              <w:t xml:space="preserve">Clearly articulate </w:t>
            </w:r>
            <w:r w:rsidR="00F7789F">
              <w:rPr>
                <w:rFonts w:cs="Arial"/>
                <w:b/>
                <w:bCs/>
                <w:color w:val="auto"/>
                <w:sz w:val="20"/>
              </w:rPr>
              <w:t>Agriculture Victoria’s</w:t>
            </w:r>
            <w:r w:rsidRPr="008D0041">
              <w:rPr>
                <w:rFonts w:cs="Arial"/>
                <w:b/>
                <w:bCs/>
                <w:color w:val="auto"/>
                <w:sz w:val="20"/>
              </w:rPr>
              <w:t xml:space="preserve"> regulatory approach</w:t>
            </w:r>
            <w:r w:rsidR="008D0041">
              <w:rPr>
                <w:rFonts w:cs="Arial"/>
                <w:b/>
                <w:bCs/>
                <w:color w:val="auto"/>
                <w:sz w:val="20"/>
              </w:rPr>
              <w:t>.</w:t>
            </w:r>
          </w:p>
        </w:tc>
        <w:tc>
          <w:tcPr>
            <w:tcW w:w="0" w:type="auto"/>
          </w:tcPr>
          <w:p w14:paraId="6A59EE29" w14:textId="34F7ACC0" w:rsidR="00DC3CEA" w:rsidRDefault="00DC3CEA" w:rsidP="00D62996">
            <w:pPr>
              <w:pStyle w:val="ListParagraph"/>
              <w:numPr>
                <w:ilvl w:val="0"/>
                <w:numId w:val="2"/>
              </w:numPr>
              <w:spacing w:before="0" w:after="0"/>
              <w:contextualSpacing w:val="0"/>
              <w:rPr>
                <w:rFonts w:cs="Arial"/>
                <w:color w:val="auto"/>
                <w:sz w:val="20"/>
              </w:rPr>
            </w:pPr>
            <w:r w:rsidRPr="00B245CA">
              <w:rPr>
                <w:rFonts w:cs="Arial"/>
                <w:color w:val="auto"/>
                <w:sz w:val="20"/>
              </w:rPr>
              <w:t>Finalise Agriculture Victoria Regulatory Framework and communicate across Agriculture Victoria stakeholders.</w:t>
            </w:r>
          </w:p>
          <w:p w14:paraId="2BA1C13C" w14:textId="77777777" w:rsidR="00DC3CEA" w:rsidRPr="007A0ADC" w:rsidRDefault="00DC3CEA" w:rsidP="00D62996">
            <w:pPr>
              <w:pStyle w:val="ListParagraph"/>
              <w:numPr>
                <w:ilvl w:val="0"/>
                <w:numId w:val="2"/>
              </w:numPr>
              <w:spacing w:before="0" w:after="0"/>
              <w:contextualSpacing w:val="0"/>
              <w:rPr>
                <w:rFonts w:cs="Arial"/>
                <w:color w:val="auto"/>
                <w:sz w:val="20"/>
              </w:rPr>
            </w:pPr>
            <w:r w:rsidRPr="007A0ADC">
              <w:rPr>
                <w:rFonts w:cs="Arial"/>
                <w:color w:val="auto"/>
                <w:sz w:val="20"/>
              </w:rPr>
              <w:t>Publish a Regulatory Approach consistent with the Better Regulation Victoria Better Practice Guidance.</w:t>
            </w:r>
          </w:p>
          <w:p w14:paraId="78B83C63" w14:textId="0C71BCA8" w:rsidR="00DC3CEA" w:rsidRPr="007A0ADC" w:rsidRDefault="00DC3CEA" w:rsidP="00D91053">
            <w:pPr>
              <w:pStyle w:val="ListParagraph"/>
              <w:spacing w:before="0" w:after="0"/>
              <w:ind w:left="360"/>
              <w:rPr>
                <w:rFonts w:cs="Arial"/>
                <w:color w:val="auto"/>
                <w:sz w:val="20"/>
              </w:rPr>
            </w:pPr>
          </w:p>
        </w:tc>
        <w:tc>
          <w:tcPr>
            <w:tcW w:w="0" w:type="auto"/>
          </w:tcPr>
          <w:p w14:paraId="7BD055C5" w14:textId="5E120C0E" w:rsidR="00EE4F3E" w:rsidRDefault="00EE4F3E" w:rsidP="00174124">
            <w:pPr>
              <w:pStyle w:val="ListParagraph"/>
              <w:numPr>
                <w:ilvl w:val="0"/>
                <w:numId w:val="12"/>
              </w:numPr>
              <w:spacing w:before="0" w:after="0"/>
              <w:rPr>
                <w:rFonts w:cs="Arial"/>
                <w:color w:val="auto"/>
                <w:sz w:val="20"/>
              </w:rPr>
            </w:pPr>
            <w:r w:rsidRPr="00C11D26">
              <w:rPr>
                <w:rFonts w:cs="Arial"/>
                <w:b/>
                <w:bCs/>
                <w:color w:val="auto"/>
                <w:sz w:val="20"/>
              </w:rPr>
              <w:t xml:space="preserve">Enhancing Risk-Based Regulatory Capability: </w:t>
            </w:r>
            <w:r w:rsidRPr="00C11D26">
              <w:rPr>
                <w:rFonts w:cs="Arial"/>
                <w:color w:val="auto"/>
                <w:sz w:val="20"/>
              </w:rPr>
              <w:t xml:space="preserve">Agriculture Victoria continuously improved its capabilities as a risk-based regulator. A significant milestone </w:t>
            </w:r>
            <w:r w:rsidR="00142FB3">
              <w:rPr>
                <w:rFonts w:cs="Arial"/>
                <w:color w:val="auto"/>
                <w:sz w:val="20"/>
              </w:rPr>
              <w:t>was</w:t>
            </w:r>
            <w:r w:rsidR="00142FB3" w:rsidRPr="00C11D26">
              <w:rPr>
                <w:rFonts w:cs="Arial"/>
                <w:color w:val="auto"/>
                <w:sz w:val="20"/>
              </w:rPr>
              <w:t xml:space="preserve"> </w:t>
            </w:r>
            <w:r w:rsidRPr="00C11D26">
              <w:rPr>
                <w:rFonts w:cs="Arial"/>
                <w:color w:val="auto"/>
                <w:sz w:val="20"/>
              </w:rPr>
              <w:t xml:space="preserve">the publication of its Regulatory Approach on the Agriculture Victoria </w:t>
            </w:r>
            <w:hyperlink r:id="rId13" w:history="1">
              <w:r w:rsidRPr="00EA37AF">
                <w:rPr>
                  <w:rStyle w:val="Hyperlink"/>
                  <w:rFonts w:cs="Arial"/>
                  <w:sz w:val="20"/>
                </w:rPr>
                <w:t>website</w:t>
              </w:r>
            </w:hyperlink>
            <w:r w:rsidR="00EA37AF">
              <w:rPr>
                <w:rFonts w:cs="Arial"/>
                <w:color w:val="auto"/>
                <w:sz w:val="20"/>
              </w:rPr>
              <w:t>.</w:t>
            </w:r>
          </w:p>
          <w:p w14:paraId="02776CD8" w14:textId="483A8C1D" w:rsidR="00EE4F3E" w:rsidRPr="00534F65" w:rsidRDefault="00EE4F3E" w:rsidP="00174124">
            <w:pPr>
              <w:pStyle w:val="ListParagraph"/>
              <w:numPr>
                <w:ilvl w:val="0"/>
                <w:numId w:val="12"/>
              </w:numPr>
              <w:spacing w:before="0" w:after="0"/>
              <w:rPr>
                <w:rFonts w:cs="Arial"/>
                <w:b/>
                <w:bCs/>
                <w:color w:val="auto"/>
                <w:sz w:val="20"/>
              </w:rPr>
            </w:pPr>
            <w:r w:rsidRPr="00C11D26">
              <w:rPr>
                <w:rFonts w:cs="Arial"/>
                <w:b/>
                <w:bCs/>
                <w:color w:val="auto"/>
                <w:sz w:val="20"/>
              </w:rPr>
              <w:t xml:space="preserve">Providing Transparency and Understanding: </w:t>
            </w:r>
            <w:r w:rsidRPr="00C11D26">
              <w:rPr>
                <w:rFonts w:cs="Arial"/>
                <w:color w:val="auto"/>
                <w:sz w:val="20"/>
              </w:rPr>
              <w:t>The Regulatory Approach offers transparency about Agriculture Victoria's regulatory remit and compliance activities. It helps industry stakeholders and the community understand how regulatory decisions are made and the principles guiding these actions.</w:t>
            </w:r>
          </w:p>
          <w:p w14:paraId="24C215FF" w14:textId="43F039A3" w:rsidR="00DC3CEA" w:rsidRPr="00B975E7" w:rsidRDefault="00EE4F3E" w:rsidP="00174124">
            <w:pPr>
              <w:pStyle w:val="ListParagraph"/>
              <w:numPr>
                <w:ilvl w:val="0"/>
                <w:numId w:val="12"/>
              </w:numPr>
              <w:spacing w:before="0" w:after="0"/>
              <w:rPr>
                <w:rFonts w:cs="Arial"/>
                <w:b/>
                <w:bCs/>
                <w:color w:val="auto"/>
                <w:sz w:val="20"/>
              </w:rPr>
            </w:pPr>
            <w:r w:rsidRPr="00C11D26">
              <w:rPr>
                <w:rFonts w:cs="Arial"/>
                <w:b/>
                <w:bCs/>
                <w:color w:val="auto"/>
                <w:sz w:val="20"/>
              </w:rPr>
              <w:t xml:space="preserve">Establishing a Regulatory Framework: </w:t>
            </w:r>
            <w:r w:rsidRPr="00C11D26">
              <w:rPr>
                <w:rFonts w:cs="Arial"/>
                <w:color w:val="auto"/>
                <w:sz w:val="20"/>
              </w:rPr>
              <w:t xml:space="preserve">Agriculture Victoria published its new </w:t>
            </w:r>
            <w:hyperlink r:id="rId14" w:history="1">
              <w:r w:rsidRPr="006B53A4">
                <w:rPr>
                  <w:rStyle w:val="Hyperlink"/>
                  <w:rFonts w:cs="Arial"/>
                  <w:sz w:val="20"/>
                </w:rPr>
                <w:t>Regulatory Framework</w:t>
              </w:r>
            </w:hyperlink>
            <w:r w:rsidRPr="00C11D26">
              <w:rPr>
                <w:rFonts w:cs="Arial"/>
                <w:color w:val="auto"/>
                <w:sz w:val="20"/>
              </w:rPr>
              <w:t xml:space="preserve"> on </w:t>
            </w:r>
            <w:r w:rsidR="00135DA4">
              <w:rPr>
                <w:rFonts w:cs="Arial"/>
                <w:color w:val="auto"/>
                <w:sz w:val="20"/>
              </w:rPr>
              <w:t>its</w:t>
            </w:r>
            <w:r w:rsidRPr="00C11D26">
              <w:rPr>
                <w:rFonts w:cs="Arial"/>
                <w:color w:val="auto"/>
                <w:sz w:val="20"/>
              </w:rPr>
              <w:t xml:space="preserve"> website. This framework outlines how Agriculture Victoria will fulfill the commitments and principles detailed in the Regulatory Approach. It is being integrated into </w:t>
            </w:r>
            <w:r w:rsidR="008F7129">
              <w:rPr>
                <w:rFonts w:cs="Arial"/>
                <w:color w:val="auto"/>
                <w:sz w:val="20"/>
              </w:rPr>
              <w:t>AO</w:t>
            </w:r>
            <w:r w:rsidRPr="00C11D26">
              <w:rPr>
                <w:rFonts w:cs="Arial"/>
                <w:color w:val="auto"/>
                <w:sz w:val="20"/>
              </w:rPr>
              <w:t xml:space="preserve"> training and other operational regulatory activities.</w:t>
            </w:r>
            <w:r w:rsidR="00DC3CEA" w:rsidRPr="00B975E7">
              <w:rPr>
                <w:rFonts w:cs="Arial"/>
                <w:color w:val="5B9BD5" w:themeColor="accent5"/>
                <w:sz w:val="20"/>
              </w:rPr>
              <w:t xml:space="preserve"> </w:t>
            </w:r>
          </w:p>
        </w:tc>
      </w:tr>
      <w:tr w:rsidR="00303D1B" w:rsidRPr="007A0ADC" w14:paraId="65F347E8" w14:textId="476347F1" w:rsidTr="67285148">
        <w:trPr>
          <w:trHeight w:val="300"/>
        </w:trPr>
        <w:tc>
          <w:tcPr>
            <w:tcW w:w="0" w:type="auto"/>
          </w:tcPr>
          <w:p w14:paraId="3D6F4DEC" w14:textId="79AA379E" w:rsidR="00DC3CEA" w:rsidRPr="00DC3CEA" w:rsidRDefault="00DC3CEA" w:rsidP="00501642">
            <w:pPr>
              <w:spacing w:before="0" w:after="0"/>
              <w:rPr>
                <w:rFonts w:cs="Arial"/>
                <w:b/>
                <w:bCs/>
                <w:color w:val="auto"/>
                <w:sz w:val="20"/>
              </w:rPr>
            </w:pPr>
            <w:r w:rsidRPr="00DC3CEA">
              <w:rPr>
                <w:rFonts w:cs="Arial"/>
                <w:b/>
                <w:bCs/>
                <w:color w:val="auto"/>
                <w:sz w:val="20"/>
              </w:rPr>
              <w:t xml:space="preserve">Enhance preparedness and response to biosecurity incursions of pests and diseases. </w:t>
            </w:r>
          </w:p>
        </w:tc>
        <w:tc>
          <w:tcPr>
            <w:tcW w:w="0" w:type="auto"/>
            <w:shd w:val="clear" w:color="auto" w:fill="auto"/>
          </w:tcPr>
          <w:p w14:paraId="6FE18437" w14:textId="5B8225F6" w:rsidR="00DC3CEA" w:rsidRDefault="00DC3CEA" w:rsidP="00AA1CCD">
            <w:pPr>
              <w:pStyle w:val="ListParagraph"/>
              <w:numPr>
                <w:ilvl w:val="0"/>
                <w:numId w:val="2"/>
              </w:numPr>
              <w:spacing w:before="0" w:after="0"/>
              <w:contextualSpacing w:val="0"/>
              <w:rPr>
                <w:rFonts w:cs="Arial"/>
                <w:color w:val="auto"/>
                <w:sz w:val="20"/>
              </w:rPr>
            </w:pPr>
            <w:r w:rsidRPr="007A0ADC">
              <w:rPr>
                <w:rFonts w:cs="Arial"/>
                <w:color w:val="auto"/>
                <w:sz w:val="20"/>
              </w:rPr>
              <w:t xml:space="preserve">Strengthen the Victorian Government’s preparedness to respond to a major </w:t>
            </w:r>
            <w:r w:rsidR="009738B7">
              <w:rPr>
                <w:rFonts w:cs="Arial"/>
                <w:color w:val="auto"/>
                <w:sz w:val="20"/>
              </w:rPr>
              <w:t>EAD</w:t>
            </w:r>
            <w:r w:rsidRPr="007A0ADC">
              <w:rPr>
                <w:rFonts w:cs="Arial"/>
                <w:color w:val="auto"/>
                <w:sz w:val="20"/>
              </w:rPr>
              <w:t xml:space="preserve"> outbreak such as Foot-and-Mouth Disease.</w:t>
            </w:r>
          </w:p>
          <w:p w14:paraId="55774641" w14:textId="231372FD" w:rsidR="00DC3CEA" w:rsidRPr="00263F04" w:rsidRDefault="00DC3CEA" w:rsidP="00AA1CCD">
            <w:pPr>
              <w:pStyle w:val="ListParagraph"/>
              <w:numPr>
                <w:ilvl w:val="0"/>
                <w:numId w:val="2"/>
              </w:numPr>
              <w:spacing w:before="0" w:after="0"/>
              <w:contextualSpacing w:val="0"/>
              <w:rPr>
                <w:rFonts w:cs="Arial"/>
                <w:color w:val="000000" w:themeColor="text1"/>
                <w:sz w:val="20"/>
              </w:rPr>
            </w:pPr>
            <w:r w:rsidRPr="00263F04">
              <w:rPr>
                <w:rFonts w:cs="Arial"/>
                <w:color w:val="000000" w:themeColor="text1"/>
                <w:sz w:val="20"/>
              </w:rPr>
              <w:t xml:space="preserve">Continue to deliver the necessary planning, training and preparation activities to undertake effective and efficient compliance activities during an </w:t>
            </w:r>
            <w:r w:rsidR="00B26909">
              <w:rPr>
                <w:rFonts w:cs="Arial"/>
                <w:color w:val="000000" w:themeColor="text1"/>
                <w:sz w:val="20"/>
              </w:rPr>
              <w:t>EAD</w:t>
            </w:r>
            <w:r w:rsidRPr="00263F04">
              <w:rPr>
                <w:rFonts w:cs="Arial"/>
                <w:color w:val="000000" w:themeColor="text1"/>
                <w:sz w:val="20"/>
              </w:rPr>
              <w:t xml:space="preserve"> response.</w:t>
            </w:r>
          </w:p>
          <w:p w14:paraId="1FD80909" w14:textId="7747A591" w:rsidR="00DC3CEA" w:rsidRPr="007F06F4" w:rsidRDefault="00DC3CEA" w:rsidP="00AA1CCD">
            <w:pPr>
              <w:pStyle w:val="ListParagraph"/>
              <w:numPr>
                <w:ilvl w:val="0"/>
                <w:numId w:val="2"/>
              </w:numPr>
              <w:spacing w:before="0" w:after="0"/>
              <w:contextualSpacing w:val="0"/>
              <w:rPr>
                <w:rFonts w:cs="Arial"/>
                <w:color w:val="auto"/>
                <w:sz w:val="20"/>
              </w:rPr>
            </w:pPr>
            <w:r w:rsidRPr="00263F04">
              <w:rPr>
                <w:rFonts w:cs="Arial"/>
                <w:color w:val="000000" w:themeColor="text1"/>
                <w:sz w:val="20"/>
              </w:rPr>
              <w:lastRenderedPageBreak/>
              <w:t xml:space="preserve">Continue to build capability of potential workforce available to respond to an </w:t>
            </w:r>
            <w:r w:rsidR="009738B7">
              <w:rPr>
                <w:rFonts w:cs="Arial"/>
                <w:color w:val="000000" w:themeColor="text1"/>
                <w:sz w:val="20"/>
              </w:rPr>
              <w:t>EAD</w:t>
            </w:r>
            <w:r w:rsidRPr="00263F04">
              <w:rPr>
                <w:rFonts w:cs="Arial"/>
                <w:color w:val="000000" w:themeColor="text1"/>
                <w:sz w:val="20"/>
              </w:rPr>
              <w:t xml:space="preserve"> outbreak</w:t>
            </w:r>
            <w:r w:rsidRPr="77C1C361">
              <w:rPr>
                <w:rFonts w:cs="Arial"/>
                <w:color w:val="FF0000"/>
                <w:sz w:val="20"/>
              </w:rPr>
              <w:t>.</w:t>
            </w:r>
          </w:p>
          <w:p w14:paraId="61E96F41" w14:textId="6FBF9CB3" w:rsidR="00D42C4D" w:rsidRPr="00C052A1" w:rsidRDefault="00D54C09" w:rsidP="00AA1CCD">
            <w:pPr>
              <w:pStyle w:val="ListParagraph"/>
              <w:numPr>
                <w:ilvl w:val="0"/>
                <w:numId w:val="2"/>
              </w:numPr>
              <w:spacing w:before="0" w:after="0"/>
              <w:contextualSpacing w:val="0"/>
              <w:rPr>
                <w:rFonts w:cs="Arial"/>
                <w:color w:val="000000" w:themeColor="text1"/>
                <w:sz w:val="20"/>
              </w:rPr>
            </w:pPr>
            <w:r>
              <w:rPr>
                <w:color w:val="000000" w:themeColor="text1"/>
                <w:sz w:val="20"/>
              </w:rPr>
              <w:t>A</w:t>
            </w:r>
            <w:r w:rsidR="00D42C4D" w:rsidRPr="00C052A1">
              <w:rPr>
                <w:color w:val="000000" w:themeColor="text1"/>
                <w:sz w:val="20"/>
              </w:rPr>
              <w:t>ctively engage with external stakeholders to effectively manage risk and support compliance</w:t>
            </w:r>
            <w:r>
              <w:rPr>
                <w:color w:val="000000" w:themeColor="text1"/>
                <w:sz w:val="20"/>
              </w:rPr>
              <w:t>.</w:t>
            </w:r>
          </w:p>
          <w:p w14:paraId="720D312C" w14:textId="5B13C0CB" w:rsidR="00DC3CEA" w:rsidRPr="00AA1CCD" w:rsidRDefault="00DC3CEA" w:rsidP="00AA1CCD">
            <w:pPr>
              <w:spacing w:before="0" w:after="0"/>
              <w:rPr>
                <w:rFonts w:cs="Arial"/>
                <w:color w:val="auto"/>
                <w:sz w:val="20"/>
              </w:rPr>
            </w:pPr>
            <w:r w:rsidRPr="20B46271" w:rsidDel="002F1AFD">
              <w:rPr>
                <w:rFonts w:cs="Arial"/>
                <w:color w:val="FF0000"/>
                <w:sz w:val="20"/>
              </w:rPr>
              <w:t xml:space="preserve"> </w:t>
            </w:r>
          </w:p>
        </w:tc>
        <w:tc>
          <w:tcPr>
            <w:tcW w:w="0" w:type="auto"/>
          </w:tcPr>
          <w:p w14:paraId="5ADFEFC5" w14:textId="11875DB4" w:rsidR="008E2A33" w:rsidRPr="003842D0" w:rsidRDefault="00A062B4" w:rsidP="00174124">
            <w:pPr>
              <w:pStyle w:val="ListParagraph"/>
              <w:numPr>
                <w:ilvl w:val="0"/>
                <w:numId w:val="13"/>
              </w:numPr>
              <w:spacing w:before="0" w:after="0"/>
              <w:rPr>
                <w:rFonts w:cs="Arial"/>
                <w:color w:val="auto"/>
                <w:sz w:val="20"/>
              </w:rPr>
            </w:pPr>
            <w:r w:rsidRPr="003842D0">
              <w:rPr>
                <w:rFonts w:cs="Arial"/>
                <w:b/>
                <w:color w:val="auto"/>
                <w:sz w:val="20"/>
              </w:rPr>
              <w:lastRenderedPageBreak/>
              <w:t xml:space="preserve">Development of State </w:t>
            </w:r>
            <w:r w:rsidR="009738B7">
              <w:rPr>
                <w:rFonts w:cs="Arial"/>
                <w:b/>
                <w:color w:val="auto"/>
                <w:sz w:val="20"/>
              </w:rPr>
              <w:t>EAD</w:t>
            </w:r>
            <w:r w:rsidRPr="003842D0">
              <w:rPr>
                <w:rFonts w:cs="Arial"/>
                <w:b/>
                <w:color w:val="auto"/>
                <w:sz w:val="20"/>
              </w:rPr>
              <w:t xml:space="preserve"> Response Plan: </w:t>
            </w:r>
            <w:r w:rsidRPr="003842D0">
              <w:rPr>
                <w:rFonts w:cs="Arial"/>
                <w:color w:val="auto"/>
                <w:sz w:val="20"/>
              </w:rPr>
              <w:t xml:space="preserve">In response to the heightened risk of </w:t>
            </w:r>
            <w:r w:rsidR="00B26909">
              <w:rPr>
                <w:rFonts w:cs="Arial"/>
                <w:color w:val="auto"/>
                <w:sz w:val="20"/>
              </w:rPr>
              <w:t>EADs</w:t>
            </w:r>
            <w:r w:rsidRPr="003842D0">
              <w:rPr>
                <w:rFonts w:cs="Arial"/>
                <w:color w:val="auto"/>
                <w:sz w:val="20"/>
              </w:rPr>
              <w:t xml:space="preserve"> such as Foot-and-Mouth Disease and Lumpy Skin Disease, Agriculture Victoria developed and published the Victorian Government State </w:t>
            </w:r>
            <w:r w:rsidR="009738B7">
              <w:rPr>
                <w:rFonts w:cs="Arial"/>
                <w:color w:val="auto"/>
                <w:sz w:val="20"/>
              </w:rPr>
              <w:t>EAD</w:t>
            </w:r>
            <w:r w:rsidRPr="003842D0">
              <w:rPr>
                <w:rFonts w:cs="Arial"/>
                <w:color w:val="auto"/>
                <w:sz w:val="20"/>
              </w:rPr>
              <w:t xml:space="preserve"> Response Plan</w:t>
            </w:r>
            <w:r w:rsidR="00636662">
              <w:rPr>
                <w:rFonts w:cs="Arial"/>
                <w:color w:val="auto"/>
                <w:sz w:val="20"/>
              </w:rPr>
              <w:t xml:space="preserve"> in October 2022. The Plan was reviewed in 2024 with a revised plan approved and launched in May 2024</w:t>
            </w:r>
            <w:r w:rsidRPr="003842D0">
              <w:rPr>
                <w:rFonts w:cs="Arial"/>
                <w:color w:val="auto"/>
                <w:sz w:val="20"/>
              </w:rPr>
              <w:t>.</w:t>
            </w:r>
          </w:p>
          <w:p w14:paraId="351B1194" w14:textId="7FDFAAFB" w:rsidR="00A062B4" w:rsidRPr="003842D0" w:rsidRDefault="00A062B4" w:rsidP="00174124">
            <w:pPr>
              <w:pStyle w:val="ListParagraph"/>
              <w:numPr>
                <w:ilvl w:val="0"/>
                <w:numId w:val="13"/>
              </w:numPr>
              <w:spacing w:before="0" w:after="0"/>
              <w:rPr>
                <w:rFonts w:cs="Arial"/>
                <w:color w:val="auto"/>
                <w:sz w:val="20"/>
              </w:rPr>
            </w:pPr>
            <w:r w:rsidRPr="003842D0">
              <w:rPr>
                <w:rFonts w:cs="Arial"/>
                <w:b/>
                <w:color w:val="auto"/>
                <w:sz w:val="20"/>
              </w:rPr>
              <w:t xml:space="preserve">Whole of Government </w:t>
            </w:r>
            <w:r w:rsidR="009738B7">
              <w:rPr>
                <w:rFonts w:cs="Arial"/>
                <w:b/>
                <w:color w:val="auto"/>
                <w:sz w:val="20"/>
              </w:rPr>
              <w:t>EAD</w:t>
            </w:r>
            <w:r w:rsidRPr="003842D0">
              <w:rPr>
                <w:rFonts w:cs="Arial"/>
                <w:b/>
                <w:color w:val="auto"/>
                <w:sz w:val="20"/>
              </w:rPr>
              <w:t xml:space="preserve"> Preparedness Program: </w:t>
            </w:r>
            <w:r w:rsidRPr="003842D0">
              <w:rPr>
                <w:rFonts w:cs="Arial"/>
                <w:color w:val="auto"/>
                <w:sz w:val="20"/>
              </w:rPr>
              <w:t xml:space="preserve">Agriculture Victoria focused on preparing for compliance and enforcement activities as part of its Whole of Government </w:t>
            </w:r>
            <w:r w:rsidR="009738B7">
              <w:rPr>
                <w:rFonts w:cs="Arial"/>
                <w:color w:val="auto"/>
                <w:sz w:val="20"/>
              </w:rPr>
              <w:t>EAD</w:t>
            </w:r>
            <w:r w:rsidR="00952623" w:rsidRPr="003842D0">
              <w:rPr>
                <w:rFonts w:cs="Arial"/>
                <w:color w:val="auto"/>
                <w:sz w:val="20"/>
              </w:rPr>
              <w:t xml:space="preserve"> Preparedness</w:t>
            </w:r>
            <w:r w:rsidRPr="003842D0">
              <w:rPr>
                <w:rFonts w:cs="Arial"/>
                <w:color w:val="auto"/>
                <w:sz w:val="20"/>
              </w:rPr>
              <w:t xml:space="preserve"> Program. Key developments include</w:t>
            </w:r>
            <w:r w:rsidR="00C27860">
              <w:rPr>
                <w:rFonts w:cs="Arial"/>
                <w:color w:val="auto"/>
                <w:sz w:val="20"/>
              </w:rPr>
              <w:t>d</w:t>
            </w:r>
            <w:r w:rsidRPr="003842D0">
              <w:rPr>
                <w:rFonts w:cs="Arial"/>
                <w:color w:val="auto"/>
                <w:sz w:val="20"/>
              </w:rPr>
              <w:t>:</w:t>
            </w:r>
          </w:p>
          <w:p w14:paraId="7F6520B5" w14:textId="107A05A0" w:rsidR="008E2A33" w:rsidRPr="003842D0" w:rsidRDefault="00A062B4" w:rsidP="00174124">
            <w:pPr>
              <w:pStyle w:val="ListParagraph"/>
              <w:numPr>
                <w:ilvl w:val="0"/>
                <w:numId w:val="14"/>
              </w:numPr>
              <w:spacing w:before="0" w:after="0"/>
              <w:rPr>
                <w:rFonts w:cs="Arial"/>
                <w:color w:val="auto"/>
                <w:sz w:val="20"/>
              </w:rPr>
            </w:pPr>
            <w:r w:rsidRPr="003842D0">
              <w:rPr>
                <w:rFonts w:cs="Arial"/>
                <w:b/>
                <w:color w:val="auto"/>
                <w:sz w:val="20"/>
              </w:rPr>
              <w:lastRenderedPageBreak/>
              <w:t>Training Programs</w:t>
            </w:r>
            <w:r w:rsidRPr="00111F9F">
              <w:rPr>
                <w:rFonts w:cs="Arial"/>
                <w:b/>
                <w:color w:val="auto"/>
                <w:sz w:val="20"/>
              </w:rPr>
              <w:t>:</w:t>
            </w:r>
            <w:r w:rsidRPr="003842D0">
              <w:rPr>
                <w:rFonts w:cs="Arial"/>
                <w:color w:val="auto"/>
                <w:sz w:val="20"/>
              </w:rPr>
              <w:t xml:space="preserve"> </w:t>
            </w:r>
            <w:r w:rsidR="00756FF0">
              <w:rPr>
                <w:rFonts w:cs="Arial"/>
                <w:color w:val="auto"/>
                <w:sz w:val="20"/>
              </w:rPr>
              <w:t>The development of</w:t>
            </w:r>
            <w:r w:rsidR="00756FF0" w:rsidRPr="003842D0">
              <w:rPr>
                <w:rFonts w:cs="Arial"/>
                <w:color w:val="auto"/>
                <w:sz w:val="20"/>
              </w:rPr>
              <w:t xml:space="preserve"> </w:t>
            </w:r>
            <w:r w:rsidRPr="003842D0">
              <w:rPr>
                <w:rFonts w:cs="Arial"/>
                <w:color w:val="auto"/>
                <w:sz w:val="20"/>
              </w:rPr>
              <w:t>training to ensure potential breaches of mandatory orders and other legislative requirements can be effectively prosecuted.</w:t>
            </w:r>
          </w:p>
          <w:p w14:paraId="0924112E" w14:textId="19860FC8" w:rsidR="008E2A33" w:rsidRPr="003842D0" w:rsidRDefault="00A062B4" w:rsidP="00174124">
            <w:pPr>
              <w:pStyle w:val="ListParagraph"/>
              <w:numPr>
                <w:ilvl w:val="0"/>
                <w:numId w:val="14"/>
              </w:numPr>
              <w:spacing w:before="0" w:after="0"/>
              <w:rPr>
                <w:rFonts w:cs="Arial"/>
                <w:color w:val="auto"/>
                <w:sz w:val="20"/>
              </w:rPr>
            </w:pPr>
            <w:r w:rsidRPr="003842D0">
              <w:rPr>
                <w:rFonts w:cs="Arial"/>
                <w:b/>
                <w:color w:val="auto"/>
                <w:sz w:val="20"/>
              </w:rPr>
              <w:t>Guidance and Coordination</w:t>
            </w:r>
            <w:r w:rsidRPr="00C81501">
              <w:rPr>
                <w:rFonts w:cs="Arial"/>
                <w:b/>
                <w:color w:val="auto"/>
                <w:sz w:val="20"/>
              </w:rPr>
              <w:t>:</w:t>
            </w:r>
            <w:r w:rsidRPr="003842D0">
              <w:rPr>
                <w:rFonts w:cs="Arial"/>
                <w:color w:val="auto"/>
                <w:sz w:val="20"/>
              </w:rPr>
              <w:t xml:space="preserve"> </w:t>
            </w:r>
            <w:r w:rsidR="00FC40B6">
              <w:rPr>
                <w:rFonts w:cs="Arial"/>
                <w:color w:val="auto"/>
                <w:sz w:val="20"/>
              </w:rPr>
              <w:t xml:space="preserve">The development of </w:t>
            </w:r>
            <w:r w:rsidRPr="003842D0">
              <w:rPr>
                <w:rFonts w:cs="Arial"/>
                <w:color w:val="auto"/>
                <w:sz w:val="20"/>
              </w:rPr>
              <w:t xml:space="preserve">guidance material, </w:t>
            </w:r>
            <w:r w:rsidR="00A46FBE" w:rsidRPr="003842D0">
              <w:rPr>
                <w:rFonts w:cs="Arial"/>
                <w:color w:val="auto"/>
                <w:sz w:val="20"/>
              </w:rPr>
              <w:t>establish</w:t>
            </w:r>
            <w:r w:rsidR="00A46FBE">
              <w:rPr>
                <w:rFonts w:cs="Arial"/>
                <w:color w:val="auto"/>
                <w:sz w:val="20"/>
              </w:rPr>
              <w:t>ment</w:t>
            </w:r>
            <w:r w:rsidR="00A46FBE" w:rsidRPr="003842D0">
              <w:rPr>
                <w:rFonts w:cs="Arial"/>
                <w:color w:val="auto"/>
                <w:sz w:val="20"/>
              </w:rPr>
              <w:t xml:space="preserve"> </w:t>
            </w:r>
            <w:r w:rsidR="00DB0DFB">
              <w:rPr>
                <w:rFonts w:cs="Arial"/>
                <w:color w:val="auto"/>
                <w:sz w:val="20"/>
              </w:rPr>
              <w:t xml:space="preserve">of </w:t>
            </w:r>
            <w:r w:rsidRPr="003842D0">
              <w:rPr>
                <w:rFonts w:cs="Arial"/>
                <w:color w:val="auto"/>
                <w:sz w:val="20"/>
              </w:rPr>
              <w:t>information sharing arrangements, and coordinated enforcement activities across participating agencies, including Victoria Police.</w:t>
            </w:r>
          </w:p>
          <w:p w14:paraId="48C4B262" w14:textId="77777777" w:rsidR="003842D0" w:rsidRDefault="00A062B4" w:rsidP="00174124">
            <w:pPr>
              <w:pStyle w:val="ListParagraph"/>
              <w:numPr>
                <w:ilvl w:val="0"/>
                <w:numId w:val="14"/>
              </w:numPr>
              <w:spacing w:before="0" w:after="0"/>
              <w:rPr>
                <w:rFonts w:cs="Arial"/>
                <w:color w:val="auto"/>
                <w:sz w:val="20"/>
              </w:rPr>
            </w:pPr>
            <w:r w:rsidRPr="003842D0">
              <w:rPr>
                <w:rFonts w:cs="Arial"/>
                <w:b/>
                <w:color w:val="auto"/>
                <w:sz w:val="20"/>
              </w:rPr>
              <w:t xml:space="preserve">Risk Management Strategies: </w:t>
            </w:r>
            <w:r w:rsidRPr="003842D0">
              <w:rPr>
                <w:rFonts w:cs="Arial"/>
                <w:color w:val="auto"/>
                <w:sz w:val="20"/>
              </w:rPr>
              <w:t>Implemented risk management strategies for high-risk circumstances, such as enforcing breaches of control or restricted area orders.</w:t>
            </w:r>
          </w:p>
          <w:p w14:paraId="142EB95E" w14:textId="2A827498" w:rsidR="00DC3CEA" w:rsidRPr="00911224" w:rsidRDefault="00A062B4" w:rsidP="00911224">
            <w:pPr>
              <w:pStyle w:val="ListParagraph"/>
              <w:numPr>
                <w:ilvl w:val="0"/>
                <w:numId w:val="14"/>
              </w:numPr>
              <w:spacing w:before="0" w:after="0"/>
              <w:rPr>
                <w:rFonts w:cs="Arial"/>
                <w:color w:val="auto"/>
                <w:sz w:val="20"/>
              </w:rPr>
            </w:pPr>
            <w:r w:rsidRPr="00BC4C70">
              <w:rPr>
                <w:rFonts w:cs="Arial"/>
                <w:b/>
                <w:color w:val="auto"/>
                <w:sz w:val="20"/>
              </w:rPr>
              <w:t xml:space="preserve">Legislative Improvements: </w:t>
            </w:r>
            <w:r w:rsidR="00D062B9" w:rsidRPr="00BC4C70">
              <w:rPr>
                <w:rFonts w:cs="Arial"/>
                <w:color w:val="auto"/>
                <w:sz w:val="20"/>
              </w:rPr>
              <w:t>The BLAIR Act</w:t>
            </w:r>
            <w:r w:rsidR="00B14CC4">
              <w:rPr>
                <w:rFonts w:cs="Arial"/>
                <w:color w:val="auto"/>
                <w:sz w:val="20"/>
              </w:rPr>
              <w:t xml:space="preserve"> 2024</w:t>
            </w:r>
            <w:r w:rsidR="008C280F">
              <w:rPr>
                <w:rFonts w:cs="Arial"/>
                <w:color w:val="auto"/>
                <w:sz w:val="20"/>
              </w:rPr>
              <w:t xml:space="preserve"> </w:t>
            </w:r>
            <w:r w:rsidR="00ED0645">
              <w:rPr>
                <w:rFonts w:cs="Arial"/>
                <w:color w:val="auto"/>
                <w:sz w:val="20"/>
              </w:rPr>
              <w:t xml:space="preserve">bolstered Agriculture Victoria’s ability to </w:t>
            </w:r>
            <w:r w:rsidR="00D062B9" w:rsidRPr="00BC4C70">
              <w:rPr>
                <w:rFonts w:cs="Arial"/>
                <w:color w:val="auto"/>
                <w:sz w:val="20"/>
              </w:rPr>
              <w:t xml:space="preserve">manage biosecurity incidents, including preparing for, responding to, and recovering from an </w:t>
            </w:r>
            <w:r w:rsidR="009738B7">
              <w:rPr>
                <w:rFonts w:cs="Arial"/>
                <w:color w:val="auto"/>
                <w:sz w:val="20"/>
              </w:rPr>
              <w:t>EAD</w:t>
            </w:r>
            <w:r w:rsidR="00D062B9" w:rsidRPr="00BC4C70">
              <w:rPr>
                <w:rFonts w:cs="Arial"/>
                <w:color w:val="auto"/>
                <w:sz w:val="20"/>
              </w:rPr>
              <w:t>, or plant pest or disease, detection</w:t>
            </w:r>
            <w:r w:rsidR="00F12DD6">
              <w:rPr>
                <w:rFonts w:cs="Arial"/>
                <w:color w:val="auto"/>
                <w:sz w:val="20"/>
              </w:rPr>
              <w:t>,</w:t>
            </w:r>
            <w:r w:rsidR="00D062B9" w:rsidRPr="00BC4C70">
              <w:rPr>
                <w:rFonts w:cs="Arial"/>
                <w:color w:val="auto"/>
                <w:sz w:val="20"/>
              </w:rPr>
              <w:t xml:space="preserve"> or outbreak.  </w:t>
            </w:r>
          </w:p>
          <w:p w14:paraId="4A372F64" w14:textId="069504C1" w:rsidR="00BF77B6" w:rsidRPr="00911224" w:rsidRDefault="004E1CE4" w:rsidP="00911224">
            <w:pPr>
              <w:pStyle w:val="ListParagraph"/>
              <w:numPr>
                <w:ilvl w:val="0"/>
                <w:numId w:val="13"/>
              </w:numPr>
              <w:spacing w:before="0" w:after="0"/>
              <w:rPr>
                <w:rFonts w:cs="Arial"/>
                <w:b/>
                <w:color w:val="auto"/>
                <w:sz w:val="20"/>
              </w:rPr>
            </w:pPr>
            <w:r w:rsidRPr="004E1CE4">
              <w:rPr>
                <w:rFonts w:cs="Arial"/>
                <w:b/>
                <w:color w:val="auto"/>
                <w:sz w:val="20"/>
              </w:rPr>
              <w:t>Communications and Industry Engagement:</w:t>
            </w:r>
            <w:r>
              <w:rPr>
                <w:rFonts w:cs="Arial"/>
                <w:bCs/>
                <w:color w:val="auto"/>
                <w:sz w:val="20"/>
              </w:rPr>
              <w:t xml:space="preserve"> </w:t>
            </w:r>
            <w:r w:rsidR="00911224">
              <w:rPr>
                <w:rFonts w:cs="Arial"/>
                <w:bCs/>
                <w:color w:val="auto"/>
                <w:sz w:val="20"/>
              </w:rPr>
              <w:t xml:space="preserve">In 2023/24, </w:t>
            </w:r>
            <w:r w:rsidR="00BF77B6" w:rsidRPr="00911224">
              <w:rPr>
                <w:rFonts w:cs="Arial"/>
                <w:bCs/>
                <w:color w:val="auto"/>
                <w:sz w:val="20"/>
              </w:rPr>
              <w:t xml:space="preserve">Agriculture Victoria </w:t>
            </w:r>
            <w:r w:rsidR="00911224">
              <w:rPr>
                <w:rFonts w:cs="Arial"/>
                <w:bCs/>
                <w:color w:val="auto"/>
                <w:sz w:val="20"/>
              </w:rPr>
              <w:t>continued to</w:t>
            </w:r>
            <w:r w:rsidR="00BF77B6" w:rsidRPr="00911224">
              <w:rPr>
                <w:rFonts w:cs="Arial"/>
                <w:bCs/>
                <w:color w:val="auto"/>
                <w:sz w:val="20"/>
              </w:rPr>
              <w:t xml:space="preserve"> </w:t>
            </w:r>
            <w:r w:rsidR="004B1CEF">
              <w:rPr>
                <w:rFonts w:cs="Arial"/>
                <w:bCs/>
                <w:color w:val="auto"/>
                <w:sz w:val="20"/>
              </w:rPr>
              <w:t>deliver</w:t>
            </w:r>
            <w:r w:rsidR="00BF77B6" w:rsidRPr="00911224">
              <w:rPr>
                <w:rFonts w:cs="Arial"/>
                <w:bCs/>
                <w:color w:val="auto"/>
                <w:sz w:val="20"/>
              </w:rPr>
              <w:t xml:space="preserve"> communications and industry engagement activities to raise awareness and build biosecurity capability in the community</w:t>
            </w:r>
            <w:r w:rsidR="00BF77B6" w:rsidRPr="00911224">
              <w:rPr>
                <w:rFonts w:cs="Arial"/>
                <w:b/>
                <w:color w:val="auto"/>
                <w:sz w:val="20"/>
              </w:rPr>
              <w:t xml:space="preserve">. </w:t>
            </w:r>
            <w:r w:rsidR="00BF77B6" w:rsidRPr="00C052A1">
              <w:rPr>
                <w:rFonts w:cs="Arial"/>
                <w:bCs/>
                <w:color w:val="auto"/>
                <w:sz w:val="20"/>
              </w:rPr>
              <w:t>This includes:</w:t>
            </w:r>
            <w:r w:rsidR="00BF77B6" w:rsidRPr="00911224">
              <w:rPr>
                <w:rFonts w:cs="Arial"/>
                <w:b/>
                <w:color w:val="auto"/>
                <w:sz w:val="20"/>
              </w:rPr>
              <w:t xml:space="preserve"> </w:t>
            </w:r>
          </w:p>
          <w:p w14:paraId="4C1C6979" w14:textId="699B53F7" w:rsidR="00BF77B6" w:rsidRPr="00BF77B6" w:rsidRDefault="00BF77B6" w:rsidP="00BF77B6">
            <w:pPr>
              <w:pStyle w:val="ListParagraph"/>
              <w:numPr>
                <w:ilvl w:val="0"/>
                <w:numId w:val="14"/>
              </w:numPr>
              <w:spacing w:before="0" w:after="0"/>
              <w:rPr>
                <w:rFonts w:cs="Arial"/>
                <w:color w:val="auto"/>
                <w:sz w:val="20"/>
              </w:rPr>
            </w:pPr>
            <w:r w:rsidRPr="00BF77B6">
              <w:rPr>
                <w:rFonts w:cs="Arial"/>
                <w:color w:val="auto"/>
                <w:sz w:val="20"/>
              </w:rPr>
              <w:t>269 community and industry awareness-raising webinars and events, engaging 15,249 producers and stakeholders</w:t>
            </w:r>
            <w:r w:rsidR="002A148F">
              <w:rPr>
                <w:rFonts w:cs="Arial"/>
                <w:color w:val="auto"/>
                <w:sz w:val="20"/>
              </w:rPr>
              <w:t>.</w:t>
            </w:r>
            <w:r w:rsidRPr="00BF77B6">
              <w:rPr>
                <w:rFonts w:cs="Arial"/>
                <w:color w:val="auto"/>
                <w:sz w:val="20"/>
              </w:rPr>
              <w:t xml:space="preserve"> </w:t>
            </w:r>
          </w:p>
          <w:p w14:paraId="6EBC1320" w14:textId="21A69235" w:rsidR="00BF77B6" w:rsidRPr="00BF77B6" w:rsidRDefault="00BF77B6" w:rsidP="00BF77B6">
            <w:pPr>
              <w:pStyle w:val="ListParagraph"/>
              <w:numPr>
                <w:ilvl w:val="0"/>
                <w:numId w:val="14"/>
              </w:numPr>
              <w:spacing w:before="0" w:after="0"/>
              <w:rPr>
                <w:rFonts w:cs="Arial"/>
                <w:color w:val="auto"/>
                <w:sz w:val="20"/>
              </w:rPr>
            </w:pPr>
            <w:r w:rsidRPr="00BF77B6">
              <w:rPr>
                <w:rFonts w:cs="Arial"/>
                <w:color w:val="auto"/>
                <w:sz w:val="20"/>
              </w:rPr>
              <w:t>143 farm biosecurity planning workshops, with over 1,345 farm biosecurity plans developed with farmers, encouraging greater ownership and action by producers to manage their biosecurity risks –</w:t>
            </w:r>
          </w:p>
          <w:p w14:paraId="40369E13" w14:textId="783CD04D" w:rsidR="00BF77B6" w:rsidRPr="00BF77B6" w:rsidRDefault="00BF77B6" w:rsidP="00BF77B6">
            <w:pPr>
              <w:pStyle w:val="ListParagraph"/>
              <w:numPr>
                <w:ilvl w:val="0"/>
                <w:numId w:val="14"/>
              </w:numPr>
              <w:spacing w:before="0" w:after="0"/>
              <w:rPr>
                <w:rFonts w:cs="Arial"/>
                <w:color w:val="auto"/>
                <w:sz w:val="20"/>
              </w:rPr>
            </w:pPr>
            <w:r w:rsidRPr="00BF77B6">
              <w:rPr>
                <w:rFonts w:cs="Arial"/>
                <w:color w:val="auto"/>
                <w:sz w:val="20"/>
              </w:rPr>
              <w:t xml:space="preserve">targeted EAD awareness campaigns (e.g. ‘Backyard Biosecurity’), </w:t>
            </w:r>
            <w:r w:rsidR="004B1CEF">
              <w:rPr>
                <w:rFonts w:cs="Arial"/>
                <w:color w:val="auto"/>
                <w:sz w:val="20"/>
              </w:rPr>
              <w:t xml:space="preserve">have been </w:t>
            </w:r>
            <w:r w:rsidRPr="00BF77B6">
              <w:rPr>
                <w:rFonts w:cs="Arial"/>
                <w:color w:val="auto"/>
                <w:sz w:val="20"/>
              </w:rPr>
              <w:t>rolled out including new videos and a landing page for small-scale landholders which averages 40 visitors per day, with a total of over 7,300 visitors since June 2023</w:t>
            </w:r>
            <w:r w:rsidR="002A148F">
              <w:rPr>
                <w:rFonts w:cs="Arial"/>
                <w:color w:val="auto"/>
                <w:sz w:val="20"/>
              </w:rPr>
              <w:t>.</w:t>
            </w:r>
            <w:r w:rsidRPr="00BF77B6">
              <w:rPr>
                <w:rFonts w:cs="Arial"/>
                <w:color w:val="auto"/>
                <w:sz w:val="20"/>
              </w:rPr>
              <w:t xml:space="preserve"> </w:t>
            </w:r>
          </w:p>
          <w:p w14:paraId="22CABE29" w14:textId="77777777" w:rsidR="00DC3CEA" w:rsidRDefault="00BF77B6" w:rsidP="00941BD4">
            <w:pPr>
              <w:pStyle w:val="ListParagraph"/>
              <w:numPr>
                <w:ilvl w:val="0"/>
                <w:numId w:val="14"/>
              </w:numPr>
              <w:spacing w:before="0" w:after="0"/>
              <w:rPr>
                <w:rFonts w:cs="Arial"/>
                <w:color w:val="auto"/>
                <w:sz w:val="20"/>
              </w:rPr>
            </w:pPr>
            <w:r w:rsidRPr="00BF77B6">
              <w:rPr>
                <w:rFonts w:cs="Arial"/>
                <w:color w:val="auto"/>
                <w:sz w:val="20"/>
              </w:rPr>
              <w:t>four eLearning modules with over 2,500 enrolments by external stakeholders and industry participants</w:t>
            </w:r>
            <w:r w:rsidRPr="00C052A1">
              <w:rPr>
                <w:rFonts w:cs="Arial"/>
                <w:color w:val="auto"/>
                <w:sz w:val="20"/>
              </w:rPr>
              <w:t>.</w:t>
            </w:r>
          </w:p>
          <w:p w14:paraId="2DEC8692" w14:textId="4BA43AD1" w:rsidR="00800162" w:rsidRPr="007F06F4" w:rsidRDefault="00800162" w:rsidP="00800162">
            <w:pPr>
              <w:pStyle w:val="ListParagraph"/>
              <w:spacing w:before="0" w:after="0"/>
              <w:ind w:left="1080"/>
              <w:rPr>
                <w:rFonts w:cs="Arial"/>
                <w:color w:val="auto"/>
                <w:sz w:val="20"/>
              </w:rPr>
            </w:pPr>
          </w:p>
        </w:tc>
      </w:tr>
      <w:tr w:rsidR="00BD57FF" w:rsidRPr="007A0ADC" w14:paraId="6264EF62" w14:textId="10A596BF" w:rsidTr="67285148">
        <w:trPr>
          <w:trHeight w:val="300"/>
        </w:trPr>
        <w:tc>
          <w:tcPr>
            <w:tcW w:w="0" w:type="auto"/>
            <w:gridSpan w:val="3"/>
            <w:shd w:val="clear" w:color="auto" w:fill="E7E6E6" w:themeFill="background2"/>
          </w:tcPr>
          <w:p w14:paraId="3896DEB5" w14:textId="49E1F4AB" w:rsidR="00E31780" w:rsidRDefault="00DC3CEA" w:rsidP="00CB682A">
            <w:pPr>
              <w:spacing w:before="0" w:after="0"/>
              <w:rPr>
                <w:rFonts w:cs="Arial"/>
                <w:b/>
                <w:bCs/>
                <w:color w:val="auto"/>
                <w:sz w:val="20"/>
              </w:rPr>
            </w:pPr>
            <w:r w:rsidRPr="003842D0">
              <w:rPr>
                <w:rFonts w:cs="Arial"/>
                <w:b/>
                <w:color w:val="auto"/>
                <w:sz w:val="20"/>
              </w:rPr>
              <w:lastRenderedPageBreak/>
              <w:t>Thematic priority</w:t>
            </w:r>
            <w:r w:rsidR="00BD57FF" w:rsidRPr="003842D0">
              <w:rPr>
                <w:rFonts w:cs="Arial"/>
                <w:b/>
                <w:color w:val="auto"/>
                <w:sz w:val="20"/>
              </w:rPr>
              <w:t xml:space="preserve"> element 2: Improved Delivery</w:t>
            </w:r>
            <w:r w:rsidR="00BD57FF" w:rsidRPr="003842D0">
              <w:rPr>
                <w:rFonts w:cs="Arial"/>
                <w:b/>
                <w:bCs/>
                <w:color w:val="auto"/>
                <w:sz w:val="20"/>
              </w:rPr>
              <w:t xml:space="preserve"> </w:t>
            </w:r>
          </w:p>
          <w:p w14:paraId="33E29151" w14:textId="77777777" w:rsidR="007468DF" w:rsidRPr="003842D0" w:rsidRDefault="007468DF" w:rsidP="00CB682A">
            <w:pPr>
              <w:spacing w:before="0" w:after="0"/>
              <w:rPr>
                <w:rFonts w:cs="Arial"/>
                <w:b/>
                <w:color w:val="auto"/>
                <w:sz w:val="20"/>
              </w:rPr>
            </w:pPr>
          </w:p>
          <w:p w14:paraId="5D5D6127" w14:textId="53356CAC" w:rsidR="00A341E5" w:rsidRPr="00B32B60" w:rsidRDefault="00BD57FF" w:rsidP="00CB682A">
            <w:pPr>
              <w:spacing w:before="0" w:after="0"/>
              <w:rPr>
                <w:i/>
                <w:color w:val="auto"/>
                <w:sz w:val="20"/>
              </w:rPr>
            </w:pPr>
            <w:r w:rsidRPr="003842D0">
              <w:rPr>
                <w:rFonts w:cs="Arial"/>
                <w:i/>
                <w:color w:val="auto"/>
                <w:sz w:val="20"/>
              </w:rPr>
              <w:t>E</w:t>
            </w:r>
            <w:r w:rsidRPr="003842D0">
              <w:rPr>
                <w:i/>
                <w:color w:val="auto"/>
                <w:sz w:val="20"/>
              </w:rPr>
              <w:t>fficient delivery of regulatory functions</w:t>
            </w:r>
            <w:r w:rsidR="00E31780" w:rsidRPr="003842D0">
              <w:rPr>
                <w:i/>
                <w:color w:val="auto"/>
                <w:sz w:val="20"/>
              </w:rPr>
              <w:t>.</w:t>
            </w:r>
          </w:p>
        </w:tc>
      </w:tr>
      <w:tr w:rsidR="00303D1B" w:rsidRPr="007A0ADC" w14:paraId="37CDA06D" w14:textId="58767070" w:rsidTr="67285148">
        <w:trPr>
          <w:trHeight w:val="300"/>
        </w:trPr>
        <w:tc>
          <w:tcPr>
            <w:tcW w:w="0" w:type="auto"/>
            <w:shd w:val="clear" w:color="auto" w:fill="E7E6E6" w:themeFill="background2"/>
          </w:tcPr>
          <w:p w14:paraId="554067C1" w14:textId="3B7664D5" w:rsidR="00341D33" w:rsidRPr="007A0ADC" w:rsidRDefault="00341D33" w:rsidP="00341D33">
            <w:pPr>
              <w:spacing w:before="0"/>
              <w:rPr>
                <w:rFonts w:cs="Arial"/>
                <w:b/>
                <w:bCs/>
                <w:color w:val="auto"/>
                <w:sz w:val="20"/>
              </w:rPr>
            </w:pPr>
            <w:r w:rsidRPr="007A0ADC">
              <w:rPr>
                <w:rFonts w:cs="Arial"/>
                <w:b/>
                <w:bCs/>
                <w:color w:val="auto"/>
                <w:sz w:val="20"/>
              </w:rPr>
              <w:t xml:space="preserve">Expectation </w:t>
            </w:r>
          </w:p>
        </w:tc>
        <w:tc>
          <w:tcPr>
            <w:tcW w:w="0" w:type="auto"/>
            <w:shd w:val="clear" w:color="auto" w:fill="E7E6E6" w:themeFill="background2"/>
          </w:tcPr>
          <w:p w14:paraId="3F314EAA" w14:textId="54DAB9F2" w:rsidR="00341D33" w:rsidRPr="007A0ADC" w:rsidRDefault="00341D33" w:rsidP="00341D33">
            <w:pPr>
              <w:spacing w:before="0"/>
              <w:rPr>
                <w:rFonts w:cs="Arial"/>
                <w:b/>
                <w:bCs/>
                <w:color w:val="auto"/>
                <w:sz w:val="20"/>
              </w:rPr>
            </w:pPr>
            <w:r w:rsidRPr="007A0ADC">
              <w:rPr>
                <w:rFonts w:cs="Arial"/>
                <w:b/>
                <w:bCs/>
                <w:color w:val="auto"/>
                <w:sz w:val="20"/>
              </w:rPr>
              <w:t>Outputs</w:t>
            </w:r>
          </w:p>
        </w:tc>
        <w:tc>
          <w:tcPr>
            <w:tcW w:w="0" w:type="auto"/>
            <w:shd w:val="clear" w:color="auto" w:fill="E7E6E6" w:themeFill="background2"/>
          </w:tcPr>
          <w:p w14:paraId="02740417" w14:textId="7CA8CD63" w:rsidR="00341D33" w:rsidRPr="003842D0" w:rsidRDefault="00341D33" w:rsidP="00341D33">
            <w:pPr>
              <w:spacing w:before="0"/>
              <w:rPr>
                <w:rFonts w:cs="Arial"/>
                <w:b/>
                <w:color w:val="auto"/>
                <w:sz w:val="20"/>
              </w:rPr>
            </w:pPr>
            <w:r w:rsidRPr="003842D0">
              <w:rPr>
                <w:rFonts w:cs="Arial"/>
                <w:b/>
                <w:color w:val="auto"/>
                <w:sz w:val="20"/>
              </w:rPr>
              <w:t xml:space="preserve">Achievements </w:t>
            </w:r>
            <w:r w:rsidR="00BA4D03" w:rsidRPr="003842D0">
              <w:rPr>
                <w:rFonts w:cs="Arial"/>
                <w:b/>
                <w:color w:val="auto"/>
                <w:sz w:val="20"/>
              </w:rPr>
              <w:t>as</w:t>
            </w:r>
            <w:r w:rsidRPr="003842D0">
              <w:rPr>
                <w:b/>
                <w:color w:val="auto"/>
                <w:sz w:val="20"/>
              </w:rPr>
              <w:t xml:space="preserve"> </w:t>
            </w:r>
            <w:r w:rsidR="00E31780" w:rsidRPr="003842D0">
              <w:rPr>
                <w:b/>
                <w:color w:val="auto"/>
                <w:sz w:val="20"/>
              </w:rPr>
              <w:t>of</w:t>
            </w:r>
            <w:r w:rsidRPr="003842D0">
              <w:rPr>
                <w:b/>
                <w:color w:val="auto"/>
                <w:sz w:val="20"/>
              </w:rPr>
              <w:t xml:space="preserve"> 30 June 2024</w:t>
            </w:r>
          </w:p>
        </w:tc>
      </w:tr>
      <w:tr w:rsidR="00303D1B" w:rsidRPr="007A0ADC" w14:paraId="7F1CF95C" w14:textId="512E903F" w:rsidTr="67285148">
        <w:trPr>
          <w:trHeight w:val="362"/>
        </w:trPr>
        <w:tc>
          <w:tcPr>
            <w:tcW w:w="0" w:type="auto"/>
          </w:tcPr>
          <w:p w14:paraId="47F4137E" w14:textId="3E3344B8" w:rsidR="00DC3CEA" w:rsidRPr="00DC3CEA" w:rsidRDefault="00DC3CEA" w:rsidP="00501642">
            <w:pPr>
              <w:spacing w:before="0"/>
              <w:rPr>
                <w:rFonts w:cs="Arial"/>
                <w:b/>
                <w:bCs/>
                <w:color w:val="auto"/>
                <w:sz w:val="20"/>
              </w:rPr>
            </w:pPr>
            <w:r w:rsidRPr="00DC3CEA">
              <w:rPr>
                <w:rFonts w:cs="Arial"/>
                <w:b/>
                <w:bCs/>
                <w:color w:val="auto"/>
                <w:sz w:val="20"/>
              </w:rPr>
              <w:lastRenderedPageBreak/>
              <w:t>Operational improvement</w:t>
            </w:r>
            <w:r w:rsidR="0075713B">
              <w:rPr>
                <w:rFonts w:cs="Arial"/>
                <w:b/>
                <w:bCs/>
                <w:color w:val="auto"/>
                <w:sz w:val="20"/>
              </w:rPr>
              <w:t>s</w:t>
            </w:r>
            <w:r w:rsidRPr="00DC3CEA">
              <w:rPr>
                <w:rFonts w:cs="Arial"/>
                <w:b/>
                <w:bCs/>
                <w:color w:val="auto"/>
                <w:sz w:val="20"/>
              </w:rPr>
              <w:t xml:space="preserve"> in the delivery of regulatory services.</w:t>
            </w:r>
          </w:p>
        </w:tc>
        <w:tc>
          <w:tcPr>
            <w:tcW w:w="0" w:type="auto"/>
          </w:tcPr>
          <w:p w14:paraId="594F4D4C" w14:textId="77777777" w:rsidR="00DC3CEA" w:rsidRDefault="00DC3CEA" w:rsidP="00AA1CCD">
            <w:pPr>
              <w:pStyle w:val="ListParagraph"/>
              <w:numPr>
                <w:ilvl w:val="0"/>
                <w:numId w:val="2"/>
              </w:numPr>
              <w:spacing w:after="120"/>
              <w:rPr>
                <w:rFonts w:cs="Arial"/>
                <w:color w:val="auto"/>
                <w:sz w:val="20"/>
              </w:rPr>
            </w:pPr>
            <w:r w:rsidRPr="007A0ADC">
              <w:rPr>
                <w:rFonts w:cs="Arial"/>
                <w:color w:val="auto"/>
                <w:sz w:val="20"/>
              </w:rPr>
              <w:t>Identify opportunities and implement learnings for improved processes.</w:t>
            </w:r>
          </w:p>
          <w:p w14:paraId="18E50270" w14:textId="06A64D11" w:rsidR="00DC3CEA" w:rsidRPr="00FA139D" w:rsidRDefault="00DC3CEA" w:rsidP="00AA1CCD">
            <w:pPr>
              <w:pStyle w:val="ListParagraph"/>
              <w:numPr>
                <w:ilvl w:val="0"/>
                <w:numId w:val="2"/>
              </w:numPr>
              <w:spacing w:after="120"/>
              <w:rPr>
                <w:rFonts w:cs="Arial"/>
                <w:color w:val="000000" w:themeColor="text1"/>
                <w:sz w:val="20"/>
              </w:rPr>
            </w:pPr>
            <w:r w:rsidRPr="00FA139D">
              <w:rPr>
                <w:rFonts w:cs="Arial"/>
                <w:color w:val="000000" w:themeColor="text1"/>
                <w:sz w:val="20"/>
              </w:rPr>
              <w:t>Implement recommendations arising from the 2022 livestock welfare outcomes and welfare complaints data project.</w:t>
            </w:r>
          </w:p>
          <w:p w14:paraId="249B44B4" w14:textId="005032CE" w:rsidR="00DC3CEA" w:rsidRPr="00FA139D" w:rsidRDefault="00DC3CEA" w:rsidP="00AA1CCD">
            <w:pPr>
              <w:pStyle w:val="ListParagraph"/>
              <w:numPr>
                <w:ilvl w:val="0"/>
                <w:numId w:val="2"/>
              </w:numPr>
              <w:spacing w:after="120"/>
              <w:rPr>
                <w:rFonts w:cs="Arial"/>
                <w:color w:val="000000" w:themeColor="text1"/>
                <w:sz w:val="20"/>
              </w:rPr>
            </w:pPr>
            <w:r w:rsidRPr="00FA139D">
              <w:rPr>
                <w:rFonts w:cs="Arial"/>
                <w:color w:val="000000" w:themeColor="text1"/>
                <w:sz w:val="20"/>
              </w:rPr>
              <w:t>Implement recommendations from the Livestock Traceability Health Check report by Better Regulation Victoria.</w:t>
            </w:r>
          </w:p>
          <w:p w14:paraId="742B50BD" w14:textId="416D1584" w:rsidR="00DC3CEA" w:rsidRPr="00FA139D" w:rsidRDefault="00DC3CEA">
            <w:pPr>
              <w:pStyle w:val="ListParagraph"/>
              <w:numPr>
                <w:ilvl w:val="0"/>
                <w:numId w:val="2"/>
              </w:numPr>
              <w:spacing w:after="120"/>
              <w:rPr>
                <w:rFonts w:cs="Arial"/>
                <w:color w:val="000000" w:themeColor="text1"/>
                <w:sz w:val="20"/>
              </w:rPr>
            </w:pPr>
            <w:r w:rsidRPr="00FA139D">
              <w:rPr>
                <w:rFonts w:cs="Arial"/>
                <w:color w:val="000000" w:themeColor="text1"/>
                <w:sz w:val="20"/>
              </w:rPr>
              <w:t xml:space="preserve">Use recommendations from the Future Directions Report to shape regulatory programs to support </w:t>
            </w:r>
            <w:r w:rsidR="000069B6">
              <w:rPr>
                <w:rFonts w:cs="Arial"/>
                <w:color w:val="000000" w:themeColor="text1"/>
                <w:sz w:val="20"/>
              </w:rPr>
              <w:t>community-led</w:t>
            </w:r>
            <w:r w:rsidRPr="00FA139D">
              <w:rPr>
                <w:rFonts w:cs="Arial"/>
                <w:color w:val="000000" w:themeColor="text1"/>
                <w:sz w:val="20"/>
              </w:rPr>
              <w:t xml:space="preserve"> action. </w:t>
            </w:r>
          </w:p>
          <w:p w14:paraId="5F5D8A00" w14:textId="10DF475E" w:rsidR="00DC3CEA" w:rsidRPr="00B152FC" w:rsidRDefault="00DC3CEA" w:rsidP="00B152FC">
            <w:pPr>
              <w:pStyle w:val="ListParagraph"/>
              <w:numPr>
                <w:ilvl w:val="0"/>
                <w:numId w:val="2"/>
              </w:numPr>
              <w:spacing w:after="120"/>
              <w:rPr>
                <w:rFonts w:cs="Arial"/>
                <w:color w:val="auto"/>
                <w:sz w:val="20"/>
              </w:rPr>
            </w:pPr>
            <w:r w:rsidRPr="00FA139D">
              <w:rPr>
                <w:rFonts w:cs="Arial"/>
                <w:color w:val="000000" w:themeColor="text1"/>
                <w:sz w:val="20"/>
              </w:rPr>
              <w:t xml:space="preserve">Perform </w:t>
            </w:r>
            <w:r w:rsidR="000069B6">
              <w:rPr>
                <w:rFonts w:cs="Arial"/>
                <w:color w:val="000000" w:themeColor="text1"/>
                <w:sz w:val="20"/>
              </w:rPr>
              <w:t xml:space="preserve">a </w:t>
            </w:r>
            <w:r w:rsidRPr="00FA139D">
              <w:rPr>
                <w:rFonts w:cs="Arial"/>
                <w:color w:val="000000" w:themeColor="text1"/>
                <w:sz w:val="20"/>
              </w:rPr>
              <w:t>review of existing Rodeo Welfare reporting and assessment procedures.</w:t>
            </w:r>
          </w:p>
        </w:tc>
        <w:tc>
          <w:tcPr>
            <w:tcW w:w="0" w:type="auto"/>
          </w:tcPr>
          <w:p w14:paraId="56265A9C" w14:textId="77777777" w:rsidR="00EF32D2" w:rsidRPr="003842D0" w:rsidRDefault="00EF32D2" w:rsidP="00174124">
            <w:pPr>
              <w:pStyle w:val="ListParagraph"/>
              <w:numPr>
                <w:ilvl w:val="0"/>
                <w:numId w:val="15"/>
              </w:numPr>
              <w:spacing w:before="0" w:after="0"/>
              <w:rPr>
                <w:rFonts w:cs="Arial"/>
                <w:color w:val="auto"/>
                <w:sz w:val="20"/>
              </w:rPr>
            </w:pPr>
            <w:r w:rsidRPr="003842D0">
              <w:rPr>
                <w:rFonts w:cs="Arial"/>
                <w:b/>
                <w:color w:val="auto"/>
                <w:sz w:val="20"/>
              </w:rPr>
              <w:t xml:space="preserve">Livestock Traceability Improvements: </w:t>
            </w:r>
            <w:r w:rsidRPr="003842D0">
              <w:rPr>
                <w:rFonts w:cs="Arial"/>
                <w:color w:val="auto"/>
                <w:sz w:val="20"/>
              </w:rPr>
              <w:t>The Livestock Traceability team participated in the Better Regulation Victoria Regulator Improvement Program health check. The final report identified key findings and recommendations for operational improvements, which are being actively implemented, including updates to templates and remedial notices with new documents under development.</w:t>
            </w:r>
          </w:p>
          <w:p w14:paraId="3C1BB5D7" w14:textId="470C2710" w:rsidR="00EF32D2" w:rsidRPr="003842D0" w:rsidRDefault="00EF32D2" w:rsidP="00174124">
            <w:pPr>
              <w:pStyle w:val="ListParagraph"/>
              <w:numPr>
                <w:ilvl w:val="0"/>
                <w:numId w:val="15"/>
              </w:numPr>
              <w:spacing w:before="0" w:after="0"/>
              <w:rPr>
                <w:rFonts w:cs="Arial"/>
                <w:color w:val="auto"/>
                <w:sz w:val="20"/>
              </w:rPr>
            </w:pPr>
            <w:r w:rsidRPr="003842D0">
              <w:rPr>
                <w:rFonts w:cs="Arial"/>
                <w:b/>
                <w:color w:val="auto"/>
                <w:sz w:val="20"/>
              </w:rPr>
              <w:t xml:space="preserve">Community-Led Management of Established Pests: </w:t>
            </w:r>
            <w:r w:rsidRPr="003842D0">
              <w:rPr>
                <w:rFonts w:cs="Arial"/>
                <w:color w:val="auto"/>
                <w:sz w:val="20"/>
              </w:rPr>
              <w:t>Recommendations from the October 2021 Future Directions Report on the Review of Community Led Management of Established Pests have guided regulatory programs to support community-led actions. This has led to the development of the new Victorian Invasive Pests Advisory Board</w:t>
            </w:r>
            <w:r w:rsidR="008E2891" w:rsidRPr="003842D0">
              <w:rPr>
                <w:rFonts w:cs="Arial"/>
                <w:color w:val="auto"/>
                <w:sz w:val="20"/>
              </w:rPr>
              <w:t xml:space="preserve"> (VI</w:t>
            </w:r>
            <w:r w:rsidR="00CA1811" w:rsidRPr="003842D0">
              <w:rPr>
                <w:rFonts w:cs="Arial"/>
                <w:color w:val="auto"/>
                <w:sz w:val="20"/>
              </w:rPr>
              <w:t>PA Board)</w:t>
            </w:r>
            <w:r w:rsidRPr="003842D0">
              <w:rPr>
                <w:rFonts w:cs="Arial"/>
                <w:color w:val="auto"/>
                <w:sz w:val="20"/>
              </w:rPr>
              <w:t xml:space="preserve"> and the initiation of a community grants program.</w:t>
            </w:r>
          </w:p>
          <w:p w14:paraId="2B664A62" w14:textId="5253AB6B" w:rsidR="00EF32D2" w:rsidRPr="003842D0" w:rsidRDefault="00EF32D2" w:rsidP="00174124">
            <w:pPr>
              <w:pStyle w:val="ListParagraph"/>
              <w:numPr>
                <w:ilvl w:val="0"/>
                <w:numId w:val="15"/>
              </w:numPr>
              <w:spacing w:before="0" w:after="0"/>
              <w:rPr>
                <w:rFonts w:cs="Arial"/>
                <w:color w:val="auto"/>
                <w:sz w:val="20"/>
              </w:rPr>
            </w:pPr>
            <w:r w:rsidRPr="003842D0">
              <w:rPr>
                <w:rFonts w:cs="Arial"/>
                <w:b/>
                <w:color w:val="auto"/>
                <w:sz w:val="20"/>
              </w:rPr>
              <w:t xml:space="preserve">Implementation of Future Directions Report: </w:t>
            </w:r>
            <w:r w:rsidRPr="003842D0">
              <w:rPr>
                <w:rFonts w:cs="Arial"/>
                <w:color w:val="auto"/>
                <w:sz w:val="20"/>
              </w:rPr>
              <w:t>Agriculture Victoria is actively implementing recommendations from the Future Directions Report, progressing the establishment of the VIPA Board and the grants program.</w:t>
            </w:r>
          </w:p>
          <w:p w14:paraId="34BDDD03" w14:textId="6B4F8E4E" w:rsidR="00EF32D2" w:rsidRPr="003842D0" w:rsidRDefault="00EF32D2" w:rsidP="00174124">
            <w:pPr>
              <w:pStyle w:val="ListParagraph"/>
              <w:numPr>
                <w:ilvl w:val="0"/>
                <w:numId w:val="15"/>
              </w:numPr>
              <w:spacing w:before="0" w:after="0"/>
              <w:rPr>
                <w:rFonts w:cs="Arial"/>
                <w:color w:val="auto"/>
                <w:sz w:val="20"/>
              </w:rPr>
            </w:pPr>
            <w:r w:rsidRPr="003842D0">
              <w:rPr>
                <w:rFonts w:cs="Arial"/>
                <w:b/>
                <w:color w:val="auto"/>
                <w:sz w:val="20"/>
              </w:rPr>
              <w:t xml:space="preserve">Review of 2022 Livestock Welfare Outcomes: </w:t>
            </w:r>
            <w:r w:rsidRPr="003842D0">
              <w:rPr>
                <w:rFonts w:cs="Arial"/>
                <w:color w:val="auto"/>
                <w:sz w:val="20"/>
              </w:rPr>
              <w:t xml:space="preserve">A comprehensive review of 2022 livestock welfare outcomes </w:t>
            </w:r>
            <w:r w:rsidR="00AB4CEE">
              <w:rPr>
                <w:rFonts w:cs="Arial"/>
                <w:color w:val="auto"/>
                <w:sz w:val="20"/>
              </w:rPr>
              <w:t>was</w:t>
            </w:r>
            <w:r w:rsidRPr="003842D0">
              <w:rPr>
                <w:rFonts w:cs="Arial"/>
                <w:color w:val="auto"/>
                <w:sz w:val="20"/>
              </w:rPr>
              <w:t xml:space="preserve"> completed. The implementation of recommendations arising from this review, as well as from the 2022 livestock welfare outcomes and welfare complaints data project, is ongoing. The recommendations from 2019 have been fully implemented, and efforts are underway to address the recommendations from the 2022 report.</w:t>
            </w:r>
          </w:p>
          <w:p w14:paraId="0AEE9D80" w14:textId="3626AB2A" w:rsidR="00DC3CEA" w:rsidRPr="003842D0" w:rsidRDefault="00EF32D2" w:rsidP="00174124">
            <w:pPr>
              <w:pStyle w:val="ListParagraph"/>
              <w:numPr>
                <w:ilvl w:val="0"/>
                <w:numId w:val="15"/>
              </w:numPr>
              <w:spacing w:before="0" w:after="0"/>
              <w:rPr>
                <w:rFonts w:cs="Arial"/>
                <w:color w:val="auto"/>
                <w:sz w:val="20"/>
              </w:rPr>
            </w:pPr>
            <w:r w:rsidRPr="003842D0">
              <w:rPr>
                <w:rFonts w:cs="Arial"/>
                <w:b/>
                <w:color w:val="auto"/>
                <w:sz w:val="20"/>
              </w:rPr>
              <w:t xml:space="preserve">Rodeo Welfare Procedures: </w:t>
            </w:r>
            <w:r w:rsidRPr="003842D0">
              <w:rPr>
                <w:rFonts w:cs="Arial"/>
                <w:color w:val="auto"/>
                <w:sz w:val="20"/>
              </w:rPr>
              <w:t xml:space="preserve">The review of existing rodeo welfare </w:t>
            </w:r>
            <w:r w:rsidR="00FA139D" w:rsidRPr="003842D0">
              <w:rPr>
                <w:rFonts w:cs="Arial"/>
                <w:color w:val="auto"/>
                <w:sz w:val="20"/>
              </w:rPr>
              <w:t>reporting,</w:t>
            </w:r>
            <w:r w:rsidRPr="003842D0">
              <w:rPr>
                <w:rFonts w:cs="Arial"/>
                <w:color w:val="auto"/>
                <w:sz w:val="20"/>
              </w:rPr>
              <w:t xml:space="preserve"> and assessment procedures </w:t>
            </w:r>
            <w:r w:rsidR="004D5658" w:rsidRPr="003842D0">
              <w:rPr>
                <w:rFonts w:cs="Arial"/>
                <w:color w:val="auto"/>
                <w:sz w:val="20"/>
              </w:rPr>
              <w:t xml:space="preserve">remains </w:t>
            </w:r>
            <w:r w:rsidRPr="003842D0">
              <w:rPr>
                <w:rFonts w:cs="Arial"/>
                <w:color w:val="auto"/>
                <w:sz w:val="20"/>
              </w:rPr>
              <w:t>ongoing</w:t>
            </w:r>
            <w:r w:rsidR="004D5658" w:rsidRPr="003842D0">
              <w:rPr>
                <w:rFonts w:cs="Arial"/>
                <w:color w:val="auto"/>
                <w:sz w:val="20"/>
              </w:rPr>
              <w:t>.</w:t>
            </w:r>
          </w:p>
        </w:tc>
      </w:tr>
      <w:tr w:rsidR="00303D1B" w:rsidRPr="007A0ADC" w14:paraId="4AE7E4E4" w14:textId="52A8FA60" w:rsidTr="67285148">
        <w:trPr>
          <w:trHeight w:val="300"/>
        </w:trPr>
        <w:tc>
          <w:tcPr>
            <w:tcW w:w="0" w:type="auto"/>
            <w:vMerge w:val="restart"/>
          </w:tcPr>
          <w:p w14:paraId="64590851" w14:textId="555582EA" w:rsidR="00DC3CEA" w:rsidRPr="00DC3CEA" w:rsidRDefault="008A1344" w:rsidP="00242A97">
            <w:pPr>
              <w:spacing w:before="0"/>
              <w:rPr>
                <w:rFonts w:cs="Arial"/>
                <w:b/>
                <w:bCs/>
                <w:color w:val="auto"/>
                <w:sz w:val="20"/>
              </w:rPr>
            </w:pPr>
            <w:r>
              <w:rPr>
                <w:rFonts w:cs="Arial"/>
                <w:b/>
                <w:bCs/>
                <w:color w:val="auto"/>
                <w:sz w:val="20"/>
              </w:rPr>
              <w:t>All Agriculture Victoria regulatory staff are w</w:t>
            </w:r>
            <w:r w:rsidR="00DC3CEA" w:rsidRPr="00DC3CEA">
              <w:rPr>
                <w:rFonts w:cs="Arial"/>
                <w:b/>
                <w:bCs/>
                <w:color w:val="auto"/>
                <w:sz w:val="20"/>
              </w:rPr>
              <w:t>ell trained and</w:t>
            </w:r>
            <w:r>
              <w:rPr>
                <w:rFonts w:cs="Arial"/>
                <w:b/>
                <w:bCs/>
                <w:color w:val="auto"/>
                <w:sz w:val="20"/>
              </w:rPr>
              <w:t xml:space="preserve"> understand their authorising </w:t>
            </w:r>
            <w:r w:rsidR="00303D1B">
              <w:rPr>
                <w:rFonts w:cs="Arial"/>
                <w:b/>
                <w:bCs/>
                <w:color w:val="auto"/>
                <w:sz w:val="20"/>
              </w:rPr>
              <w:t>legislation</w:t>
            </w:r>
            <w:r>
              <w:rPr>
                <w:rFonts w:cs="Arial"/>
                <w:b/>
                <w:bCs/>
                <w:color w:val="auto"/>
                <w:sz w:val="20"/>
              </w:rPr>
              <w:t xml:space="preserve"> as well as any parallel or </w:t>
            </w:r>
            <w:r w:rsidR="00303D1B">
              <w:rPr>
                <w:rFonts w:cs="Arial"/>
                <w:b/>
                <w:bCs/>
                <w:color w:val="auto"/>
                <w:sz w:val="20"/>
              </w:rPr>
              <w:t>complementary</w:t>
            </w:r>
            <w:r>
              <w:rPr>
                <w:rFonts w:cs="Arial"/>
                <w:b/>
                <w:bCs/>
                <w:color w:val="auto"/>
                <w:sz w:val="20"/>
              </w:rPr>
              <w:t xml:space="preserve"> </w:t>
            </w:r>
            <w:r w:rsidR="00303D1B">
              <w:rPr>
                <w:rFonts w:cs="Arial"/>
                <w:b/>
                <w:bCs/>
                <w:color w:val="auto"/>
                <w:sz w:val="20"/>
              </w:rPr>
              <w:t>regulatory</w:t>
            </w:r>
            <w:r>
              <w:rPr>
                <w:rFonts w:cs="Arial"/>
                <w:b/>
                <w:bCs/>
                <w:color w:val="auto"/>
                <w:sz w:val="20"/>
              </w:rPr>
              <w:t xml:space="preserve"> frameworks and procedures</w:t>
            </w:r>
            <w:r w:rsidR="00303D1B">
              <w:rPr>
                <w:rFonts w:cs="Arial"/>
                <w:b/>
                <w:bCs/>
                <w:color w:val="auto"/>
                <w:sz w:val="20"/>
              </w:rPr>
              <w:t>.</w:t>
            </w:r>
          </w:p>
        </w:tc>
        <w:tc>
          <w:tcPr>
            <w:tcW w:w="0" w:type="auto"/>
          </w:tcPr>
          <w:p w14:paraId="35105120" w14:textId="1801ACF0" w:rsidR="00DC3CEA" w:rsidRDefault="00DC3CEA" w:rsidP="00AA1CCD">
            <w:pPr>
              <w:pStyle w:val="ListParagraph"/>
              <w:numPr>
                <w:ilvl w:val="0"/>
                <w:numId w:val="2"/>
              </w:numPr>
              <w:spacing w:before="0" w:after="0"/>
              <w:rPr>
                <w:rFonts w:cs="Arial"/>
                <w:color w:val="auto"/>
                <w:sz w:val="20"/>
              </w:rPr>
            </w:pPr>
            <w:r w:rsidRPr="00B12A7E">
              <w:rPr>
                <w:rFonts w:cs="Arial"/>
                <w:color w:val="auto"/>
                <w:sz w:val="20"/>
              </w:rPr>
              <w:t xml:space="preserve">Continue to provide appropriate generic and </w:t>
            </w:r>
            <w:r w:rsidR="000069B6">
              <w:rPr>
                <w:rFonts w:cs="Arial"/>
                <w:color w:val="auto"/>
                <w:sz w:val="20"/>
              </w:rPr>
              <w:t>program-specific</w:t>
            </w:r>
            <w:r w:rsidRPr="00B12A7E">
              <w:rPr>
                <w:rFonts w:cs="Arial"/>
                <w:color w:val="auto"/>
                <w:sz w:val="20"/>
              </w:rPr>
              <w:t xml:space="preserve"> training for </w:t>
            </w:r>
            <w:r w:rsidR="008F7129">
              <w:rPr>
                <w:rFonts w:cs="Arial"/>
                <w:color w:val="auto"/>
                <w:sz w:val="20"/>
              </w:rPr>
              <w:t>AOs.</w:t>
            </w:r>
            <w:r w:rsidRPr="00B12A7E">
              <w:rPr>
                <w:rFonts w:cs="Arial"/>
                <w:color w:val="auto"/>
                <w:sz w:val="20"/>
              </w:rPr>
              <w:t xml:space="preserve"> A priority will be to enhance regulatory skills regarding investigative processes and understanding of legislation and evidentiary procedure.</w:t>
            </w:r>
          </w:p>
          <w:p w14:paraId="23E7E121" w14:textId="79D161D9" w:rsidR="00DC3CEA" w:rsidRPr="00D7475E" w:rsidRDefault="00DC3CEA" w:rsidP="00D7475E">
            <w:pPr>
              <w:pStyle w:val="ListParagraph"/>
              <w:numPr>
                <w:ilvl w:val="0"/>
                <w:numId w:val="2"/>
              </w:numPr>
              <w:spacing w:before="0" w:after="0"/>
              <w:rPr>
                <w:rFonts w:cs="Arial"/>
                <w:color w:val="000000" w:themeColor="text1"/>
                <w:sz w:val="20"/>
              </w:rPr>
            </w:pPr>
            <w:r>
              <w:rPr>
                <w:rFonts w:cs="Arial"/>
                <w:color w:val="auto"/>
                <w:sz w:val="20"/>
              </w:rPr>
              <w:t>Deliv</w:t>
            </w:r>
            <w:r w:rsidRPr="00D7475E">
              <w:rPr>
                <w:rFonts w:cs="Arial"/>
                <w:color w:val="000000" w:themeColor="text1"/>
                <w:sz w:val="20"/>
              </w:rPr>
              <w:t>er training programs, including:</w:t>
            </w:r>
          </w:p>
          <w:p w14:paraId="4B7F9B43" w14:textId="27E2BE37" w:rsidR="00DC3CEA" w:rsidRPr="00D7475E" w:rsidRDefault="00DC3CEA" w:rsidP="00174124">
            <w:pPr>
              <w:pStyle w:val="ListParagraph"/>
              <w:numPr>
                <w:ilvl w:val="0"/>
                <w:numId w:val="30"/>
              </w:numPr>
              <w:spacing w:before="0" w:after="0"/>
              <w:rPr>
                <w:rFonts w:cs="Arial"/>
                <w:color w:val="000000" w:themeColor="text1"/>
                <w:sz w:val="20"/>
              </w:rPr>
            </w:pPr>
            <w:r w:rsidRPr="00D7475E">
              <w:rPr>
                <w:rFonts w:cs="Arial"/>
                <w:color w:val="000000" w:themeColor="text1"/>
                <w:sz w:val="20"/>
              </w:rPr>
              <w:t xml:space="preserve">Induction Program for </w:t>
            </w:r>
            <w:r w:rsidR="008F7129">
              <w:rPr>
                <w:rFonts w:cs="Arial"/>
                <w:color w:val="000000" w:themeColor="text1"/>
                <w:sz w:val="20"/>
              </w:rPr>
              <w:t>AOs.</w:t>
            </w:r>
          </w:p>
          <w:p w14:paraId="2FE86AAA" w14:textId="3EC8C01D" w:rsidR="00DC3CEA" w:rsidRPr="00D7475E" w:rsidRDefault="00DC3CEA" w:rsidP="00174124">
            <w:pPr>
              <w:pStyle w:val="ListParagraph"/>
              <w:numPr>
                <w:ilvl w:val="0"/>
                <w:numId w:val="30"/>
              </w:numPr>
              <w:spacing w:before="0" w:after="0"/>
              <w:rPr>
                <w:rFonts w:cs="Arial"/>
                <w:color w:val="000000" w:themeColor="text1"/>
                <w:sz w:val="20"/>
              </w:rPr>
            </w:pPr>
            <w:r w:rsidRPr="00D7475E">
              <w:rPr>
                <w:rFonts w:cs="Arial"/>
                <w:color w:val="000000" w:themeColor="text1"/>
                <w:sz w:val="20"/>
              </w:rPr>
              <w:lastRenderedPageBreak/>
              <w:t>Upskill AO qualifications through the Certificate IV in Government Investigations.</w:t>
            </w:r>
          </w:p>
          <w:p w14:paraId="3F8C58C3" w14:textId="606A8E7F" w:rsidR="00DC3CEA" w:rsidRPr="00D7475E" w:rsidRDefault="00DC3CEA" w:rsidP="00174124">
            <w:pPr>
              <w:pStyle w:val="ListParagraph"/>
              <w:numPr>
                <w:ilvl w:val="0"/>
                <w:numId w:val="30"/>
              </w:numPr>
              <w:spacing w:before="0" w:after="0"/>
              <w:rPr>
                <w:rFonts w:cs="Arial"/>
                <w:color w:val="000000" w:themeColor="text1"/>
                <w:sz w:val="20"/>
              </w:rPr>
            </w:pPr>
            <w:r w:rsidRPr="00D7475E">
              <w:rPr>
                <w:rFonts w:cs="Arial"/>
                <w:color w:val="000000" w:themeColor="text1"/>
                <w:sz w:val="20"/>
              </w:rPr>
              <w:t>Agriculture Victoria’s regulatory programs to provide training for AOs regarding all relevant legislation.</w:t>
            </w:r>
          </w:p>
          <w:p w14:paraId="3F38780F" w14:textId="0BADC048" w:rsidR="00DC3CEA" w:rsidRPr="00D7475E" w:rsidRDefault="00DC3CEA" w:rsidP="00174124">
            <w:pPr>
              <w:pStyle w:val="ListParagraph"/>
              <w:numPr>
                <w:ilvl w:val="0"/>
                <w:numId w:val="30"/>
              </w:numPr>
              <w:spacing w:before="0" w:after="0"/>
              <w:rPr>
                <w:rFonts w:cs="Arial"/>
                <w:color w:val="000000" w:themeColor="text1"/>
                <w:sz w:val="20"/>
              </w:rPr>
            </w:pPr>
            <w:r w:rsidRPr="00D7475E">
              <w:rPr>
                <w:rFonts w:cs="Arial"/>
                <w:color w:val="000000" w:themeColor="text1"/>
                <w:sz w:val="20"/>
              </w:rPr>
              <w:t>E-learnings module on the Regulatory Approach.</w:t>
            </w:r>
          </w:p>
        </w:tc>
        <w:tc>
          <w:tcPr>
            <w:tcW w:w="0" w:type="auto"/>
          </w:tcPr>
          <w:p w14:paraId="2285789E" w14:textId="1271E47A" w:rsidR="002E55AB" w:rsidRPr="003842D0" w:rsidRDefault="002E55AB" w:rsidP="00174124">
            <w:pPr>
              <w:pStyle w:val="ListParagraph"/>
              <w:numPr>
                <w:ilvl w:val="0"/>
                <w:numId w:val="16"/>
              </w:numPr>
              <w:spacing w:before="0" w:after="0"/>
              <w:rPr>
                <w:rFonts w:cs="Arial"/>
                <w:color w:val="auto"/>
                <w:sz w:val="20"/>
              </w:rPr>
            </w:pPr>
            <w:r w:rsidRPr="003842D0">
              <w:rPr>
                <w:rFonts w:cs="Arial"/>
                <w:b/>
                <w:color w:val="auto"/>
                <w:sz w:val="20"/>
              </w:rPr>
              <w:lastRenderedPageBreak/>
              <w:t xml:space="preserve">Review and Update of </w:t>
            </w:r>
            <w:r w:rsidR="008F7129">
              <w:rPr>
                <w:rFonts w:cs="Arial"/>
                <w:b/>
                <w:bCs/>
                <w:color w:val="auto"/>
                <w:sz w:val="20"/>
              </w:rPr>
              <w:t>AO</w:t>
            </w:r>
            <w:r w:rsidR="00D7475E">
              <w:rPr>
                <w:rFonts w:cs="Arial"/>
                <w:b/>
                <w:color w:val="auto"/>
                <w:sz w:val="20"/>
              </w:rPr>
              <w:t xml:space="preserve"> </w:t>
            </w:r>
            <w:r w:rsidRPr="003842D0">
              <w:rPr>
                <w:rFonts w:cs="Arial"/>
                <w:b/>
                <w:color w:val="auto"/>
                <w:sz w:val="20"/>
              </w:rPr>
              <w:t xml:space="preserve">Induction Program: </w:t>
            </w:r>
            <w:r w:rsidRPr="003842D0">
              <w:rPr>
                <w:rFonts w:cs="Arial"/>
                <w:color w:val="auto"/>
                <w:sz w:val="20"/>
              </w:rPr>
              <w:t>The AO Induction Program was reviewed and updated with assistance from subject matter experts across Agriculture Victoria.</w:t>
            </w:r>
          </w:p>
          <w:p w14:paraId="7570F8CC" w14:textId="7191CA87" w:rsidR="002E55AB" w:rsidRPr="003842D0" w:rsidRDefault="002E55AB" w:rsidP="00174124">
            <w:pPr>
              <w:pStyle w:val="ListParagraph"/>
              <w:numPr>
                <w:ilvl w:val="0"/>
                <w:numId w:val="16"/>
              </w:numPr>
              <w:spacing w:before="0" w:after="0"/>
              <w:rPr>
                <w:rFonts w:cs="Arial"/>
                <w:color w:val="auto"/>
                <w:sz w:val="20"/>
              </w:rPr>
            </w:pPr>
            <w:r w:rsidRPr="003842D0">
              <w:rPr>
                <w:rFonts w:cs="Arial"/>
                <w:b/>
                <w:color w:val="auto"/>
                <w:sz w:val="20"/>
              </w:rPr>
              <w:t xml:space="preserve">Completion and Approval of AO Certificate IV in Government Investigations Program: </w:t>
            </w:r>
            <w:r w:rsidRPr="003842D0">
              <w:rPr>
                <w:rFonts w:cs="Arial"/>
                <w:color w:val="auto"/>
                <w:sz w:val="20"/>
              </w:rPr>
              <w:t>The plan for the AO Certificate IV in Government Investigations program was completed and approved. Training through the National Registered Training Organisation was developed, resulting in:</w:t>
            </w:r>
          </w:p>
          <w:p w14:paraId="0A059B2E" w14:textId="32149BDE" w:rsidR="002E55AB" w:rsidRPr="003842D0" w:rsidRDefault="002E55AB" w:rsidP="00174124">
            <w:pPr>
              <w:pStyle w:val="ListParagraph"/>
              <w:numPr>
                <w:ilvl w:val="0"/>
                <w:numId w:val="17"/>
              </w:numPr>
              <w:spacing w:before="0" w:after="0"/>
              <w:rPr>
                <w:rFonts w:cs="Arial"/>
                <w:color w:val="auto"/>
                <w:sz w:val="20"/>
              </w:rPr>
            </w:pPr>
            <w:r w:rsidRPr="003842D0">
              <w:rPr>
                <w:rFonts w:cs="Arial"/>
                <w:color w:val="auto"/>
                <w:sz w:val="20"/>
              </w:rPr>
              <w:t xml:space="preserve">Induction programs for </w:t>
            </w:r>
            <w:r w:rsidR="006E4D57">
              <w:rPr>
                <w:rFonts w:cs="Arial"/>
                <w:color w:val="auto"/>
                <w:sz w:val="20"/>
              </w:rPr>
              <w:t>AOs</w:t>
            </w:r>
            <w:r w:rsidRPr="003842D0">
              <w:rPr>
                <w:rFonts w:cs="Arial"/>
                <w:color w:val="auto"/>
                <w:sz w:val="20"/>
              </w:rPr>
              <w:t xml:space="preserve"> being on track.</w:t>
            </w:r>
          </w:p>
          <w:p w14:paraId="141EEAF0" w14:textId="4D7E7D1F" w:rsidR="002E55AB" w:rsidRPr="003842D0" w:rsidRDefault="002E55AB" w:rsidP="00174124">
            <w:pPr>
              <w:pStyle w:val="ListParagraph"/>
              <w:numPr>
                <w:ilvl w:val="0"/>
                <w:numId w:val="17"/>
              </w:numPr>
              <w:spacing w:before="0" w:after="0"/>
              <w:rPr>
                <w:rFonts w:cs="Arial"/>
                <w:color w:val="auto"/>
                <w:sz w:val="20"/>
              </w:rPr>
            </w:pPr>
            <w:r w:rsidRPr="003842D0">
              <w:rPr>
                <w:rFonts w:cs="Arial"/>
                <w:color w:val="auto"/>
                <w:sz w:val="20"/>
              </w:rPr>
              <w:t>Progress in upskilling AOs through the Certificate IV in Government Investigations, with programs for staff completed in April 2024.</w:t>
            </w:r>
          </w:p>
          <w:p w14:paraId="0127A7A6" w14:textId="53133D78" w:rsidR="002E55AB" w:rsidRPr="003842D0" w:rsidRDefault="002E55AB" w:rsidP="00174124">
            <w:pPr>
              <w:pStyle w:val="ListParagraph"/>
              <w:numPr>
                <w:ilvl w:val="0"/>
                <w:numId w:val="17"/>
              </w:numPr>
              <w:spacing w:before="0" w:after="0"/>
              <w:rPr>
                <w:rFonts w:cs="Arial"/>
                <w:color w:val="auto"/>
                <w:sz w:val="20"/>
              </w:rPr>
            </w:pPr>
            <w:r w:rsidRPr="003842D0">
              <w:rPr>
                <w:rFonts w:cs="Arial"/>
                <w:color w:val="auto"/>
                <w:sz w:val="20"/>
              </w:rPr>
              <w:t>Development and delivery of training and information on Agriculture Victoria's regulatory programs for AOs in 2024.</w:t>
            </w:r>
          </w:p>
          <w:p w14:paraId="2AE9156E" w14:textId="78BAF184" w:rsidR="00DC3CEA" w:rsidRPr="003842D0" w:rsidRDefault="002E55AB" w:rsidP="00174124">
            <w:pPr>
              <w:pStyle w:val="ListParagraph"/>
              <w:numPr>
                <w:ilvl w:val="0"/>
                <w:numId w:val="17"/>
              </w:numPr>
              <w:spacing w:before="0" w:after="0"/>
              <w:rPr>
                <w:rFonts w:cs="Arial"/>
                <w:color w:val="auto"/>
                <w:sz w:val="20"/>
              </w:rPr>
            </w:pPr>
            <w:r w:rsidRPr="003842D0">
              <w:rPr>
                <w:rFonts w:cs="Arial"/>
                <w:color w:val="auto"/>
                <w:sz w:val="20"/>
              </w:rPr>
              <w:lastRenderedPageBreak/>
              <w:t>Development of eLearning modules for completion in 2024.</w:t>
            </w:r>
          </w:p>
        </w:tc>
      </w:tr>
      <w:tr w:rsidR="00303D1B" w:rsidRPr="007A0ADC" w14:paraId="44378627" w14:textId="2C72A850" w:rsidTr="67285148">
        <w:trPr>
          <w:trHeight w:val="660"/>
        </w:trPr>
        <w:tc>
          <w:tcPr>
            <w:tcW w:w="0" w:type="auto"/>
            <w:vMerge/>
          </w:tcPr>
          <w:p w14:paraId="1760D0F7" w14:textId="6E106BB1" w:rsidR="00DC3CEA" w:rsidRPr="007A0ADC" w:rsidRDefault="00DC3CEA" w:rsidP="00242A97">
            <w:pPr>
              <w:spacing w:before="0"/>
              <w:rPr>
                <w:rFonts w:cs="Arial"/>
                <w:b/>
                <w:bCs/>
                <w:color w:val="auto"/>
                <w:sz w:val="20"/>
              </w:rPr>
            </w:pPr>
          </w:p>
        </w:tc>
        <w:tc>
          <w:tcPr>
            <w:tcW w:w="0" w:type="auto"/>
          </w:tcPr>
          <w:p w14:paraId="48111CB6" w14:textId="77777777" w:rsidR="00DC3CEA" w:rsidRPr="006268E3" w:rsidRDefault="00DC3CEA" w:rsidP="00AA1CCD">
            <w:pPr>
              <w:pStyle w:val="ListParagraph"/>
              <w:numPr>
                <w:ilvl w:val="0"/>
                <w:numId w:val="2"/>
              </w:numPr>
              <w:spacing w:before="0"/>
              <w:rPr>
                <w:rFonts w:cs="Arial"/>
                <w:b/>
                <w:bCs/>
                <w:color w:val="auto"/>
                <w:sz w:val="20"/>
              </w:rPr>
            </w:pPr>
            <w:r w:rsidRPr="007A0ADC">
              <w:rPr>
                <w:rFonts w:cs="Arial"/>
                <w:color w:val="auto"/>
                <w:sz w:val="20"/>
              </w:rPr>
              <w:t>Maintain currency of all regulatory Standard Operating Procedures (SOPs), work instructions and manuals.</w:t>
            </w:r>
          </w:p>
          <w:p w14:paraId="2AFA1807" w14:textId="77777777" w:rsidR="008E3C5E" w:rsidRDefault="00DC3CEA" w:rsidP="008E3C5E">
            <w:pPr>
              <w:pStyle w:val="ListParagraph"/>
              <w:numPr>
                <w:ilvl w:val="0"/>
                <w:numId w:val="2"/>
              </w:numPr>
              <w:spacing w:before="0"/>
              <w:rPr>
                <w:rFonts w:cs="Arial"/>
                <w:color w:val="000000" w:themeColor="text1"/>
                <w:sz w:val="20"/>
              </w:rPr>
            </w:pPr>
            <w:r w:rsidRPr="00877B1A">
              <w:rPr>
                <w:rFonts w:cs="Arial"/>
                <w:color w:val="000000" w:themeColor="text1"/>
                <w:sz w:val="20"/>
              </w:rPr>
              <w:t xml:space="preserve">Regular review of SOPs to maintain SOPs/Work Instructions for Agriculture Regulatory Programs and ensure that the processes are implemented effectively. </w:t>
            </w:r>
            <w:r w:rsidR="008E3C5E">
              <w:rPr>
                <w:rFonts w:cs="Arial"/>
                <w:color w:val="000000" w:themeColor="text1"/>
                <w:sz w:val="20"/>
              </w:rPr>
              <w:t xml:space="preserve">This includes: </w:t>
            </w:r>
          </w:p>
          <w:p w14:paraId="39B37499" w14:textId="174FF26B" w:rsidR="004A086F" w:rsidRPr="006D43BF" w:rsidRDefault="004A086F" w:rsidP="00174124">
            <w:pPr>
              <w:pStyle w:val="ListParagraph"/>
              <w:numPr>
                <w:ilvl w:val="0"/>
                <w:numId w:val="32"/>
              </w:numPr>
              <w:spacing w:before="0"/>
              <w:rPr>
                <w:rFonts w:cs="Arial"/>
                <w:color w:val="000000" w:themeColor="text1"/>
                <w:sz w:val="20"/>
              </w:rPr>
            </w:pPr>
            <w:r w:rsidRPr="006D43BF">
              <w:rPr>
                <w:rFonts w:cs="Arial"/>
                <w:color w:val="000000" w:themeColor="text1"/>
                <w:sz w:val="20"/>
              </w:rPr>
              <w:t>Call-in SOP</w:t>
            </w:r>
          </w:p>
          <w:p w14:paraId="198FE9AE" w14:textId="293F891B" w:rsidR="004A086F" w:rsidRPr="006D43BF" w:rsidRDefault="004A086F" w:rsidP="00174124">
            <w:pPr>
              <w:pStyle w:val="ListParagraph"/>
              <w:numPr>
                <w:ilvl w:val="0"/>
                <w:numId w:val="32"/>
              </w:numPr>
              <w:spacing w:before="0"/>
              <w:rPr>
                <w:rFonts w:cs="Arial"/>
                <w:color w:val="000000" w:themeColor="text1"/>
                <w:sz w:val="20"/>
              </w:rPr>
            </w:pPr>
            <w:r w:rsidRPr="006D43BF">
              <w:rPr>
                <w:rFonts w:cs="Arial"/>
                <w:color w:val="000000" w:themeColor="text1"/>
                <w:sz w:val="20"/>
              </w:rPr>
              <w:t xml:space="preserve">Occupational Health &amp; Safety Job Safety Plan: Field Operations  </w:t>
            </w:r>
          </w:p>
          <w:p w14:paraId="62D3E401" w14:textId="66A649E6" w:rsidR="00DC3CEA" w:rsidRPr="00877B1A" w:rsidRDefault="00DC3CEA" w:rsidP="00174124">
            <w:pPr>
              <w:pStyle w:val="ListParagraph"/>
              <w:numPr>
                <w:ilvl w:val="0"/>
                <w:numId w:val="32"/>
              </w:numPr>
              <w:spacing w:before="0"/>
              <w:rPr>
                <w:rFonts w:cs="Arial"/>
                <w:color w:val="000000" w:themeColor="text1"/>
                <w:sz w:val="20"/>
              </w:rPr>
            </w:pPr>
            <w:r w:rsidRPr="00877B1A">
              <w:rPr>
                <w:rFonts w:cs="Arial"/>
                <w:color w:val="000000" w:themeColor="text1"/>
                <w:sz w:val="20"/>
              </w:rPr>
              <w:t>SOP Issuing and serving Official Warning and Infringements</w:t>
            </w:r>
            <w:r w:rsidR="00877B1A">
              <w:rPr>
                <w:rFonts w:cs="Arial"/>
                <w:color w:val="000000" w:themeColor="text1"/>
                <w:sz w:val="20"/>
              </w:rPr>
              <w:t>.</w:t>
            </w:r>
          </w:p>
          <w:p w14:paraId="7DF2F811" w14:textId="1E60122F" w:rsidR="00DC3CEA" w:rsidRPr="00877B1A" w:rsidRDefault="00DC3CEA" w:rsidP="00174124">
            <w:pPr>
              <w:pStyle w:val="ListParagraph"/>
              <w:numPr>
                <w:ilvl w:val="0"/>
                <w:numId w:val="32"/>
              </w:numPr>
              <w:spacing w:before="0"/>
              <w:rPr>
                <w:rFonts w:cs="Arial"/>
                <w:color w:val="000000" w:themeColor="text1"/>
                <w:sz w:val="20"/>
              </w:rPr>
            </w:pPr>
            <w:r w:rsidRPr="00877B1A">
              <w:rPr>
                <w:rFonts w:cs="Arial"/>
                <w:color w:val="000000" w:themeColor="text1"/>
                <w:sz w:val="20"/>
              </w:rPr>
              <w:t>SOP Ministerial Seizure and Disposal of Livestock Section 24E/24F</w:t>
            </w:r>
            <w:r w:rsidR="00877B1A">
              <w:rPr>
                <w:rFonts w:cs="Arial"/>
                <w:color w:val="000000" w:themeColor="text1"/>
                <w:sz w:val="20"/>
              </w:rPr>
              <w:t>.</w:t>
            </w:r>
          </w:p>
          <w:p w14:paraId="7E248DCB" w14:textId="318D8CD2" w:rsidR="00DC3CEA" w:rsidRPr="00877B1A" w:rsidRDefault="00DC3CEA" w:rsidP="00174124">
            <w:pPr>
              <w:pStyle w:val="ListParagraph"/>
              <w:numPr>
                <w:ilvl w:val="0"/>
                <w:numId w:val="32"/>
              </w:numPr>
              <w:spacing w:before="0"/>
              <w:rPr>
                <w:rFonts w:cs="Arial"/>
                <w:color w:val="000000" w:themeColor="text1"/>
                <w:sz w:val="20"/>
              </w:rPr>
            </w:pPr>
            <w:r w:rsidRPr="00877B1A">
              <w:rPr>
                <w:rFonts w:cs="Arial"/>
                <w:color w:val="000000" w:themeColor="text1"/>
                <w:sz w:val="20"/>
              </w:rPr>
              <w:t>SOP Traceability Audits</w:t>
            </w:r>
            <w:r w:rsidR="00877B1A">
              <w:rPr>
                <w:rFonts w:cs="Arial"/>
                <w:color w:val="000000" w:themeColor="text1"/>
                <w:sz w:val="20"/>
              </w:rPr>
              <w:t>.</w:t>
            </w:r>
          </w:p>
          <w:p w14:paraId="3E4F274F" w14:textId="100882C6" w:rsidR="00DC3CEA" w:rsidRPr="00877B1A" w:rsidRDefault="00DC3CEA" w:rsidP="00174124">
            <w:pPr>
              <w:pStyle w:val="ListParagraph"/>
              <w:numPr>
                <w:ilvl w:val="0"/>
                <w:numId w:val="32"/>
              </w:numPr>
              <w:spacing w:before="0"/>
              <w:rPr>
                <w:rFonts w:cs="Arial"/>
                <w:color w:val="000000" w:themeColor="text1"/>
                <w:sz w:val="20"/>
              </w:rPr>
            </w:pPr>
            <w:r w:rsidRPr="00877B1A">
              <w:rPr>
                <w:rFonts w:cs="Arial"/>
                <w:color w:val="000000" w:themeColor="text1"/>
                <w:sz w:val="20"/>
              </w:rPr>
              <w:t>SOP- Accreditation, Suspension, Amendment and Cancellation</w:t>
            </w:r>
            <w:r w:rsidR="00877B1A">
              <w:rPr>
                <w:rFonts w:cs="Arial"/>
                <w:color w:val="000000" w:themeColor="text1"/>
                <w:sz w:val="20"/>
              </w:rPr>
              <w:t>.</w:t>
            </w:r>
          </w:p>
          <w:p w14:paraId="0821621A" w14:textId="3E319AB2" w:rsidR="00DC3CEA" w:rsidRPr="00BD0E68" w:rsidRDefault="00DC3CEA" w:rsidP="00174124">
            <w:pPr>
              <w:pStyle w:val="ListParagraph"/>
              <w:numPr>
                <w:ilvl w:val="0"/>
                <w:numId w:val="32"/>
              </w:numPr>
              <w:spacing w:before="0"/>
              <w:rPr>
                <w:rFonts w:cs="Arial"/>
                <w:color w:val="FF0000"/>
                <w:sz w:val="20"/>
              </w:rPr>
            </w:pPr>
            <w:r w:rsidRPr="00B358F3">
              <w:rPr>
                <w:rFonts w:cs="Arial"/>
                <w:color w:val="000000" w:themeColor="text1"/>
                <w:sz w:val="20"/>
              </w:rPr>
              <w:lastRenderedPageBreak/>
              <w:t xml:space="preserve">SOP </w:t>
            </w:r>
            <w:r w:rsidRPr="00877B1A">
              <w:rPr>
                <w:rFonts w:cs="Arial"/>
                <w:color w:val="000000" w:themeColor="text1"/>
                <w:sz w:val="20"/>
              </w:rPr>
              <w:t>- Restricted area movements, permits and directions</w:t>
            </w:r>
            <w:r w:rsidR="00877B1A">
              <w:rPr>
                <w:rFonts w:cs="Arial"/>
                <w:color w:val="000000" w:themeColor="text1"/>
                <w:sz w:val="20"/>
              </w:rPr>
              <w:t>.</w:t>
            </w:r>
          </w:p>
        </w:tc>
        <w:tc>
          <w:tcPr>
            <w:tcW w:w="0" w:type="auto"/>
          </w:tcPr>
          <w:p w14:paraId="782BBFDC" w14:textId="084B7380" w:rsidR="00947145" w:rsidRPr="00947145" w:rsidRDefault="005B0CBC" w:rsidP="00174124">
            <w:pPr>
              <w:pStyle w:val="ListParagraph"/>
              <w:numPr>
                <w:ilvl w:val="0"/>
                <w:numId w:val="26"/>
              </w:numPr>
              <w:spacing w:before="0" w:after="0"/>
              <w:rPr>
                <w:rFonts w:cs="Arial"/>
                <w:color w:val="auto"/>
                <w:sz w:val="20"/>
              </w:rPr>
            </w:pPr>
            <w:r w:rsidRPr="009B4B29">
              <w:rPr>
                <w:rFonts w:cs="Arial"/>
                <w:b/>
                <w:bCs/>
                <w:color w:val="auto"/>
                <w:sz w:val="20"/>
              </w:rPr>
              <w:lastRenderedPageBreak/>
              <w:t xml:space="preserve">Currency of </w:t>
            </w:r>
            <w:r>
              <w:rPr>
                <w:rFonts w:cs="Arial"/>
                <w:b/>
                <w:bCs/>
                <w:color w:val="auto"/>
                <w:sz w:val="20"/>
              </w:rPr>
              <w:t>D</w:t>
            </w:r>
            <w:r w:rsidRPr="009B4B29">
              <w:rPr>
                <w:rFonts w:cs="Arial"/>
                <w:b/>
                <w:bCs/>
                <w:color w:val="auto"/>
                <w:sz w:val="20"/>
              </w:rPr>
              <w:t xml:space="preserve">ocuments </w:t>
            </w:r>
            <w:r>
              <w:rPr>
                <w:rFonts w:cs="Arial"/>
                <w:b/>
                <w:bCs/>
                <w:color w:val="auto"/>
                <w:sz w:val="20"/>
              </w:rPr>
              <w:t>M</w:t>
            </w:r>
            <w:r w:rsidRPr="009B4B29">
              <w:rPr>
                <w:rFonts w:cs="Arial"/>
                <w:b/>
                <w:bCs/>
                <w:color w:val="auto"/>
                <w:sz w:val="20"/>
              </w:rPr>
              <w:t xml:space="preserve">aintained: </w:t>
            </w:r>
            <w:r w:rsidR="00947145" w:rsidRPr="00947145">
              <w:rPr>
                <w:rFonts w:cs="Arial"/>
                <w:color w:val="auto"/>
                <w:sz w:val="20"/>
              </w:rPr>
              <w:t xml:space="preserve">Agriculture Victoria’s regulatory program areas have consistently met expectations by performing regular reviews and updates to SOPs to ensure the effective implementation of processes. </w:t>
            </w:r>
          </w:p>
          <w:p w14:paraId="652A52F3" w14:textId="36E45FF5" w:rsidR="00947145" w:rsidRDefault="005B0CBC" w:rsidP="00174124">
            <w:pPr>
              <w:pStyle w:val="ListParagraph"/>
              <w:numPr>
                <w:ilvl w:val="0"/>
                <w:numId w:val="26"/>
              </w:numPr>
              <w:spacing w:before="0" w:after="0"/>
              <w:rPr>
                <w:rFonts w:cs="Arial"/>
                <w:color w:val="auto"/>
                <w:sz w:val="20"/>
              </w:rPr>
            </w:pPr>
            <w:r w:rsidRPr="00226A51">
              <w:rPr>
                <w:rFonts w:cs="Arial"/>
                <w:b/>
                <w:bCs/>
                <w:color w:val="auto"/>
                <w:sz w:val="20"/>
              </w:rPr>
              <w:t>SOPs Reviewed:</w:t>
            </w:r>
            <w:r>
              <w:rPr>
                <w:rFonts w:cs="Arial"/>
                <w:b/>
                <w:bCs/>
                <w:color w:val="auto"/>
                <w:sz w:val="20"/>
              </w:rPr>
              <w:t xml:space="preserve"> </w:t>
            </w:r>
            <w:r w:rsidR="00947145" w:rsidRPr="00947145">
              <w:rPr>
                <w:rFonts w:cs="Arial"/>
                <w:color w:val="auto"/>
                <w:sz w:val="20"/>
              </w:rPr>
              <w:t xml:space="preserve">During this </w:t>
            </w:r>
            <w:r w:rsidR="00AE2078">
              <w:rPr>
                <w:rFonts w:cs="Arial"/>
                <w:color w:val="auto"/>
                <w:sz w:val="20"/>
              </w:rPr>
              <w:t>2022</w:t>
            </w:r>
            <w:r w:rsidR="00882D35">
              <w:rPr>
                <w:rFonts w:cs="Arial"/>
                <w:color w:val="auto"/>
                <w:sz w:val="20"/>
              </w:rPr>
              <w:t xml:space="preserve">-2024 </w:t>
            </w:r>
            <w:r w:rsidR="00947145" w:rsidRPr="00947145">
              <w:rPr>
                <w:rFonts w:cs="Arial"/>
                <w:color w:val="auto"/>
                <w:sz w:val="20"/>
              </w:rPr>
              <w:t>period, several significant SOPs have been thoroughly reviewed, including:</w:t>
            </w:r>
          </w:p>
          <w:p w14:paraId="1D966104" w14:textId="10CE9D0D" w:rsidR="00012AC9" w:rsidRPr="00012AC9" w:rsidRDefault="00947145" w:rsidP="00012AC9">
            <w:pPr>
              <w:pStyle w:val="ListParagraph"/>
              <w:numPr>
                <w:ilvl w:val="1"/>
                <w:numId w:val="2"/>
              </w:numPr>
              <w:spacing w:before="0" w:after="0"/>
              <w:rPr>
                <w:rFonts w:cs="Arial"/>
                <w:i/>
                <w:iCs/>
                <w:color w:val="auto"/>
                <w:sz w:val="20"/>
              </w:rPr>
            </w:pPr>
            <w:r w:rsidRPr="00947145">
              <w:rPr>
                <w:rFonts w:cs="Arial"/>
                <w:color w:val="auto"/>
                <w:sz w:val="20"/>
              </w:rPr>
              <w:t xml:space="preserve">SOP - Notice to Comply – </w:t>
            </w:r>
            <w:r w:rsidRPr="00012AC9">
              <w:rPr>
                <w:rFonts w:cs="Arial"/>
                <w:color w:val="auto"/>
                <w:sz w:val="20"/>
              </w:rPr>
              <w:t xml:space="preserve">Section 24ZP of </w:t>
            </w:r>
            <w:r w:rsidR="00012AC9" w:rsidRPr="00012AC9">
              <w:rPr>
                <w:rFonts w:cs="Arial"/>
                <w:color w:val="auto"/>
                <w:sz w:val="20"/>
              </w:rPr>
              <w:t>the</w:t>
            </w:r>
            <w:r w:rsidR="00012AC9">
              <w:rPr>
                <w:rFonts w:cs="Arial"/>
                <w:color w:val="auto"/>
                <w:sz w:val="20"/>
              </w:rPr>
              <w:t xml:space="preserve"> </w:t>
            </w:r>
            <w:r w:rsidR="00012AC9" w:rsidRPr="00012AC9">
              <w:rPr>
                <w:rFonts w:cs="Arial"/>
                <w:i/>
                <w:iCs/>
                <w:color w:val="auto"/>
                <w:sz w:val="20"/>
              </w:rPr>
              <w:t>Prevention of Cruelty to Animals Act 1986</w:t>
            </w:r>
          </w:p>
          <w:p w14:paraId="2B17B56E" w14:textId="4A15D6A9" w:rsidR="00947145" w:rsidRPr="00947145" w:rsidRDefault="00947145" w:rsidP="00947145">
            <w:pPr>
              <w:pStyle w:val="ListParagraph"/>
              <w:numPr>
                <w:ilvl w:val="1"/>
                <w:numId w:val="2"/>
              </w:numPr>
              <w:spacing w:before="0" w:after="0"/>
              <w:rPr>
                <w:rFonts w:cs="Arial"/>
                <w:color w:val="auto"/>
                <w:sz w:val="20"/>
              </w:rPr>
            </w:pPr>
            <w:r w:rsidRPr="00947145">
              <w:rPr>
                <w:rFonts w:cs="Arial"/>
                <w:color w:val="auto"/>
                <w:sz w:val="20"/>
              </w:rPr>
              <w:t>SOP - Prohibitive Pig Feeding Investigations</w:t>
            </w:r>
          </w:p>
          <w:p w14:paraId="4797F6E1" w14:textId="6F38DD86" w:rsidR="00947145" w:rsidRPr="00947145" w:rsidRDefault="00947145" w:rsidP="00947145">
            <w:pPr>
              <w:pStyle w:val="ListParagraph"/>
              <w:numPr>
                <w:ilvl w:val="1"/>
                <w:numId w:val="2"/>
              </w:numPr>
              <w:spacing w:before="0" w:after="0"/>
              <w:rPr>
                <w:rFonts w:cs="Arial"/>
                <w:color w:val="auto"/>
                <w:sz w:val="20"/>
              </w:rPr>
            </w:pPr>
            <w:r w:rsidRPr="00947145">
              <w:rPr>
                <w:rFonts w:cs="Arial"/>
                <w:color w:val="auto"/>
                <w:sz w:val="20"/>
              </w:rPr>
              <w:t>SOP - Infested Land Inspections and Notice Use</w:t>
            </w:r>
          </w:p>
          <w:p w14:paraId="2BE6FF3D" w14:textId="29611BC2" w:rsidR="00947145" w:rsidRPr="00947145" w:rsidRDefault="00947145" w:rsidP="00947145">
            <w:pPr>
              <w:pStyle w:val="ListParagraph"/>
              <w:numPr>
                <w:ilvl w:val="1"/>
                <w:numId w:val="2"/>
              </w:numPr>
              <w:spacing w:before="0" w:after="0"/>
              <w:rPr>
                <w:rFonts w:cs="Arial"/>
                <w:color w:val="auto"/>
                <w:sz w:val="20"/>
              </w:rPr>
            </w:pPr>
            <w:r w:rsidRPr="00947145">
              <w:rPr>
                <w:rFonts w:cs="Arial"/>
                <w:color w:val="auto"/>
                <w:sz w:val="20"/>
              </w:rPr>
              <w:t>SOP - Using Inspection Powers Under the Plant Biosecurity Act</w:t>
            </w:r>
          </w:p>
          <w:p w14:paraId="57DA9768" w14:textId="2F06D917" w:rsidR="00947145" w:rsidRPr="00947145" w:rsidRDefault="00947145" w:rsidP="00947145">
            <w:pPr>
              <w:pStyle w:val="ListParagraph"/>
              <w:numPr>
                <w:ilvl w:val="1"/>
                <w:numId w:val="2"/>
              </w:numPr>
              <w:spacing w:before="0" w:after="0"/>
              <w:rPr>
                <w:rFonts w:cs="Arial"/>
                <w:color w:val="auto"/>
                <w:sz w:val="20"/>
              </w:rPr>
            </w:pPr>
            <w:r w:rsidRPr="00947145">
              <w:rPr>
                <w:rFonts w:cs="Arial"/>
                <w:color w:val="auto"/>
                <w:sz w:val="20"/>
              </w:rPr>
              <w:t>SOP - The Animal Use Returns Data Check</w:t>
            </w:r>
          </w:p>
          <w:p w14:paraId="06FB9854" w14:textId="64FA38B2" w:rsidR="005B2704" w:rsidRPr="0035245C" w:rsidRDefault="00947145" w:rsidP="0035245C">
            <w:pPr>
              <w:pStyle w:val="ListParagraph"/>
              <w:numPr>
                <w:ilvl w:val="1"/>
                <w:numId w:val="2"/>
              </w:numPr>
              <w:spacing w:before="0" w:after="0"/>
              <w:rPr>
                <w:rFonts w:cs="Arial"/>
                <w:color w:val="auto"/>
                <w:sz w:val="20"/>
              </w:rPr>
            </w:pPr>
            <w:r w:rsidRPr="00947145">
              <w:rPr>
                <w:rFonts w:cs="Arial"/>
                <w:color w:val="auto"/>
                <w:sz w:val="20"/>
              </w:rPr>
              <w:t>SOP - Animal Ethics Committee Member Mandatory Training</w:t>
            </w:r>
          </w:p>
          <w:p w14:paraId="63F835DF" w14:textId="56BC2C92" w:rsidR="00DC3CEA" w:rsidRPr="001F3C81" w:rsidRDefault="00797243" w:rsidP="5435AFD3">
            <w:pPr>
              <w:pStyle w:val="ListParagraph"/>
              <w:numPr>
                <w:ilvl w:val="0"/>
                <w:numId w:val="26"/>
              </w:numPr>
              <w:spacing w:before="0" w:after="0"/>
              <w:rPr>
                <w:rFonts w:cs="Arial"/>
                <w:color w:val="auto"/>
                <w:sz w:val="20"/>
              </w:rPr>
            </w:pPr>
            <w:r w:rsidRPr="0035245C">
              <w:rPr>
                <w:rFonts w:cs="Arial"/>
                <w:b/>
                <w:bCs/>
                <w:color w:val="auto"/>
                <w:sz w:val="20"/>
              </w:rPr>
              <w:t xml:space="preserve">New SOPs </w:t>
            </w:r>
            <w:r w:rsidR="005B0CBC">
              <w:rPr>
                <w:rFonts w:cs="Arial"/>
                <w:b/>
                <w:bCs/>
                <w:color w:val="auto"/>
                <w:sz w:val="20"/>
              </w:rPr>
              <w:t>D</w:t>
            </w:r>
            <w:r w:rsidRPr="0035245C">
              <w:rPr>
                <w:rFonts w:cs="Arial"/>
                <w:b/>
                <w:bCs/>
                <w:color w:val="auto"/>
                <w:sz w:val="20"/>
              </w:rPr>
              <w:t>eveloped:</w:t>
            </w:r>
            <w:r>
              <w:rPr>
                <w:rFonts w:cs="Arial"/>
                <w:color w:val="auto"/>
                <w:sz w:val="20"/>
              </w:rPr>
              <w:t xml:space="preserve"> </w:t>
            </w:r>
            <w:r w:rsidR="00947145" w:rsidRPr="5435AFD3">
              <w:rPr>
                <w:rFonts w:cs="Arial"/>
                <w:color w:val="auto"/>
                <w:sz w:val="20"/>
              </w:rPr>
              <w:t xml:space="preserve">Significant milestones achieved include the completion of the SOP for issuing and serving Official Warnings and Infringements, and the SOP for Traceability Audits. Furthermore, the SOP for seizures is </w:t>
            </w:r>
            <w:r w:rsidR="00307CFE" w:rsidRPr="5435AFD3">
              <w:rPr>
                <w:rFonts w:cs="Arial"/>
                <w:color w:val="auto"/>
                <w:sz w:val="20"/>
              </w:rPr>
              <w:t>currently being developed</w:t>
            </w:r>
            <w:r w:rsidR="00947145" w:rsidRPr="5435AFD3">
              <w:rPr>
                <w:rFonts w:cs="Arial"/>
                <w:color w:val="auto"/>
                <w:sz w:val="20"/>
              </w:rPr>
              <w:t xml:space="preserve">, demonstrating continuous </w:t>
            </w:r>
            <w:r w:rsidR="00BF6F78" w:rsidRPr="5435AFD3">
              <w:rPr>
                <w:rFonts w:cs="Arial"/>
                <w:color w:val="auto"/>
                <w:sz w:val="20"/>
              </w:rPr>
              <w:t>improvement</w:t>
            </w:r>
            <w:r w:rsidR="00947145" w:rsidRPr="5435AFD3">
              <w:rPr>
                <w:rFonts w:cs="Arial"/>
                <w:color w:val="auto"/>
                <w:sz w:val="20"/>
              </w:rPr>
              <w:t xml:space="preserve"> in </w:t>
            </w:r>
            <w:r w:rsidR="001031C7" w:rsidRPr="5435AFD3">
              <w:rPr>
                <w:rFonts w:cs="Arial"/>
                <w:color w:val="auto"/>
                <w:sz w:val="20"/>
              </w:rPr>
              <w:t>bolstering</w:t>
            </w:r>
            <w:r w:rsidR="00947145" w:rsidRPr="5435AFD3">
              <w:rPr>
                <w:rFonts w:cs="Arial"/>
                <w:color w:val="auto"/>
                <w:sz w:val="20"/>
              </w:rPr>
              <w:t xml:space="preserve"> regulatory procedures.</w:t>
            </w:r>
          </w:p>
        </w:tc>
      </w:tr>
      <w:tr w:rsidR="00303D1B" w:rsidRPr="007A0ADC" w14:paraId="47CBF0EB" w14:textId="03835E13" w:rsidTr="67285148">
        <w:tc>
          <w:tcPr>
            <w:tcW w:w="0" w:type="auto"/>
            <w:vMerge/>
          </w:tcPr>
          <w:p w14:paraId="5C3FF936" w14:textId="77777777" w:rsidR="00DC3CEA" w:rsidRPr="007A0ADC" w:rsidRDefault="00DC3CEA" w:rsidP="00501642">
            <w:pPr>
              <w:spacing w:before="0"/>
              <w:rPr>
                <w:rFonts w:cs="Arial"/>
                <w:b/>
                <w:bCs/>
                <w:color w:val="auto"/>
                <w:sz w:val="20"/>
              </w:rPr>
            </w:pPr>
          </w:p>
        </w:tc>
        <w:tc>
          <w:tcPr>
            <w:tcW w:w="0" w:type="auto"/>
          </w:tcPr>
          <w:p w14:paraId="7D638A87" w14:textId="77777777" w:rsidR="00DC3CEA" w:rsidRDefault="00DC3CEA" w:rsidP="00AA1CCD">
            <w:pPr>
              <w:pStyle w:val="ListParagraph"/>
              <w:numPr>
                <w:ilvl w:val="0"/>
                <w:numId w:val="2"/>
              </w:numPr>
              <w:spacing w:after="120"/>
              <w:rPr>
                <w:rFonts w:cs="Arial"/>
                <w:color w:val="auto"/>
                <w:sz w:val="20"/>
              </w:rPr>
            </w:pPr>
            <w:r w:rsidRPr="007A0ADC">
              <w:rPr>
                <w:rFonts w:cs="Arial"/>
                <w:color w:val="auto"/>
                <w:sz w:val="20"/>
              </w:rPr>
              <w:t>Development of new manuals and procedures as required.</w:t>
            </w:r>
          </w:p>
          <w:p w14:paraId="1054ACE7" w14:textId="001171C1" w:rsidR="00DC3CEA" w:rsidRPr="000E31CC" w:rsidRDefault="00DC3CEA" w:rsidP="00AA1CCD">
            <w:pPr>
              <w:pStyle w:val="ListParagraph"/>
              <w:numPr>
                <w:ilvl w:val="0"/>
                <w:numId w:val="2"/>
              </w:numPr>
              <w:spacing w:after="120"/>
              <w:rPr>
                <w:rFonts w:cs="Arial"/>
                <w:color w:val="000000" w:themeColor="text1"/>
                <w:sz w:val="20"/>
              </w:rPr>
            </w:pPr>
            <w:r w:rsidRPr="000E31CC">
              <w:rPr>
                <w:rFonts w:cs="Arial"/>
                <w:color w:val="000000" w:themeColor="text1"/>
                <w:sz w:val="20"/>
              </w:rPr>
              <w:t>Develop Investigations Manual for Animal Health and Welfare.</w:t>
            </w:r>
          </w:p>
          <w:p w14:paraId="1D487D03" w14:textId="291FCCF5" w:rsidR="00DC3CEA" w:rsidRPr="00C01D53" w:rsidRDefault="00DC3CEA" w:rsidP="00AA1CCD">
            <w:pPr>
              <w:pStyle w:val="ListParagraph"/>
              <w:numPr>
                <w:ilvl w:val="0"/>
                <w:numId w:val="2"/>
              </w:numPr>
              <w:spacing w:after="120"/>
              <w:rPr>
                <w:rFonts w:cs="Arial"/>
                <w:color w:val="auto"/>
                <w:sz w:val="20"/>
              </w:rPr>
            </w:pPr>
            <w:r w:rsidRPr="000E31CC">
              <w:rPr>
                <w:rFonts w:cs="Arial"/>
                <w:color w:val="000000" w:themeColor="text1"/>
                <w:sz w:val="20"/>
              </w:rPr>
              <w:t>Development of Instrument of Appointment Guidelines</w:t>
            </w:r>
            <w:r w:rsidR="000E31CC">
              <w:rPr>
                <w:rFonts w:cs="Arial"/>
                <w:color w:val="000000" w:themeColor="text1"/>
                <w:sz w:val="20"/>
              </w:rPr>
              <w:t>.</w:t>
            </w:r>
          </w:p>
        </w:tc>
        <w:tc>
          <w:tcPr>
            <w:tcW w:w="0" w:type="auto"/>
          </w:tcPr>
          <w:p w14:paraId="24D3AAC4" w14:textId="059396C0" w:rsidR="000D081E" w:rsidRPr="00225708" w:rsidRDefault="000D081E" w:rsidP="00174124">
            <w:pPr>
              <w:pStyle w:val="ListParagraph"/>
              <w:numPr>
                <w:ilvl w:val="0"/>
                <w:numId w:val="18"/>
              </w:numPr>
              <w:spacing w:before="0" w:after="0"/>
              <w:rPr>
                <w:rFonts w:cs="Arial"/>
                <w:b/>
                <w:bCs/>
                <w:color w:val="auto"/>
                <w:sz w:val="20"/>
              </w:rPr>
            </w:pPr>
            <w:r w:rsidRPr="00DB37A5">
              <w:rPr>
                <w:rFonts w:cs="Arial"/>
                <w:b/>
                <w:bCs/>
                <w:color w:val="auto"/>
                <w:sz w:val="20"/>
              </w:rPr>
              <w:t>Progress on Investigations Manual:</w:t>
            </w:r>
            <w:r w:rsidRPr="00DB37A5">
              <w:rPr>
                <w:rFonts w:cs="Arial"/>
                <w:color w:val="auto"/>
                <w:sz w:val="20"/>
              </w:rPr>
              <w:t xml:space="preserve"> Although the development of the Investigations Manual experienced delays due to other priorities</w:t>
            </w:r>
            <w:r w:rsidR="004251BA">
              <w:rPr>
                <w:rFonts w:cs="Arial"/>
                <w:color w:val="auto"/>
                <w:sz w:val="20"/>
              </w:rPr>
              <w:t>.</w:t>
            </w:r>
            <w:r w:rsidRPr="00DB37A5">
              <w:rPr>
                <w:rFonts w:cs="Arial"/>
                <w:color w:val="auto"/>
                <w:sz w:val="20"/>
              </w:rPr>
              <w:t xml:space="preserve"> </w:t>
            </w:r>
          </w:p>
          <w:p w14:paraId="2A66E0D4" w14:textId="5DE49AEE" w:rsidR="003B4EEF" w:rsidRPr="00514A0D" w:rsidRDefault="000D081E" w:rsidP="00174124">
            <w:pPr>
              <w:pStyle w:val="ListParagraph"/>
              <w:numPr>
                <w:ilvl w:val="0"/>
                <w:numId w:val="18"/>
              </w:numPr>
              <w:spacing w:before="0" w:after="0"/>
              <w:rPr>
                <w:rFonts w:cs="Arial"/>
                <w:b/>
                <w:bCs/>
                <w:color w:val="auto"/>
                <w:sz w:val="20"/>
              </w:rPr>
            </w:pPr>
            <w:r w:rsidRPr="00DB37A5">
              <w:rPr>
                <w:rFonts w:cs="Arial"/>
                <w:b/>
                <w:bCs/>
                <w:color w:val="auto"/>
                <w:sz w:val="20"/>
              </w:rPr>
              <w:t xml:space="preserve">Development of Instrument of Appointment Guidelines: </w:t>
            </w:r>
            <w:r w:rsidR="00E1207C" w:rsidRPr="00DB37A5">
              <w:rPr>
                <w:rFonts w:cs="Arial"/>
                <w:color w:val="auto"/>
                <w:sz w:val="20"/>
              </w:rPr>
              <w:t xml:space="preserve">The </w:t>
            </w:r>
            <w:r w:rsidR="00E1207C" w:rsidRPr="00FC29A9">
              <w:rPr>
                <w:rFonts w:cs="Arial"/>
                <w:color w:val="auto"/>
                <w:sz w:val="20"/>
              </w:rPr>
              <w:t>Agriculture Victoria Authorised Officer Appointment Guidelines</w:t>
            </w:r>
            <w:r w:rsidR="00E1207C">
              <w:rPr>
                <w:rFonts w:cs="Arial"/>
                <w:color w:val="auto"/>
                <w:sz w:val="20"/>
              </w:rPr>
              <w:t xml:space="preserve"> were endorsed and completed.</w:t>
            </w:r>
          </w:p>
        </w:tc>
      </w:tr>
      <w:tr w:rsidR="00303D1B" w:rsidRPr="007A0ADC" w14:paraId="215368CB" w14:textId="1CD7FEA6" w:rsidTr="67285148">
        <w:tc>
          <w:tcPr>
            <w:tcW w:w="0" w:type="auto"/>
            <w:vMerge/>
          </w:tcPr>
          <w:p w14:paraId="5E6DCBAA" w14:textId="77777777" w:rsidR="00DC3CEA" w:rsidRPr="007A0ADC" w:rsidRDefault="00DC3CEA" w:rsidP="00501642">
            <w:pPr>
              <w:spacing w:before="0"/>
              <w:rPr>
                <w:rFonts w:cs="Arial"/>
                <w:b/>
                <w:bCs/>
                <w:color w:val="auto"/>
                <w:sz w:val="20"/>
              </w:rPr>
            </w:pPr>
          </w:p>
        </w:tc>
        <w:tc>
          <w:tcPr>
            <w:tcW w:w="0" w:type="auto"/>
          </w:tcPr>
          <w:p w14:paraId="6473776A" w14:textId="327ED9D9" w:rsidR="00DC3CEA" w:rsidRPr="009722AE" w:rsidRDefault="00DC3CEA" w:rsidP="00AA1CCD">
            <w:pPr>
              <w:pStyle w:val="ListParagraph"/>
              <w:numPr>
                <w:ilvl w:val="0"/>
                <w:numId w:val="2"/>
              </w:numPr>
              <w:spacing w:after="120"/>
              <w:rPr>
                <w:rFonts w:cs="Arial"/>
                <w:color w:val="000000" w:themeColor="text1"/>
                <w:sz w:val="20"/>
              </w:rPr>
            </w:pPr>
            <w:r w:rsidRPr="009722AE">
              <w:rPr>
                <w:rFonts w:cs="Arial"/>
                <w:color w:val="000000" w:themeColor="text1"/>
                <w:sz w:val="20"/>
              </w:rPr>
              <w:t>Forums and communities of practice for knowledge sharing.</w:t>
            </w:r>
          </w:p>
          <w:p w14:paraId="1198B357" w14:textId="6758C8E0" w:rsidR="00DC3CEA" w:rsidRPr="009722AE" w:rsidRDefault="00DC3CEA" w:rsidP="00AA1CCD">
            <w:pPr>
              <w:pStyle w:val="ListParagraph"/>
              <w:numPr>
                <w:ilvl w:val="0"/>
                <w:numId w:val="2"/>
              </w:numPr>
              <w:spacing w:after="120"/>
              <w:rPr>
                <w:rFonts w:cs="Arial"/>
                <w:color w:val="000000" w:themeColor="text1"/>
                <w:sz w:val="20"/>
              </w:rPr>
            </w:pPr>
            <w:r w:rsidRPr="009722AE">
              <w:rPr>
                <w:rFonts w:cs="Arial"/>
                <w:color w:val="000000" w:themeColor="text1"/>
                <w:sz w:val="20"/>
              </w:rPr>
              <w:t>Monthly Compliance Management Forums.</w:t>
            </w:r>
          </w:p>
          <w:p w14:paraId="352B3331" w14:textId="75687A5F" w:rsidR="00DC3CEA" w:rsidRPr="00AA1CCD" w:rsidRDefault="00DC3CEA" w:rsidP="00AA1CCD">
            <w:pPr>
              <w:spacing w:after="120"/>
              <w:rPr>
                <w:rFonts w:cs="Arial"/>
                <w:color w:val="auto"/>
                <w:sz w:val="20"/>
              </w:rPr>
            </w:pPr>
          </w:p>
        </w:tc>
        <w:tc>
          <w:tcPr>
            <w:tcW w:w="0" w:type="auto"/>
          </w:tcPr>
          <w:p w14:paraId="7D1671AB" w14:textId="77777777" w:rsidR="00BB4A00" w:rsidRPr="00175E13" w:rsidRDefault="00724B6A" w:rsidP="00174124">
            <w:pPr>
              <w:pStyle w:val="ListParagraph"/>
              <w:numPr>
                <w:ilvl w:val="0"/>
                <w:numId w:val="19"/>
              </w:numPr>
              <w:spacing w:before="0" w:after="0"/>
              <w:rPr>
                <w:rFonts w:cs="Arial"/>
                <w:color w:val="auto"/>
                <w:sz w:val="20"/>
              </w:rPr>
            </w:pPr>
            <w:r w:rsidRPr="003842D0">
              <w:rPr>
                <w:rFonts w:cs="Arial"/>
                <w:b/>
                <w:color w:val="auto"/>
                <w:sz w:val="20"/>
              </w:rPr>
              <w:t xml:space="preserve">Compliance Management Forum: </w:t>
            </w:r>
            <w:r w:rsidRPr="003842D0">
              <w:rPr>
                <w:rFonts w:cs="Arial"/>
                <w:color w:val="auto"/>
                <w:sz w:val="20"/>
              </w:rPr>
              <w:t xml:space="preserve">Monthly meetings with compliance program managers </w:t>
            </w:r>
            <w:r w:rsidR="0038363D">
              <w:rPr>
                <w:rFonts w:cs="Arial"/>
                <w:color w:val="auto"/>
                <w:sz w:val="20"/>
              </w:rPr>
              <w:t>were</w:t>
            </w:r>
            <w:r w:rsidRPr="003842D0">
              <w:rPr>
                <w:rFonts w:cs="Arial"/>
                <w:color w:val="auto"/>
                <w:sz w:val="20"/>
              </w:rPr>
              <w:t xml:space="preserve"> held as part of the Compliance Management Forum. Key regulators, including representatives from the Wage Inspectorate and the Environmental Protection Authority in New South Wales, were invited to present. These meetings enhance</w:t>
            </w:r>
            <w:r w:rsidR="00BE4C6A">
              <w:rPr>
                <w:rFonts w:cs="Arial"/>
                <w:color w:val="auto"/>
                <w:sz w:val="20"/>
              </w:rPr>
              <w:t>d</w:t>
            </w:r>
            <w:r w:rsidRPr="003842D0">
              <w:rPr>
                <w:rFonts w:cs="Arial"/>
                <w:color w:val="auto"/>
                <w:sz w:val="20"/>
              </w:rPr>
              <w:t xml:space="preserve"> knowledge and practice in compliance and regulatory activities.</w:t>
            </w:r>
            <w:r w:rsidR="00E063AD">
              <w:t xml:space="preserve"> </w:t>
            </w:r>
          </w:p>
          <w:p w14:paraId="44CB3756" w14:textId="678B874B" w:rsidR="003F04EB" w:rsidRPr="00BB4A00" w:rsidRDefault="0B83ED6D" w:rsidP="2D380A65">
            <w:pPr>
              <w:pStyle w:val="ListParagraph"/>
              <w:numPr>
                <w:ilvl w:val="0"/>
                <w:numId w:val="19"/>
              </w:numPr>
              <w:spacing w:before="0" w:after="0"/>
              <w:rPr>
                <w:rFonts w:cs="Arial"/>
                <w:color w:val="auto"/>
                <w:sz w:val="20"/>
              </w:rPr>
            </w:pPr>
            <w:r w:rsidRPr="2D380A65">
              <w:rPr>
                <w:rFonts w:cs="Arial"/>
                <w:b/>
                <w:bCs/>
                <w:color w:val="auto"/>
                <w:sz w:val="20"/>
              </w:rPr>
              <w:t>Forum</w:t>
            </w:r>
            <w:r w:rsidR="5123E3A0" w:rsidRPr="2D380A65">
              <w:rPr>
                <w:rFonts w:cs="Arial"/>
                <w:b/>
                <w:bCs/>
                <w:color w:val="auto"/>
                <w:sz w:val="20"/>
              </w:rPr>
              <w:t>s</w:t>
            </w:r>
            <w:r w:rsidR="5123E3A0" w:rsidRPr="2D380A65">
              <w:rPr>
                <w:rFonts w:cs="Arial"/>
                <w:color w:val="auto"/>
                <w:sz w:val="20"/>
              </w:rPr>
              <w:t xml:space="preserve">: </w:t>
            </w:r>
            <w:r w:rsidR="00134C3F">
              <w:rPr>
                <w:rFonts w:cs="Arial"/>
                <w:color w:val="auto"/>
                <w:sz w:val="20"/>
              </w:rPr>
              <w:t>A</w:t>
            </w:r>
            <w:r w:rsidR="00134C3F" w:rsidRPr="003F477E">
              <w:rPr>
                <w:rFonts w:cs="Arial"/>
                <w:color w:val="auto"/>
                <w:sz w:val="20"/>
              </w:rPr>
              <w:t>griculture Victoria led a significant number of forums, including the Biosecurity Reference Group, Agriculture Industry Reference Group</w:t>
            </w:r>
            <w:r w:rsidR="00134C3F">
              <w:rPr>
                <w:rFonts w:cs="Arial"/>
                <w:color w:val="auto"/>
                <w:sz w:val="20"/>
              </w:rPr>
              <w:t xml:space="preserve">, </w:t>
            </w:r>
            <w:r w:rsidR="00134C3F" w:rsidRPr="003F477E">
              <w:rPr>
                <w:rFonts w:cs="Arial"/>
                <w:color w:val="auto"/>
                <w:sz w:val="20"/>
              </w:rPr>
              <w:t>Livestock Industry Group</w:t>
            </w:r>
            <w:r w:rsidR="00134C3F">
              <w:rPr>
                <w:rFonts w:cs="Arial"/>
                <w:color w:val="auto"/>
                <w:sz w:val="20"/>
              </w:rPr>
              <w:t>,</w:t>
            </w:r>
            <w:r w:rsidR="00134C3F" w:rsidRPr="003F477E">
              <w:rPr>
                <w:rFonts w:cs="Arial"/>
                <w:color w:val="auto"/>
                <w:sz w:val="20"/>
              </w:rPr>
              <w:t xml:space="preserve"> and the Victorian Food Regulators Forum</w:t>
            </w:r>
            <w:r w:rsidR="00134C3F">
              <w:rPr>
                <w:rFonts w:cs="Arial"/>
                <w:color w:val="auto"/>
                <w:sz w:val="20"/>
              </w:rPr>
              <w:t>.</w:t>
            </w:r>
          </w:p>
          <w:p w14:paraId="1AADBECD" w14:textId="20A56480" w:rsidR="00724B6A" w:rsidRPr="003842D0" w:rsidRDefault="00297949" w:rsidP="00174124">
            <w:pPr>
              <w:pStyle w:val="ListParagraph"/>
              <w:numPr>
                <w:ilvl w:val="0"/>
                <w:numId w:val="19"/>
              </w:numPr>
              <w:spacing w:before="0" w:after="0"/>
              <w:rPr>
                <w:rFonts w:cs="Arial"/>
                <w:color w:val="auto"/>
                <w:sz w:val="20"/>
              </w:rPr>
            </w:pPr>
            <w:r>
              <w:rPr>
                <w:rFonts w:cs="Arial"/>
                <w:b/>
                <w:color w:val="auto"/>
                <w:sz w:val="20"/>
              </w:rPr>
              <w:t>Meetings with RSPCA Victoria:</w:t>
            </w:r>
            <w:r>
              <w:rPr>
                <w:sz w:val="20"/>
              </w:rPr>
              <w:t xml:space="preserve"> </w:t>
            </w:r>
            <w:r w:rsidR="000E436F" w:rsidRPr="00297949">
              <w:rPr>
                <w:color w:val="000000" w:themeColor="text1"/>
                <w:sz w:val="20"/>
              </w:rPr>
              <w:t>Agriculture</w:t>
            </w:r>
            <w:r w:rsidR="009D10AE" w:rsidRPr="00297949">
              <w:rPr>
                <w:color w:val="000000" w:themeColor="text1"/>
                <w:sz w:val="20"/>
              </w:rPr>
              <w:t xml:space="preserve"> </w:t>
            </w:r>
            <w:r w:rsidR="00670F07" w:rsidRPr="00297949">
              <w:rPr>
                <w:color w:val="000000" w:themeColor="text1"/>
                <w:sz w:val="20"/>
              </w:rPr>
              <w:t>Victoria</w:t>
            </w:r>
            <w:r w:rsidR="009D10AE" w:rsidRPr="00297949">
              <w:rPr>
                <w:color w:val="000000" w:themeColor="text1"/>
                <w:sz w:val="20"/>
              </w:rPr>
              <w:t xml:space="preserve"> </w:t>
            </w:r>
            <w:r w:rsidR="007A4AE0" w:rsidRPr="00297949">
              <w:rPr>
                <w:color w:val="000000" w:themeColor="text1"/>
                <w:sz w:val="20"/>
              </w:rPr>
              <w:t>held q</w:t>
            </w:r>
            <w:r w:rsidR="00E063AD" w:rsidRPr="00297949">
              <w:rPr>
                <w:rFonts w:cs="Arial"/>
                <w:color w:val="000000" w:themeColor="text1"/>
                <w:sz w:val="20"/>
              </w:rPr>
              <w:t xml:space="preserve">uarterly </w:t>
            </w:r>
            <w:r w:rsidR="00E063AD" w:rsidRPr="00AC0845">
              <w:rPr>
                <w:rFonts w:cs="Arial"/>
                <w:color w:val="auto"/>
                <w:sz w:val="20"/>
              </w:rPr>
              <w:t xml:space="preserve">operational meetings </w:t>
            </w:r>
            <w:r w:rsidR="00AC0845" w:rsidRPr="00AC0845">
              <w:rPr>
                <w:rFonts w:cs="Arial"/>
                <w:color w:val="auto"/>
                <w:sz w:val="20"/>
              </w:rPr>
              <w:t>with</w:t>
            </w:r>
            <w:r w:rsidR="00E063AD" w:rsidRPr="00AC0845">
              <w:rPr>
                <w:rFonts w:cs="Arial"/>
                <w:color w:val="auto"/>
                <w:sz w:val="20"/>
              </w:rPr>
              <w:t xml:space="preserve"> RSPCA Victoria</w:t>
            </w:r>
            <w:r w:rsidR="00AC0845" w:rsidRPr="00AC0845">
              <w:rPr>
                <w:rFonts w:cs="Arial"/>
                <w:color w:val="auto"/>
                <w:sz w:val="20"/>
              </w:rPr>
              <w:t>.</w:t>
            </w:r>
          </w:p>
          <w:p w14:paraId="167D758C" w14:textId="6701822C" w:rsidR="00724B6A" w:rsidRPr="003842D0" w:rsidRDefault="00724B6A" w:rsidP="00174124">
            <w:pPr>
              <w:pStyle w:val="ListParagraph"/>
              <w:numPr>
                <w:ilvl w:val="0"/>
                <w:numId w:val="19"/>
              </w:numPr>
              <w:spacing w:before="0" w:after="0"/>
              <w:rPr>
                <w:rFonts w:cs="Arial"/>
                <w:b/>
                <w:color w:val="auto"/>
                <w:sz w:val="20"/>
              </w:rPr>
            </w:pPr>
            <w:r w:rsidRPr="003842D0">
              <w:rPr>
                <w:rFonts w:cs="Arial"/>
                <w:b/>
                <w:color w:val="auto"/>
                <w:sz w:val="20"/>
              </w:rPr>
              <w:t xml:space="preserve">Special Events: </w:t>
            </w:r>
            <w:r w:rsidRPr="003842D0">
              <w:rPr>
                <w:rFonts w:cs="Arial"/>
                <w:color w:val="auto"/>
                <w:sz w:val="20"/>
              </w:rPr>
              <w:t>A special event was held with the Chief Conservation Regulator, further contributing to the enhancement of compliance and regulatory practices.</w:t>
            </w:r>
          </w:p>
          <w:p w14:paraId="661342BD" w14:textId="0AE492CD" w:rsidR="00724B6A" w:rsidRPr="003842D0" w:rsidRDefault="00724B6A" w:rsidP="00174124">
            <w:pPr>
              <w:pStyle w:val="ListParagraph"/>
              <w:numPr>
                <w:ilvl w:val="0"/>
                <w:numId w:val="19"/>
              </w:numPr>
              <w:spacing w:before="0" w:after="0"/>
              <w:rPr>
                <w:rFonts w:cs="Arial"/>
                <w:color w:val="auto"/>
                <w:sz w:val="20"/>
              </w:rPr>
            </w:pPr>
            <w:r w:rsidRPr="003842D0">
              <w:rPr>
                <w:rFonts w:cs="Arial"/>
                <w:b/>
                <w:color w:val="auto"/>
                <w:sz w:val="20"/>
              </w:rPr>
              <w:t xml:space="preserve">Regulatory Community of Practice Pilot: </w:t>
            </w:r>
            <w:r w:rsidRPr="003842D0">
              <w:rPr>
                <w:rFonts w:cs="Arial"/>
                <w:color w:val="auto"/>
                <w:sz w:val="20"/>
              </w:rPr>
              <w:t xml:space="preserve">The Regulatory Community of Practice Pilot was conducted monthly over </w:t>
            </w:r>
            <w:r w:rsidR="00042E1B">
              <w:rPr>
                <w:rFonts w:cs="Arial"/>
                <w:color w:val="auto"/>
                <w:sz w:val="20"/>
              </w:rPr>
              <w:t>six months</w:t>
            </w:r>
            <w:r w:rsidRPr="003842D0">
              <w:rPr>
                <w:rFonts w:cs="Arial"/>
                <w:color w:val="auto"/>
                <w:sz w:val="20"/>
              </w:rPr>
              <w:t xml:space="preserve"> as part of the Strengthening Victoria’s Biosecurity System program.</w:t>
            </w:r>
          </w:p>
          <w:p w14:paraId="0BF4466C" w14:textId="6DDE3BBA" w:rsidR="00724B6A" w:rsidRPr="003842D0" w:rsidRDefault="00724B6A" w:rsidP="00174124">
            <w:pPr>
              <w:pStyle w:val="ListParagraph"/>
              <w:numPr>
                <w:ilvl w:val="0"/>
                <w:numId w:val="19"/>
              </w:numPr>
              <w:spacing w:before="0" w:after="0"/>
              <w:rPr>
                <w:rFonts w:cs="Arial"/>
                <w:color w:val="auto"/>
                <w:sz w:val="20"/>
              </w:rPr>
            </w:pPr>
            <w:r w:rsidRPr="003842D0">
              <w:rPr>
                <w:rFonts w:cs="Arial"/>
                <w:b/>
                <w:color w:val="auto"/>
                <w:sz w:val="20"/>
              </w:rPr>
              <w:t xml:space="preserve">Participation in Regulatory Policy Working Groups: </w:t>
            </w:r>
            <w:r w:rsidRPr="003842D0">
              <w:rPr>
                <w:rFonts w:cs="Arial"/>
                <w:color w:val="auto"/>
                <w:sz w:val="20"/>
              </w:rPr>
              <w:t xml:space="preserve">Agriculture Victoria actively </w:t>
            </w:r>
            <w:r w:rsidR="003B18BC" w:rsidRPr="003842D0">
              <w:rPr>
                <w:rFonts w:cs="Arial"/>
                <w:color w:val="auto"/>
                <w:sz w:val="20"/>
              </w:rPr>
              <w:t>participate</w:t>
            </w:r>
            <w:r w:rsidR="003B18BC">
              <w:rPr>
                <w:rFonts w:cs="Arial"/>
                <w:color w:val="auto"/>
                <w:sz w:val="20"/>
              </w:rPr>
              <w:t>d</w:t>
            </w:r>
            <w:r w:rsidR="003B18BC" w:rsidRPr="003842D0">
              <w:rPr>
                <w:rFonts w:cs="Arial"/>
                <w:color w:val="auto"/>
                <w:sz w:val="20"/>
              </w:rPr>
              <w:t xml:space="preserve"> </w:t>
            </w:r>
            <w:r w:rsidRPr="003842D0">
              <w:rPr>
                <w:rFonts w:cs="Arial"/>
                <w:color w:val="auto"/>
                <w:sz w:val="20"/>
              </w:rPr>
              <w:t xml:space="preserve">in the </w:t>
            </w:r>
            <w:r w:rsidR="00251B5A" w:rsidRPr="003842D0">
              <w:rPr>
                <w:rFonts w:cs="Arial"/>
                <w:color w:val="auto"/>
                <w:sz w:val="20"/>
              </w:rPr>
              <w:t xml:space="preserve">Department of </w:t>
            </w:r>
            <w:r w:rsidRPr="003842D0">
              <w:rPr>
                <w:rFonts w:cs="Arial"/>
                <w:color w:val="auto"/>
                <w:sz w:val="20"/>
              </w:rPr>
              <w:t>E</w:t>
            </w:r>
            <w:r w:rsidR="00251B5A" w:rsidRPr="003842D0">
              <w:rPr>
                <w:rFonts w:cs="Arial"/>
                <w:color w:val="auto"/>
                <w:sz w:val="20"/>
              </w:rPr>
              <w:t xml:space="preserve">nergy, </w:t>
            </w:r>
            <w:r w:rsidRPr="003842D0">
              <w:rPr>
                <w:rFonts w:cs="Arial"/>
                <w:color w:val="auto"/>
                <w:sz w:val="20"/>
              </w:rPr>
              <w:t>E</w:t>
            </w:r>
            <w:r w:rsidR="00251B5A" w:rsidRPr="003842D0">
              <w:rPr>
                <w:rFonts w:cs="Arial"/>
                <w:color w:val="auto"/>
                <w:sz w:val="20"/>
              </w:rPr>
              <w:t xml:space="preserve">nvironment and </w:t>
            </w:r>
            <w:r w:rsidRPr="003842D0">
              <w:rPr>
                <w:rFonts w:cs="Arial"/>
                <w:color w:val="auto"/>
                <w:sz w:val="20"/>
              </w:rPr>
              <w:t>C</w:t>
            </w:r>
            <w:r w:rsidR="00251B5A" w:rsidRPr="003842D0">
              <w:rPr>
                <w:rFonts w:cs="Arial"/>
                <w:color w:val="auto"/>
                <w:sz w:val="20"/>
              </w:rPr>
              <w:t xml:space="preserve">limate </w:t>
            </w:r>
            <w:r w:rsidRPr="003842D0">
              <w:rPr>
                <w:rFonts w:cs="Arial"/>
                <w:color w:val="auto"/>
                <w:sz w:val="20"/>
              </w:rPr>
              <w:t>A</w:t>
            </w:r>
            <w:r w:rsidR="00251B5A" w:rsidRPr="003842D0">
              <w:rPr>
                <w:rFonts w:cs="Arial"/>
                <w:color w:val="auto"/>
                <w:sz w:val="20"/>
              </w:rPr>
              <w:t>ction</w:t>
            </w:r>
            <w:r w:rsidRPr="003842D0">
              <w:rPr>
                <w:rFonts w:cs="Arial"/>
                <w:color w:val="auto"/>
                <w:sz w:val="20"/>
              </w:rPr>
              <w:t xml:space="preserve"> Regulatory Policy Working Group, providing valuable input into policy discussions.</w:t>
            </w:r>
          </w:p>
          <w:p w14:paraId="3584E947" w14:textId="77777777" w:rsidR="00DC3CEA" w:rsidRDefault="00724B6A" w:rsidP="00174124">
            <w:pPr>
              <w:pStyle w:val="ListParagraph"/>
              <w:numPr>
                <w:ilvl w:val="0"/>
                <w:numId w:val="19"/>
              </w:numPr>
              <w:spacing w:before="0" w:after="0"/>
              <w:rPr>
                <w:rFonts w:cs="Arial"/>
                <w:color w:val="auto"/>
                <w:sz w:val="20"/>
              </w:rPr>
            </w:pPr>
            <w:r w:rsidRPr="003842D0">
              <w:rPr>
                <w:rFonts w:cs="Arial"/>
                <w:b/>
                <w:color w:val="auto"/>
                <w:sz w:val="20"/>
              </w:rPr>
              <w:t xml:space="preserve">Contributing to Regulatory Reform: </w:t>
            </w:r>
            <w:r w:rsidRPr="003842D0">
              <w:rPr>
                <w:rFonts w:cs="Arial"/>
                <w:color w:val="auto"/>
                <w:sz w:val="20"/>
              </w:rPr>
              <w:t xml:space="preserve">Agriculture Victoria </w:t>
            </w:r>
            <w:r w:rsidR="003B18BC" w:rsidRPr="003842D0">
              <w:rPr>
                <w:rFonts w:cs="Arial"/>
                <w:color w:val="auto"/>
                <w:sz w:val="20"/>
              </w:rPr>
              <w:t>contribute</w:t>
            </w:r>
            <w:r w:rsidR="003B18BC">
              <w:rPr>
                <w:rFonts w:cs="Arial"/>
                <w:color w:val="auto"/>
                <w:sz w:val="20"/>
              </w:rPr>
              <w:t>d</w:t>
            </w:r>
            <w:r w:rsidR="003B18BC" w:rsidRPr="003842D0">
              <w:rPr>
                <w:rFonts w:cs="Arial"/>
                <w:color w:val="auto"/>
                <w:sz w:val="20"/>
              </w:rPr>
              <w:t xml:space="preserve"> </w:t>
            </w:r>
            <w:r w:rsidRPr="003842D0">
              <w:rPr>
                <w:rFonts w:cs="Arial"/>
                <w:color w:val="auto"/>
                <w:sz w:val="20"/>
              </w:rPr>
              <w:t xml:space="preserve">to the Whole of Victorian Government regulatory reform agenda by participating in the Department of Treasury and Finance (DTF) Regulatory Reform Steering </w:t>
            </w:r>
            <w:r w:rsidRPr="003842D0">
              <w:rPr>
                <w:rFonts w:cs="Arial"/>
                <w:color w:val="auto"/>
                <w:sz w:val="20"/>
              </w:rPr>
              <w:lastRenderedPageBreak/>
              <w:t>Committee and the DTF Regulator’s Forum. This involvement includes contributions to initiatives such as the Digitally Ready Regulators, the Regulator Capability Library, and other DTF working groups.</w:t>
            </w:r>
          </w:p>
          <w:p w14:paraId="202E0A72" w14:textId="1D89B570" w:rsidR="00DC3CEA" w:rsidRPr="001F3C81" w:rsidRDefault="00D50FE7" w:rsidP="00174124">
            <w:pPr>
              <w:pStyle w:val="ListParagraph"/>
              <w:numPr>
                <w:ilvl w:val="0"/>
                <w:numId w:val="19"/>
              </w:numPr>
              <w:spacing w:before="0" w:after="0"/>
              <w:rPr>
                <w:rFonts w:cs="Arial"/>
                <w:color w:val="auto"/>
                <w:sz w:val="20"/>
              </w:rPr>
            </w:pPr>
            <w:r w:rsidRPr="00C34AAD">
              <w:rPr>
                <w:rFonts w:cs="Arial"/>
                <w:b/>
                <w:color w:val="auto"/>
                <w:sz w:val="20"/>
              </w:rPr>
              <w:t>Revival of Regulatory Community of Practice Meetings</w:t>
            </w:r>
            <w:r w:rsidRPr="00C34AAD">
              <w:rPr>
                <w:rFonts w:cs="Arial"/>
                <w:color w:val="auto"/>
                <w:sz w:val="20"/>
              </w:rPr>
              <w:t>: Agriculture Victoria reinstated the Australian and N</w:t>
            </w:r>
            <w:r>
              <w:rPr>
                <w:rFonts w:cs="Arial"/>
                <w:color w:val="auto"/>
                <w:sz w:val="20"/>
              </w:rPr>
              <w:t xml:space="preserve">ew </w:t>
            </w:r>
            <w:r w:rsidRPr="00C34AAD">
              <w:rPr>
                <w:rFonts w:cs="Arial"/>
                <w:color w:val="auto"/>
                <w:sz w:val="20"/>
              </w:rPr>
              <w:t>Z</w:t>
            </w:r>
            <w:r>
              <w:rPr>
                <w:rFonts w:cs="Arial"/>
                <w:color w:val="auto"/>
                <w:sz w:val="20"/>
              </w:rPr>
              <w:t>ealand</w:t>
            </w:r>
            <w:r w:rsidRPr="00C34AAD">
              <w:rPr>
                <w:rFonts w:cs="Arial"/>
                <w:color w:val="auto"/>
                <w:sz w:val="20"/>
              </w:rPr>
              <w:t xml:space="preserve"> Animals in Research and Teaching Regulatory Community of Practice Meetings in late 2023. This initiative </w:t>
            </w:r>
            <w:r>
              <w:rPr>
                <w:rFonts w:cs="Arial"/>
                <w:color w:val="auto"/>
                <w:sz w:val="20"/>
              </w:rPr>
              <w:t>brought</w:t>
            </w:r>
            <w:r w:rsidRPr="00C34AAD">
              <w:rPr>
                <w:rFonts w:cs="Arial"/>
                <w:color w:val="auto"/>
                <w:sz w:val="20"/>
              </w:rPr>
              <w:t xml:space="preserve"> together jurisdictional regulators to exchange knowledge and identify opportunities for collaboration, enhancing regulatory practices and effectiveness</w:t>
            </w:r>
            <w:r>
              <w:rPr>
                <w:rFonts w:cs="Arial"/>
                <w:color w:val="auto"/>
                <w:sz w:val="20"/>
              </w:rPr>
              <w:t>.</w:t>
            </w:r>
          </w:p>
        </w:tc>
      </w:tr>
      <w:tr w:rsidR="00303D1B" w:rsidRPr="007A0ADC" w14:paraId="4D160D6B" w14:textId="2BD92725" w:rsidTr="67285148">
        <w:tc>
          <w:tcPr>
            <w:tcW w:w="0" w:type="auto"/>
            <w:vMerge w:val="restart"/>
          </w:tcPr>
          <w:p w14:paraId="4C87E707" w14:textId="77777777" w:rsidR="00DC3CEA" w:rsidRPr="00DC3CEA" w:rsidRDefault="00DC3CEA" w:rsidP="00501642">
            <w:pPr>
              <w:rPr>
                <w:rFonts w:cs="Arial"/>
                <w:b/>
                <w:bCs/>
                <w:color w:val="auto"/>
                <w:sz w:val="20"/>
              </w:rPr>
            </w:pPr>
            <w:r w:rsidRPr="00DC3CEA">
              <w:rPr>
                <w:rFonts w:cs="Arial"/>
                <w:b/>
                <w:bCs/>
                <w:color w:val="auto"/>
                <w:sz w:val="20"/>
              </w:rPr>
              <w:lastRenderedPageBreak/>
              <w:t xml:space="preserve">Business processes and technology systems support efficient and effective delivery of regulatory services. </w:t>
            </w:r>
          </w:p>
          <w:p w14:paraId="140D6444" w14:textId="77777777" w:rsidR="00DC3CEA" w:rsidRPr="00DC3CEA" w:rsidRDefault="00DC3CEA" w:rsidP="00501642">
            <w:pPr>
              <w:spacing w:before="0"/>
              <w:rPr>
                <w:rFonts w:cs="Arial"/>
                <w:b/>
                <w:bCs/>
                <w:color w:val="auto"/>
                <w:sz w:val="20"/>
              </w:rPr>
            </w:pPr>
          </w:p>
        </w:tc>
        <w:tc>
          <w:tcPr>
            <w:tcW w:w="0" w:type="auto"/>
          </w:tcPr>
          <w:p w14:paraId="2FA8000C" w14:textId="77777777" w:rsidR="00DC3CEA" w:rsidRPr="00871409" w:rsidRDefault="00DC3CEA">
            <w:pPr>
              <w:pStyle w:val="ListParagraph"/>
              <w:numPr>
                <w:ilvl w:val="0"/>
                <w:numId w:val="2"/>
              </w:numPr>
              <w:spacing w:before="0"/>
              <w:rPr>
                <w:rFonts w:cs="Arial"/>
                <w:color w:val="FF0000"/>
                <w:sz w:val="20"/>
              </w:rPr>
            </w:pPr>
            <w:r w:rsidRPr="00871409">
              <w:rPr>
                <w:rFonts w:cs="Arial"/>
                <w:color w:val="auto"/>
                <w:sz w:val="20"/>
              </w:rPr>
              <w:t>Continue to improve Agriculture Victoria’s governance and strategic investment in digital technologies.</w:t>
            </w:r>
          </w:p>
          <w:p w14:paraId="15BB7D39" w14:textId="0DE3F683" w:rsidR="00DC3CEA" w:rsidRPr="00092D43" w:rsidRDefault="00DC3CEA">
            <w:pPr>
              <w:pStyle w:val="ListParagraph"/>
              <w:numPr>
                <w:ilvl w:val="0"/>
                <w:numId w:val="2"/>
              </w:numPr>
              <w:spacing w:before="0"/>
              <w:rPr>
                <w:rFonts w:cs="Arial"/>
                <w:color w:val="000000" w:themeColor="text1"/>
                <w:sz w:val="20"/>
              </w:rPr>
            </w:pPr>
            <w:r w:rsidRPr="00092D43">
              <w:rPr>
                <w:rFonts w:cs="Arial"/>
                <w:color w:val="000000" w:themeColor="text1"/>
                <w:sz w:val="20"/>
              </w:rPr>
              <w:t xml:space="preserve">Continue implementation of the Technology Strategy. </w:t>
            </w:r>
          </w:p>
          <w:p w14:paraId="0C901CB5" w14:textId="10242E18" w:rsidR="00DC3CEA" w:rsidRPr="00092D43" w:rsidRDefault="00DC3CEA">
            <w:pPr>
              <w:pStyle w:val="ListParagraph"/>
              <w:numPr>
                <w:ilvl w:val="0"/>
                <w:numId w:val="2"/>
              </w:numPr>
              <w:spacing w:before="0"/>
              <w:rPr>
                <w:rFonts w:cs="Arial"/>
                <w:color w:val="000000" w:themeColor="text1"/>
                <w:sz w:val="20"/>
              </w:rPr>
            </w:pPr>
            <w:r w:rsidRPr="00092D43">
              <w:rPr>
                <w:rFonts w:cs="Arial"/>
                <w:color w:val="000000" w:themeColor="text1"/>
                <w:sz w:val="20"/>
              </w:rPr>
              <w:t>Maintain governance and oversight of IT investments through Steering Committees and Project Control Boards.</w:t>
            </w:r>
          </w:p>
          <w:p w14:paraId="19D93CBA" w14:textId="136BDE63" w:rsidR="00DC3CEA" w:rsidRPr="00092D43" w:rsidRDefault="00DC3CEA">
            <w:pPr>
              <w:pStyle w:val="ListParagraph"/>
              <w:numPr>
                <w:ilvl w:val="0"/>
                <w:numId w:val="2"/>
              </w:numPr>
              <w:spacing w:before="0"/>
              <w:rPr>
                <w:rFonts w:cs="Arial"/>
                <w:color w:val="000000" w:themeColor="text1"/>
                <w:sz w:val="20"/>
              </w:rPr>
            </w:pPr>
            <w:r w:rsidRPr="00092D43">
              <w:rPr>
                <w:rFonts w:cs="Arial"/>
                <w:color w:val="000000" w:themeColor="text1"/>
                <w:sz w:val="20"/>
              </w:rPr>
              <w:t>Implementation of new intelligence team within Biosecurity Victoria to improve intelligence products and data capabilities.</w:t>
            </w:r>
          </w:p>
          <w:p w14:paraId="60CC3B79" w14:textId="7DE33498" w:rsidR="00DC3CEA" w:rsidRPr="00AA1CCD" w:rsidRDefault="00DC3CEA" w:rsidP="00AA1CCD">
            <w:pPr>
              <w:spacing w:before="0"/>
              <w:rPr>
                <w:rFonts w:cs="Arial"/>
                <w:b/>
                <w:bCs/>
                <w:color w:val="auto"/>
                <w:sz w:val="20"/>
              </w:rPr>
            </w:pPr>
          </w:p>
        </w:tc>
        <w:tc>
          <w:tcPr>
            <w:tcW w:w="0" w:type="auto"/>
          </w:tcPr>
          <w:p w14:paraId="20F83769" w14:textId="11548A9A" w:rsidR="00A30A11" w:rsidRPr="003842D0" w:rsidRDefault="5C44DC29" w:rsidP="67285148">
            <w:pPr>
              <w:pStyle w:val="ListParagraph"/>
              <w:numPr>
                <w:ilvl w:val="0"/>
                <w:numId w:val="20"/>
              </w:numPr>
              <w:spacing w:before="0" w:after="0"/>
              <w:rPr>
                <w:rFonts w:cs="Arial"/>
                <w:b/>
                <w:bCs/>
                <w:color w:val="auto"/>
                <w:sz w:val="20"/>
              </w:rPr>
            </w:pPr>
            <w:r w:rsidRPr="67285148">
              <w:rPr>
                <w:rFonts w:cs="Arial"/>
                <w:b/>
                <w:bCs/>
                <w:color w:val="auto"/>
                <w:sz w:val="20"/>
              </w:rPr>
              <w:t xml:space="preserve">Implementation of </w:t>
            </w:r>
            <w:r w:rsidR="00C5036A">
              <w:rPr>
                <w:rFonts w:cs="Arial"/>
                <w:b/>
                <w:bCs/>
                <w:color w:val="auto"/>
                <w:sz w:val="20"/>
              </w:rPr>
              <w:t xml:space="preserve">the </w:t>
            </w:r>
            <w:r w:rsidRPr="67285148">
              <w:rPr>
                <w:rFonts w:cs="Arial"/>
                <w:b/>
                <w:bCs/>
                <w:color w:val="auto"/>
                <w:sz w:val="20"/>
              </w:rPr>
              <w:t xml:space="preserve">Technology Strategy: </w:t>
            </w:r>
            <w:r w:rsidRPr="67285148">
              <w:rPr>
                <w:rFonts w:cs="Arial"/>
                <w:color w:val="auto"/>
                <w:sz w:val="20"/>
              </w:rPr>
              <w:t>The implementation of</w:t>
            </w:r>
            <w:r w:rsidR="7932D5B7" w:rsidRPr="67285148">
              <w:rPr>
                <w:rFonts w:cs="Arial"/>
                <w:color w:val="auto"/>
                <w:sz w:val="20"/>
              </w:rPr>
              <w:t xml:space="preserve"> </w:t>
            </w:r>
            <w:r w:rsidRPr="67285148">
              <w:rPr>
                <w:rFonts w:cs="Arial"/>
                <w:color w:val="auto"/>
                <w:sz w:val="20"/>
              </w:rPr>
              <w:t xml:space="preserve">the Technology Strategy is well </w:t>
            </w:r>
            <w:r w:rsidR="00640175">
              <w:rPr>
                <w:rFonts w:cs="Arial"/>
                <w:color w:val="auto"/>
                <w:sz w:val="20"/>
              </w:rPr>
              <w:t>progressed</w:t>
            </w:r>
            <w:r w:rsidRPr="67285148">
              <w:rPr>
                <w:rFonts w:cs="Arial"/>
                <w:color w:val="auto"/>
                <w:sz w:val="20"/>
              </w:rPr>
              <w:t>, featuring a new technology delivery model and the establishment of a new platform.</w:t>
            </w:r>
          </w:p>
          <w:p w14:paraId="6D7274BC" w14:textId="7A57F049" w:rsidR="00A30A11" w:rsidRPr="003842D0" w:rsidRDefault="00A30A11" w:rsidP="00174124">
            <w:pPr>
              <w:pStyle w:val="ListParagraph"/>
              <w:numPr>
                <w:ilvl w:val="0"/>
                <w:numId w:val="20"/>
              </w:numPr>
              <w:spacing w:before="0" w:after="0"/>
              <w:rPr>
                <w:rFonts w:cs="Arial"/>
                <w:color w:val="auto"/>
                <w:sz w:val="20"/>
              </w:rPr>
            </w:pPr>
            <w:r w:rsidRPr="003842D0">
              <w:rPr>
                <w:rFonts w:cs="Arial"/>
                <w:b/>
                <w:bCs/>
                <w:color w:val="auto"/>
                <w:sz w:val="20"/>
              </w:rPr>
              <w:t xml:space="preserve">Strategic Investment in Digital Technologies: </w:t>
            </w:r>
            <w:r w:rsidRPr="003842D0">
              <w:rPr>
                <w:rFonts w:cs="Arial"/>
                <w:color w:val="auto"/>
                <w:sz w:val="20"/>
              </w:rPr>
              <w:t xml:space="preserve">Agriculture Victoria made strategic investments in digital technologies to accelerate the digitisation of manual compliance processes. This </w:t>
            </w:r>
            <w:r w:rsidR="00802847" w:rsidRPr="003842D0">
              <w:rPr>
                <w:rFonts w:cs="Arial"/>
                <w:color w:val="auto"/>
                <w:sz w:val="20"/>
              </w:rPr>
              <w:t>include</w:t>
            </w:r>
            <w:r w:rsidR="00802847">
              <w:rPr>
                <w:rFonts w:cs="Arial"/>
                <w:color w:val="auto"/>
                <w:sz w:val="20"/>
              </w:rPr>
              <w:t>d</w:t>
            </w:r>
            <w:r w:rsidR="00802847" w:rsidRPr="003842D0">
              <w:rPr>
                <w:rFonts w:cs="Arial"/>
                <w:color w:val="auto"/>
                <w:sz w:val="20"/>
              </w:rPr>
              <w:t xml:space="preserve"> </w:t>
            </w:r>
            <w:r w:rsidRPr="003842D0">
              <w:rPr>
                <w:rFonts w:cs="Arial"/>
                <w:color w:val="auto"/>
                <w:sz w:val="20"/>
              </w:rPr>
              <w:t xml:space="preserve">streamlining and automating agricultural chemical use licenses and permits. The development of the Agriculture Victoria </w:t>
            </w:r>
            <w:r w:rsidR="001650B9">
              <w:rPr>
                <w:rFonts w:cs="Arial"/>
                <w:color w:val="auto"/>
                <w:sz w:val="20"/>
              </w:rPr>
              <w:t>s</w:t>
            </w:r>
            <w:r w:rsidRPr="003842D0">
              <w:rPr>
                <w:rFonts w:cs="Arial"/>
                <w:color w:val="auto"/>
                <w:sz w:val="20"/>
              </w:rPr>
              <w:t xml:space="preserve">ervices </w:t>
            </w:r>
            <w:r w:rsidR="001650B9">
              <w:rPr>
                <w:rFonts w:cs="Arial"/>
                <w:color w:val="auto"/>
                <w:sz w:val="20"/>
              </w:rPr>
              <w:t>p</w:t>
            </w:r>
            <w:r w:rsidRPr="003842D0">
              <w:rPr>
                <w:rFonts w:cs="Arial"/>
                <w:color w:val="auto"/>
                <w:sz w:val="20"/>
              </w:rPr>
              <w:t>ortal (A</w:t>
            </w:r>
            <w:r w:rsidR="00DA406F">
              <w:rPr>
                <w:rFonts w:cs="Arial"/>
                <w:color w:val="auto"/>
                <w:sz w:val="20"/>
              </w:rPr>
              <w:t>V</w:t>
            </w:r>
            <w:r w:rsidRPr="003842D0">
              <w:rPr>
                <w:rFonts w:cs="Arial"/>
                <w:color w:val="auto"/>
                <w:sz w:val="20"/>
              </w:rPr>
              <w:t xml:space="preserve"> Connect) is complete, with the first stage of chemical user </w:t>
            </w:r>
            <w:r w:rsidR="002D51E6">
              <w:rPr>
                <w:rFonts w:cs="Arial"/>
                <w:color w:val="auto"/>
                <w:sz w:val="20"/>
              </w:rPr>
              <w:t>authorities</w:t>
            </w:r>
            <w:r w:rsidR="002D51E6" w:rsidRPr="003842D0">
              <w:rPr>
                <w:rFonts w:cs="Arial"/>
                <w:color w:val="auto"/>
                <w:sz w:val="20"/>
              </w:rPr>
              <w:t xml:space="preserve"> </w:t>
            </w:r>
            <w:r w:rsidRPr="003842D0">
              <w:rPr>
                <w:rFonts w:cs="Arial"/>
                <w:color w:val="auto"/>
                <w:sz w:val="20"/>
              </w:rPr>
              <w:t>functionality now live and additional functionalities in progress.</w:t>
            </w:r>
          </w:p>
          <w:p w14:paraId="6012D22E" w14:textId="58656824" w:rsidR="00DC3CEA" w:rsidRPr="003842D0" w:rsidRDefault="00A30A11" w:rsidP="00174124">
            <w:pPr>
              <w:pStyle w:val="ListParagraph"/>
              <w:numPr>
                <w:ilvl w:val="0"/>
                <w:numId w:val="20"/>
              </w:numPr>
              <w:spacing w:before="0" w:after="0"/>
              <w:rPr>
                <w:rFonts w:cs="Arial"/>
                <w:color w:val="auto"/>
                <w:sz w:val="20"/>
              </w:rPr>
            </w:pPr>
            <w:r w:rsidRPr="003842D0">
              <w:rPr>
                <w:rFonts w:cs="Arial"/>
                <w:b/>
                <w:bCs/>
                <w:color w:val="auto"/>
                <w:sz w:val="20"/>
              </w:rPr>
              <w:t xml:space="preserve">Establishment of New Intelligence Team: </w:t>
            </w:r>
            <w:r w:rsidRPr="003842D0">
              <w:rPr>
                <w:rFonts w:cs="Arial"/>
                <w:color w:val="auto"/>
                <w:sz w:val="20"/>
              </w:rPr>
              <w:t xml:space="preserve">A new intelligence team </w:t>
            </w:r>
            <w:r w:rsidR="00134FE5">
              <w:rPr>
                <w:rFonts w:cs="Arial"/>
                <w:color w:val="auto"/>
                <w:sz w:val="20"/>
              </w:rPr>
              <w:t>was</w:t>
            </w:r>
            <w:r w:rsidRPr="003842D0">
              <w:rPr>
                <w:rFonts w:cs="Arial"/>
                <w:color w:val="auto"/>
                <w:sz w:val="20"/>
              </w:rPr>
              <w:t xml:space="preserve"> established to enhance intelligence products and data capabilities. A three-year delivery program </w:t>
            </w:r>
            <w:r w:rsidR="00445879">
              <w:rPr>
                <w:rFonts w:cs="Arial"/>
                <w:color w:val="auto"/>
                <w:sz w:val="20"/>
              </w:rPr>
              <w:t>was also</w:t>
            </w:r>
            <w:r w:rsidRPr="003842D0">
              <w:rPr>
                <w:rFonts w:cs="Arial"/>
                <w:color w:val="auto"/>
                <w:sz w:val="20"/>
              </w:rPr>
              <w:t xml:space="preserve"> established, with key priorities identified and being actively delivered.</w:t>
            </w:r>
          </w:p>
        </w:tc>
      </w:tr>
      <w:tr w:rsidR="00303D1B" w:rsidRPr="007A0ADC" w14:paraId="151373AA" w14:textId="037C526D" w:rsidTr="67285148">
        <w:trPr>
          <w:trHeight w:val="3218"/>
        </w:trPr>
        <w:tc>
          <w:tcPr>
            <w:tcW w:w="0" w:type="auto"/>
            <w:vMerge/>
          </w:tcPr>
          <w:p w14:paraId="504F8770" w14:textId="77777777" w:rsidR="00DC3CEA" w:rsidRPr="007A0ADC" w:rsidRDefault="00DC3CEA" w:rsidP="00501642">
            <w:pPr>
              <w:rPr>
                <w:rFonts w:cs="Arial"/>
                <w:color w:val="auto"/>
                <w:sz w:val="20"/>
              </w:rPr>
            </w:pPr>
          </w:p>
        </w:tc>
        <w:tc>
          <w:tcPr>
            <w:tcW w:w="0" w:type="auto"/>
          </w:tcPr>
          <w:p w14:paraId="7AF65D73" w14:textId="77777777" w:rsidR="00DC3CEA" w:rsidRPr="000A5B62" w:rsidRDefault="00DC3CEA" w:rsidP="000A5B62">
            <w:pPr>
              <w:pStyle w:val="ListParagraph"/>
              <w:numPr>
                <w:ilvl w:val="0"/>
                <w:numId w:val="2"/>
              </w:numPr>
              <w:spacing w:before="0"/>
              <w:rPr>
                <w:rFonts w:cs="Arial"/>
                <w:color w:val="FF0000"/>
                <w:sz w:val="20"/>
              </w:rPr>
            </w:pPr>
            <w:r w:rsidRPr="008E6335">
              <w:rPr>
                <w:rFonts w:cs="Arial"/>
                <w:color w:val="auto"/>
                <w:sz w:val="20"/>
              </w:rPr>
              <w:t>Continue to maintain, develop and centralise, compliance related processes and data management across business systems.</w:t>
            </w:r>
          </w:p>
          <w:p w14:paraId="7FFDE93A" w14:textId="502093AB" w:rsidR="00DC3CEA" w:rsidRPr="00F6596E" w:rsidRDefault="00DC3CEA" w:rsidP="000A5B62">
            <w:pPr>
              <w:pStyle w:val="ListParagraph"/>
              <w:numPr>
                <w:ilvl w:val="0"/>
                <w:numId w:val="2"/>
              </w:numPr>
              <w:spacing w:before="0"/>
              <w:rPr>
                <w:rFonts w:cs="Arial"/>
                <w:color w:val="000000" w:themeColor="text1"/>
                <w:sz w:val="20"/>
              </w:rPr>
            </w:pPr>
            <w:r w:rsidRPr="00F6596E">
              <w:rPr>
                <w:rFonts w:cs="Arial"/>
                <w:color w:val="000000" w:themeColor="text1"/>
                <w:sz w:val="20"/>
              </w:rPr>
              <w:t xml:space="preserve">Lead implementation of regulatory business system products, including chemical user </w:t>
            </w:r>
            <w:r w:rsidR="002D51E6">
              <w:rPr>
                <w:rFonts w:cs="Arial"/>
                <w:color w:val="000000" w:themeColor="text1"/>
                <w:sz w:val="20"/>
              </w:rPr>
              <w:t>authorities</w:t>
            </w:r>
            <w:r w:rsidRPr="00F6596E">
              <w:rPr>
                <w:rFonts w:cs="Arial"/>
                <w:color w:val="000000" w:themeColor="text1"/>
                <w:sz w:val="20"/>
              </w:rPr>
              <w:t xml:space="preserve">, as prioritised by </w:t>
            </w:r>
            <w:r w:rsidR="00F65D88">
              <w:rPr>
                <w:rFonts w:cs="Arial"/>
                <w:color w:val="000000" w:themeColor="text1"/>
                <w:sz w:val="20"/>
              </w:rPr>
              <w:t xml:space="preserve">the </w:t>
            </w:r>
            <w:r w:rsidRPr="00F6596E">
              <w:rPr>
                <w:rFonts w:cs="Arial"/>
                <w:color w:val="000000" w:themeColor="text1"/>
                <w:sz w:val="20"/>
              </w:rPr>
              <w:t>Technology Steering Committee.</w:t>
            </w:r>
          </w:p>
          <w:p w14:paraId="160BC3DC" w14:textId="4D069949" w:rsidR="00DC3CEA" w:rsidRPr="0056402E" w:rsidRDefault="00DC3CEA" w:rsidP="00AA1CCD">
            <w:pPr>
              <w:pStyle w:val="ListParagraph"/>
              <w:numPr>
                <w:ilvl w:val="0"/>
                <w:numId w:val="2"/>
              </w:numPr>
              <w:spacing w:before="0"/>
              <w:rPr>
                <w:rFonts w:cs="Arial"/>
                <w:color w:val="FF0000"/>
                <w:sz w:val="20"/>
              </w:rPr>
            </w:pPr>
            <w:r w:rsidRPr="00F6596E">
              <w:rPr>
                <w:rFonts w:cs="Arial"/>
                <w:color w:val="000000" w:themeColor="text1"/>
                <w:sz w:val="20"/>
              </w:rPr>
              <w:t>Maintain existing online services including Livestock Tags, Property Identification Codes, Chemical Permits, Bee Registration and Plant Health Certification and Pet Exchange Register.</w:t>
            </w:r>
          </w:p>
        </w:tc>
        <w:tc>
          <w:tcPr>
            <w:tcW w:w="0" w:type="auto"/>
          </w:tcPr>
          <w:p w14:paraId="23522776" w14:textId="6D5DD3C5" w:rsidR="00475D92" w:rsidRPr="003842D0" w:rsidRDefault="00475D92" w:rsidP="003842D0">
            <w:pPr>
              <w:pStyle w:val="ListParagraph"/>
              <w:numPr>
                <w:ilvl w:val="0"/>
                <w:numId w:val="2"/>
              </w:numPr>
              <w:spacing w:before="0" w:after="0"/>
              <w:rPr>
                <w:rFonts w:cs="Arial"/>
                <w:color w:val="auto"/>
                <w:sz w:val="20"/>
              </w:rPr>
            </w:pPr>
            <w:r w:rsidRPr="003842D0">
              <w:rPr>
                <w:rFonts w:cs="Arial"/>
                <w:b/>
                <w:color w:val="auto"/>
                <w:sz w:val="20"/>
              </w:rPr>
              <w:t xml:space="preserve">Completion of AV Connect Development: </w:t>
            </w:r>
            <w:r w:rsidRPr="003842D0">
              <w:rPr>
                <w:rFonts w:cs="Arial"/>
                <w:color w:val="auto"/>
                <w:sz w:val="20"/>
              </w:rPr>
              <w:t xml:space="preserve">The development of the Agriculture Victoria </w:t>
            </w:r>
            <w:r w:rsidR="00276537">
              <w:rPr>
                <w:rFonts w:cs="Arial"/>
                <w:color w:val="auto"/>
                <w:sz w:val="20"/>
              </w:rPr>
              <w:t>s</w:t>
            </w:r>
            <w:r w:rsidRPr="003842D0">
              <w:rPr>
                <w:rFonts w:cs="Arial"/>
                <w:color w:val="auto"/>
                <w:sz w:val="20"/>
              </w:rPr>
              <w:t xml:space="preserve">ervices </w:t>
            </w:r>
            <w:r w:rsidR="00276537">
              <w:rPr>
                <w:rFonts w:cs="Arial"/>
                <w:color w:val="auto"/>
                <w:sz w:val="20"/>
              </w:rPr>
              <w:t>p</w:t>
            </w:r>
            <w:r w:rsidRPr="003842D0">
              <w:rPr>
                <w:rFonts w:cs="Arial"/>
                <w:color w:val="auto"/>
                <w:sz w:val="20"/>
              </w:rPr>
              <w:t xml:space="preserve">ortal (AV Connect) is complete, with the first stage of chemical user </w:t>
            </w:r>
            <w:r w:rsidR="00CF5E0E">
              <w:rPr>
                <w:rFonts w:cs="Arial"/>
                <w:color w:val="auto"/>
                <w:sz w:val="20"/>
              </w:rPr>
              <w:t>authorities</w:t>
            </w:r>
            <w:r w:rsidRPr="003842D0">
              <w:rPr>
                <w:rFonts w:cs="Arial"/>
                <w:color w:val="auto"/>
                <w:sz w:val="20"/>
              </w:rPr>
              <w:t xml:space="preserve"> functionality </w:t>
            </w:r>
            <w:r w:rsidR="00640175">
              <w:rPr>
                <w:rFonts w:cs="Arial"/>
                <w:color w:val="auto"/>
                <w:sz w:val="20"/>
              </w:rPr>
              <w:t xml:space="preserve">is </w:t>
            </w:r>
            <w:r w:rsidRPr="003842D0">
              <w:rPr>
                <w:rFonts w:cs="Arial"/>
                <w:color w:val="auto"/>
                <w:sz w:val="20"/>
              </w:rPr>
              <w:t xml:space="preserve">now live </w:t>
            </w:r>
            <w:r w:rsidR="00640175">
              <w:rPr>
                <w:rFonts w:cs="Arial"/>
                <w:color w:val="auto"/>
                <w:sz w:val="20"/>
              </w:rPr>
              <w:t>with</w:t>
            </w:r>
            <w:r w:rsidRPr="003842D0">
              <w:rPr>
                <w:rFonts w:cs="Arial"/>
                <w:color w:val="auto"/>
                <w:sz w:val="20"/>
              </w:rPr>
              <w:t xml:space="preserve"> further functionalities in progress.</w:t>
            </w:r>
          </w:p>
          <w:p w14:paraId="21C08CBF" w14:textId="302C58D1" w:rsidR="00475D92" w:rsidRPr="003842D0" w:rsidRDefault="00475D92" w:rsidP="00174124">
            <w:pPr>
              <w:pStyle w:val="ListParagraph"/>
              <w:numPr>
                <w:ilvl w:val="0"/>
                <w:numId w:val="21"/>
              </w:numPr>
              <w:spacing w:before="0" w:after="0"/>
              <w:rPr>
                <w:rFonts w:cs="Arial"/>
                <w:color w:val="auto"/>
                <w:sz w:val="20"/>
              </w:rPr>
            </w:pPr>
            <w:r w:rsidRPr="003842D0">
              <w:rPr>
                <w:rFonts w:cs="Arial"/>
                <w:b/>
                <w:bCs/>
                <w:color w:val="auto"/>
                <w:sz w:val="20"/>
              </w:rPr>
              <w:t xml:space="preserve">Maintenance of Legacy Online Services: </w:t>
            </w:r>
            <w:r w:rsidRPr="003842D0">
              <w:rPr>
                <w:rFonts w:cs="Arial"/>
                <w:color w:val="auto"/>
                <w:sz w:val="20"/>
              </w:rPr>
              <w:t xml:space="preserve">All existing legacy online services, such as Livestock Tags, Property Identification Codes, Bee Registration, and Plant Health Certification, </w:t>
            </w:r>
            <w:r w:rsidR="00D11EC9">
              <w:rPr>
                <w:rFonts w:cs="Arial"/>
                <w:color w:val="auto"/>
                <w:sz w:val="20"/>
              </w:rPr>
              <w:t xml:space="preserve">were </w:t>
            </w:r>
            <w:r w:rsidRPr="003842D0">
              <w:rPr>
                <w:rFonts w:cs="Arial"/>
                <w:color w:val="auto"/>
                <w:sz w:val="20"/>
              </w:rPr>
              <w:t xml:space="preserve">maintained as part of the newly implemented </w:t>
            </w:r>
            <w:r w:rsidR="00F940F1" w:rsidRPr="00F940F1">
              <w:rPr>
                <w:rFonts w:cs="Arial"/>
                <w:color w:val="auto"/>
                <w:sz w:val="20"/>
              </w:rPr>
              <w:t xml:space="preserve">Biosecurity and Agriculture Services </w:t>
            </w:r>
            <w:r w:rsidRPr="003842D0">
              <w:rPr>
                <w:rFonts w:cs="Arial"/>
                <w:color w:val="auto"/>
                <w:sz w:val="20"/>
              </w:rPr>
              <w:t>Technology Operating Model.</w:t>
            </w:r>
          </w:p>
          <w:p w14:paraId="3CCCBA4A" w14:textId="20A9D235" w:rsidR="00DC3CEA" w:rsidRPr="003842D0" w:rsidRDefault="00475D92" w:rsidP="00174124">
            <w:pPr>
              <w:pStyle w:val="ListParagraph"/>
              <w:numPr>
                <w:ilvl w:val="0"/>
                <w:numId w:val="21"/>
              </w:numPr>
              <w:spacing w:before="0" w:after="0"/>
              <w:rPr>
                <w:rFonts w:cs="Arial"/>
                <w:color w:val="auto"/>
                <w:sz w:val="20"/>
              </w:rPr>
            </w:pPr>
            <w:r w:rsidRPr="003842D0">
              <w:rPr>
                <w:rFonts w:cs="Arial"/>
                <w:b/>
                <w:bCs/>
                <w:color w:val="auto"/>
                <w:sz w:val="20"/>
              </w:rPr>
              <w:t>Extension and Improvement of the Pet Exchange Register</w:t>
            </w:r>
            <w:r w:rsidRPr="00697A0E">
              <w:rPr>
                <w:rFonts w:cs="Arial"/>
                <w:b/>
                <w:color w:val="auto"/>
                <w:sz w:val="20"/>
              </w:rPr>
              <w:t>:</w:t>
            </w:r>
            <w:r w:rsidRPr="003842D0">
              <w:rPr>
                <w:rFonts w:cs="Arial"/>
                <w:color w:val="auto"/>
                <w:sz w:val="20"/>
              </w:rPr>
              <w:t xml:space="preserve"> The service provider for the Pet Exchange Register </w:t>
            </w:r>
            <w:r w:rsidR="006028FF">
              <w:rPr>
                <w:rFonts w:cs="Arial"/>
                <w:color w:val="auto"/>
                <w:sz w:val="20"/>
              </w:rPr>
              <w:t>was</w:t>
            </w:r>
            <w:r w:rsidRPr="003842D0">
              <w:rPr>
                <w:rFonts w:cs="Arial"/>
                <w:color w:val="auto"/>
                <w:sz w:val="20"/>
              </w:rPr>
              <w:t xml:space="preserve"> engaged for another two years, until 28 February 2025. The Pet Exchange Register continues to be maintained as an online service, with system improvements made to enhance user experience. A review of the database commenced to assess and evaluate the capability of the register, with completion expected by the end of the financial year.</w:t>
            </w:r>
          </w:p>
        </w:tc>
      </w:tr>
      <w:tr w:rsidR="00303D1B" w:rsidRPr="007A0ADC" w14:paraId="36080112" w14:textId="79C752A9" w:rsidTr="67285148">
        <w:tc>
          <w:tcPr>
            <w:tcW w:w="0" w:type="auto"/>
            <w:vMerge/>
          </w:tcPr>
          <w:p w14:paraId="4FA0267E" w14:textId="77777777" w:rsidR="00DC3CEA" w:rsidRPr="007A0ADC" w:rsidRDefault="00DC3CEA" w:rsidP="00501642">
            <w:pPr>
              <w:rPr>
                <w:rFonts w:cs="Arial"/>
                <w:color w:val="auto"/>
                <w:sz w:val="20"/>
              </w:rPr>
            </w:pPr>
          </w:p>
        </w:tc>
        <w:tc>
          <w:tcPr>
            <w:tcW w:w="0" w:type="auto"/>
          </w:tcPr>
          <w:p w14:paraId="544D83EF" w14:textId="77777777" w:rsidR="00DC3CEA" w:rsidRPr="0079523D" w:rsidRDefault="00DC3CEA" w:rsidP="0079523D">
            <w:pPr>
              <w:pStyle w:val="ListParagraph"/>
              <w:numPr>
                <w:ilvl w:val="0"/>
                <w:numId w:val="2"/>
              </w:numPr>
              <w:spacing w:before="0"/>
              <w:rPr>
                <w:rFonts w:cs="Arial"/>
                <w:b/>
                <w:bCs/>
                <w:color w:val="auto"/>
                <w:sz w:val="20"/>
              </w:rPr>
            </w:pPr>
            <w:r w:rsidRPr="00CE1E7E">
              <w:rPr>
                <w:rFonts w:cs="Arial"/>
                <w:color w:val="auto"/>
                <w:sz w:val="20"/>
              </w:rPr>
              <w:t xml:space="preserve">Continue to maintain digital and online communication platforms. </w:t>
            </w:r>
          </w:p>
          <w:p w14:paraId="7C325494" w14:textId="77777777" w:rsidR="00DC3CEA" w:rsidRPr="00853C31" w:rsidRDefault="00DC3CEA" w:rsidP="0079523D">
            <w:pPr>
              <w:pStyle w:val="ListParagraph"/>
              <w:numPr>
                <w:ilvl w:val="0"/>
                <w:numId w:val="2"/>
              </w:numPr>
              <w:spacing w:before="0"/>
              <w:rPr>
                <w:rFonts w:cs="Arial"/>
                <w:b/>
                <w:bCs/>
                <w:color w:val="000000" w:themeColor="text1"/>
                <w:sz w:val="20"/>
              </w:rPr>
            </w:pPr>
            <w:r w:rsidRPr="00853C31">
              <w:rPr>
                <w:rFonts w:cs="Arial"/>
                <w:color w:val="000000" w:themeColor="text1"/>
                <w:sz w:val="20"/>
              </w:rPr>
              <w:t>Ensure Agriculture Victoria website content is regularly reviewed and updated.</w:t>
            </w:r>
          </w:p>
          <w:p w14:paraId="4DF1947A" w14:textId="5A1B705F" w:rsidR="00DC3CEA" w:rsidRPr="001F3C81" w:rsidRDefault="00DC3CEA" w:rsidP="002E318E">
            <w:pPr>
              <w:pStyle w:val="ListParagraph"/>
              <w:numPr>
                <w:ilvl w:val="0"/>
                <w:numId w:val="2"/>
              </w:numPr>
              <w:spacing w:before="0"/>
              <w:rPr>
                <w:rFonts w:cs="Arial"/>
                <w:b/>
                <w:bCs/>
                <w:color w:val="000000" w:themeColor="text1"/>
                <w:sz w:val="20"/>
              </w:rPr>
            </w:pPr>
            <w:r w:rsidRPr="00853C31">
              <w:rPr>
                <w:rFonts w:cs="Arial"/>
                <w:color w:val="000000" w:themeColor="text1"/>
                <w:sz w:val="20"/>
              </w:rPr>
              <w:t>Finalise the Agriculture Victoria Digital Channel Strategy to optimise and integrate digital channels.</w:t>
            </w:r>
          </w:p>
        </w:tc>
        <w:tc>
          <w:tcPr>
            <w:tcW w:w="0" w:type="auto"/>
          </w:tcPr>
          <w:p w14:paraId="44180B7A" w14:textId="6D64FF38" w:rsidR="0000464D" w:rsidRPr="0000464D" w:rsidRDefault="0000464D" w:rsidP="00174124">
            <w:pPr>
              <w:pStyle w:val="ListParagraph"/>
              <w:numPr>
                <w:ilvl w:val="0"/>
                <w:numId w:val="22"/>
              </w:numPr>
              <w:spacing w:before="0" w:after="0"/>
              <w:rPr>
                <w:rFonts w:cs="Arial"/>
                <w:color w:val="auto"/>
                <w:sz w:val="20"/>
              </w:rPr>
            </w:pPr>
            <w:r w:rsidRPr="0000464D">
              <w:rPr>
                <w:rFonts w:cs="Arial"/>
                <w:b/>
                <w:bCs/>
                <w:color w:val="auto"/>
                <w:sz w:val="20"/>
              </w:rPr>
              <w:t xml:space="preserve">Regular Review and Update of Website Content: </w:t>
            </w:r>
            <w:r w:rsidRPr="0000464D">
              <w:rPr>
                <w:rFonts w:cs="Arial"/>
                <w:color w:val="auto"/>
                <w:sz w:val="20"/>
              </w:rPr>
              <w:t>Agriculture Victoria reviewed and updated website content and functionality throughout 2023-24, ensuring that information remains current and relevant.</w:t>
            </w:r>
          </w:p>
          <w:p w14:paraId="0E177C4B" w14:textId="6227CA3C" w:rsidR="00DC3CEA" w:rsidRPr="0056402E" w:rsidRDefault="0000464D" w:rsidP="00174124">
            <w:pPr>
              <w:pStyle w:val="ListParagraph"/>
              <w:numPr>
                <w:ilvl w:val="0"/>
                <w:numId w:val="22"/>
              </w:numPr>
              <w:spacing w:before="0" w:after="0"/>
              <w:rPr>
                <w:rFonts w:cs="Arial"/>
                <w:color w:val="auto"/>
                <w:sz w:val="20"/>
              </w:rPr>
            </w:pPr>
            <w:r w:rsidRPr="0000464D">
              <w:rPr>
                <w:rFonts w:cs="Arial"/>
                <w:b/>
                <w:bCs/>
                <w:color w:val="auto"/>
                <w:sz w:val="20"/>
              </w:rPr>
              <w:t xml:space="preserve">Delivery of Digital Channel Strategy: </w:t>
            </w:r>
            <w:r w:rsidRPr="0000464D">
              <w:rPr>
                <w:rFonts w:cs="Arial"/>
                <w:color w:val="auto"/>
                <w:sz w:val="20"/>
              </w:rPr>
              <w:t xml:space="preserve">The Agriculture Victoria Digital Channel Strategy </w:t>
            </w:r>
            <w:r w:rsidR="0020206C">
              <w:rPr>
                <w:rFonts w:cs="Arial"/>
                <w:color w:val="auto"/>
                <w:sz w:val="20"/>
              </w:rPr>
              <w:t>was</w:t>
            </w:r>
            <w:r w:rsidRPr="0000464D">
              <w:rPr>
                <w:rFonts w:cs="Arial"/>
                <w:color w:val="auto"/>
                <w:sz w:val="20"/>
              </w:rPr>
              <w:t xml:space="preserve"> successfully delivered</w:t>
            </w:r>
            <w:r w:rsidR="00B35B77">
              <w:rPr>
                <w:rFonts w:cs="Arial"/>
                <w:color w:val="auto"/>
                <w:sz w:val="20"/>
              </w:rPr>
              <w:t>.</w:t>
            </w:r>
            <w:r w:rsidRPr="0000464D">
              <w:rPr>
                <w:rFonts w:cs="Arial"/>
                <w:color w:val="auto"/>
                <w:sz w:val="20"/>
              </w:rPr>
              <w:t xml:space="preserve"> The implementation phase is now in progress, marked by the development of a Change and Implementation Plan, along with the initiation of quick win and short-term actions outlined in the strategy.</w:t>
            </w:r>
          </w:p>
        </w:tc>
      </w:tr>
      <w:tr w:rsidR="00BD57FF" w:rsidRPr="007A0ADC" w14:paraId="30563185" w14:textId="1D3A136F" w:rsidTr="67285148">
        <w:tc>
          <w:tcPr>
            <w:tcW w:w="0" w:type="auto"/>
            <w:gridSpan w:val="3"/>
            <w:shd w:val="clear" w:color="auto" w:fill="E7E6E6" w:themeFill="background2"/>
          </w:tcPr>
          <w:p w14:paraId="13DB7F9D" w14:textId="30725D3E" w:rsidR="00BD57FF" w:rsidRDefault="00DC3CEA" w:rsidP="0030299B">
            <w:pPr>
              <w:spacing w:before="0" w:after="0"/>
              <w:rPr>
                <w:b/>
                <w:bCs/>
                <w:color w:val="auto"/>
                <w:sz w:val="20"/>
              </w:rPr>
            </w:pPr>
            <w:r>
              <w:rPr>
                <w:b/>
                <w:bCs/>
                <w:color w:val="auto"/>
                <w:sz w:val="20"/>
              </w:rPr>
              <w:t xml:space="preserve">Thematic </w:t>
            </w:r>
            <w:r w:rsidR="00BD57FF" w:rsidRPr="00A732F5">
              <w:rPr>
                <w:b/>
                <w:bCs/>
                <w:color w:val="auto"/>
                <w:sz w:val="20"/>
              </w:rPr>
              <w:t xml:space="preserve">priority element </w:t>
            </w:r>
            <w:r w:rsidR="00BD57FF">
              <w:rPr>
                <w:b/>
                <w:bCs/>
                <w:color w:val="auto"/>
                <w:sz w:val="20"/>
              </w:rPr>
              <w:t>3</w:t>
            </w:r>
            <w:r w:rsidR="00BD57FF" w:rsidRPr="00A732F5">
              <w:rPr>
                <w:b/>
                <w:bCs/>
                <w:color w:val="auto"/>
                <w:sz w:val="20"/>
              </w:rPr>
              <w:t>:</w:t>
            </w:r>
            <w:r w:rsidR="00BD57FF">
              <w:t xml:space="preserve"> </w:t>
            </w:r>
            <w:r w:rsidR="00BD57FF" w:rsidRPr="001F7121">
              <w:rPr>
                <w:b/>
                <w:bCs/>
                <w:color w:val="auto"/>
                <w:sz w:val="20"/>
              </w:rPr>
              <w:t>Stakeholder Consultation and Engagement</w:t>
            </w:r>
          </w:p>
          <w:p w14:paraId="0C9E00EB" w14:textId="77777777" w:rsidR="00E31780" w:rsidRDefault="00E31780" w:rsidP="0030299B">
            <w:pPr>
              <w:spacing w:before="0" w:after="0"/>
              <w:rPr>
                <w:b/>
                <w:bCs/>
                <w:color w:val="auto"/>
                <w:sz w:val="20"/>
              </w:rPr>
            </w:pPr>
          </w:p>
          <w:p w14:paraId="53EFC49A" w14:textId="718DFD8C" w:rsidR="00A341E5" w:rsidRPr="002A5457" w:rsidRDefault="00BD57FF" w:rsidP="0030299B">
            <w:pPr>
              <w:spacing w:before="0" w:after="0"/>
              <w:rPr>
                <w:i/>
                <w:iCs/>
                <w:color w:val="auto"/>
                <w:sz w:val="20"/>
              </w:rPr>
            </w:pPr>
            <w:r w:rsidRPr="007A0ADC">
              <w:rPr>
                <w:i/>
                <w:iCs/>
                <w:color w:val="auto"/>
                <w:sz w:val="20"/>
              </w:rPr>
              <w:t xml:space="preserve">Agriculture Victoria to engage with peak bodies, </w:t>
            </w:r>
            <w:r w:rsidR="007468DF" w:rsidRPr="007A0ADC">
              <w:rPr>
                <w:i/>
                <w:iCs/>
                <w:color w:val="auto"/>
                <w:sz w:val="20"/>
              </w:rPr>
              <w:t>industry,</w:t>
            </w:r>
            <w:r w:rsidRPr="007A0ADC">
              <w:rPr>
                <w:i/>
                <w:iCs/>
                <w:color w:val="auto"/>
                <w:sz w:val="20"/>
              </w:rPr>
              <w:t xml:space="preserve"> and community to foster support for improved compliance</w:t>
            </w:r>
            <w:r w:rsidR="00E31780">
              <w:rPr>
                <w:i/>
                <w:iCs/>
                <w:color w:val="auto"/>
                <w:sz w:val="20"/>
              </w:rPr>
              <w:t>.</w:t>
            </w:r>
          </w:p>
        </w:tc>
      </w:tr>
      <w:tr w:rsidR="00303D1B" w:rsidRPr="007A0ADC" w14:paraId="23D14E3B" w14:textId="5310A81B" w:rsidTr="67285148">
        <w:tc>
          <w:tcPr>
            <w:tcW w:w="0" w:type="auto"/>
            <w:shd w:val="clear" w:color="auto" w:fill="E7E6E6" w:themeFill="background2"/>
          </w:tcPr>
          <w:p w14:paraId="75B69288" w14:textId="3B62B0ED" w:rsidR="00341D33" w:rsidRPr="007A0ADC" w:rsidRDefault="00341D33" w:rsidP="00341D33">
            <w:pPr>
              <w:spacing w:before="0"/>
              <w:rPr>
                <w:rFonts w:cs="Arial"/>
                <w:b/>
                <w:bCs/>
                <w:color w:val="auto"/>
                <w:sz w:val="20"/>
              </w:rPr>
            </w:pPr>
            <w:r w:rsidRPr="007A0ADC">
              <w:rPr>
                <w:rFonts w:cs="Arial"/>
                <w:b/>
                <w:bCs/>
                <w:color w:val="auto"/>
                <w:sz w:val="20"/>
              </w:rPr>
              <w:t xml:space="preserve">Expectation </w:t>
            </w:r>
          </w:p>
        </w:tc>
        <w:tc>
          <w:tcPr>
            <w:tcW w:w="0" w:type="auto"/>
            <w:shd w:val="clear" w:color="auto" w:fill="E7E6E6" w:themeFill="background2"/>
          </w:tcPr>
          <w:p w14:paraId="5A59E83D" w14:textId="7392BDA9" w:rsidR="00341D33" w:rsidRPr="007A0ADC" w:rsidRDefault="00341D33" w:rsidP="00341D33">
            <w:pPr>
              <w:spacing w:before="0"/>
              <w:rPr>
                <w:rFonts w:cs="Arial"/>
                <w:b/>
                <w:bCs/>
                <w:color w:val="auto"/>
                <w:sz w:val="20"/>
              </w:rPr>
            </w:pPr>
            <w:r w:rsidRPr="007A0ADC">
              <w:rPr>
                <w:rFonts w:cs="Arial"/>
                <w:b/>
                <w:bCs/>
                <w:color w:val="auto"/>
                <w:sz w:val="20"/>
              </w:rPr>
              <w:t>Outputs</w:t>
            </w:r>
          </w:p>
        </w:tc>
        <w:tc>
          <w:tcPr>
            <w:tcW w:w="0" w:type="auto"/>
            <w:shd w:val="clear" w:color="auto" w:fill="E7E6E6" w:themeFill="background2"/>
          </w:tcPr>
          <w:p w14:paraId="0B85B72F" w14:textId="0809DF7B" w:rsidR="00341D33" w:rsidRPr="001C424E" w:rsidRDefault="00341D33" w:rsidP="00341D33">
            <w:pPr>
              <w:spacing w:before="0"/>
              <w:rPr>
                <w:rFonts w:cs="Arial"/>
                <w:b/>
                <w:bCs/>
                <w:color w:val="auto"/>
                <w:sz w:val="20"/>
              </w:rPr>
            </w:pPr>
            <w:r w:rsidRPr="001C424E">
              <w:rPr>
                <w:rFonts w:cs="Arial"/>
                <w:b/>
                <w:bCs/>
                <w:color w:val="auto"/>
                <w:sz w:val="20"/>
              </w:rPr>
              <w:t>Achievements a</w:t>
            </w:r>
            <w:r w:rsidRPr="001C424E">
              <w:rPr>
                <w:b/>
                <w:bCs/>
                <w:color w:val="auto"/>
                <w:sz w:val="20"/>
              </w:rPr>
              <w:t xml:space="preserve">s </w:t>
            </w:r>
            <w:r w:rsidR="00E31780" w:rsidRPr="001C424E">
              <w:rPr>
                <w:b/>
                <w:bCs/>
                <w:color w:val="auto"/>
                <w:sz w:val="20"/>
              </w:rPr>
              <w:t>of</w:t>
            </w:r>
            <w:r w:rsidRPr="001C424E">
              <w:rPr>
                <w:b/>
                <w:bCs/>
                <w:color w:val="auto"/>
                <w:sz w:val="20"/>
              </w:rPr>
              <w:t xml:space="preserve"> 30 June 2024</w:t>
            </w:r>
          </w:p>
        </w:tc>
      </w:tr>
      <w:tr w:rsidR="00303D1B" w:rsidRPr="007A0ADC" w14:paraId="61B3D42E" w14:textId="4CED1BCA" w:rsidTr="67285148">
        <w:tc>
          <w:tcPr>
            <w:tcW w:w="0" w:type="auto"/>
            <w:vMerge w:val="restart"/>
          </w:tcPr>
          <w:p w14:paraId="341C8EE8" w14:textId="15448E23" w:rsidR="00DC3CEA" w:rsidRPr="00DC3CEA" w:rsidRDefault="00550001" w:rsidP="00501642">
            <w:pPr>
              <w:pStyle w:val="Default"/>
              <w:rPr>
                <w:rFonts w:ascii="Arial" w:hAnsi="Arial" w:cs="Arial"/>
                <w:b/>
                <w:bCs/>
                <w:color w:val="auto"/>
                <w:sz w:val="20"/>
                <w:szCs w:val="20"/>
              </w:rPr>
            </w:pPr>
            <w:bookmarkStart w:id="0" w:name="_Hlk74842361"/>
            <w:r>
              <w:rPr>
                <w:rFonts w:ascii="Arial" w:hAnsi="Arial" w:cs="Arial"/>
                <w:b/>
                <w:bCs/>
                <w:color w:val="auto"/>
                <w:sz w:val="20"/>
                <w:szCs w:val="20"/>
              </w:rPr>
              <w:t>Ensure s</w:t>
            </w:r>
            <w:r w:rsidR="00DC3CEA" w:rsidRPr="00DC3CEA">
              <w:rPr>
                <w:rFonts w:ascii="Arial" w:hAnsi="Arial" w:cs="Arial"/>
                <w:b/>
                <w:bCs/>
                <w:color w:val="auto"/>
                <w:sz w:val="20"/>
                <w:szCs w:val="20"/>
              </w:rPr>
              <w:t xml:space="preserve">takeholders are </w:t>
            </w:r>
            <w:bookmarkStart w:id="1" w:name="_Hlk74912627"/>
            <w:r w:rsidR="00DC3CEA" w:rsidRPr="00DC3CEA">
              <w:rPr>
                <w:rFonts w:ascii="Arial" w:hAnsi="Arial" w:cs="Arial"/>
                <w:b/>
                <w:bCs/>
                <w:color w:val="auto"/>
                <w:sz w:val="20"/>
                <w:szCs w:val="20"/>
              </w:rPr>
              <w:t xml:space="preserve">informed of Agriculture Victoria’s strategic priorities </w:t>
            </w:r>
            <w:r w:rsidR="00DC3CEA" w:rsidRPr="00DC3CEA">
              <w:rPr>
                <w:rFonts w:ascii="Arial" w:hAnsi="Arial" w:cs="Arial"/>
                <w:b/>
                <w:bCs/>
                <w:color w:val="auto"/>
                <w:sz w:val="20"/>
                <w:szCs w:val="20"/>
              </w:rPr>
              <w:lastRenderedPageBreak/>
              <w:t>and activities to promote compliance</w:t>
            </w:r>
            <w:bookmarkEnd w:id="1"/>
            <w:r w:rsidR="00DC3CEA" w:rsidRPr="00DC3CEA">
              <w:rPr>
                <w:rFonts w:ascii="Arial" w:hAnsi="Arial" w:cs="Arial"/>
                <w:b/>
                <w:bCs/>
                <w:color w:val="auto"/>
                <w:sz w:val="20"/>
                <w:szCs w:val="20"/>
              </w:rPr>
              <w:t xml:space="preserve"> and shared responsibility.</w:t>
            </w:r>
          </w:p>
          <w:bookmarkEnd w:id="0"/>
          <w:p w14:paraId="01B4FF68" w14:textId="1C4197B5" w:rsidR="00DC3CEA" w:rsidRPr="00DC3CEA" w:rsidRDefault="00DC3CEA" w:rsidP="00501642">
            <w:pPr>
              <w:spacing w:before="0"/>
              <w:rPr>
                <w:rFonts w:cs="Arial"/>
                <w:b/>
                <w:bCs/>
                <w:color w:val="auto"/>
                <w:sz w:val="20"/>
              </w:rPr>
            </w:pPr>
          </w:p>
        </w:tc>
        <w:tc>
          <w:tcPr>
            <w:tcW w:w="0" w:type="auto"/>
          </w:tcPr>
          <w:p w14:paraId="20B034F0" w14:textId="77777777" w:rsidR="00DC3CEA" w:rsidRPr="00DA2596" w:rsidRDefault="00DC3CEA" w:rsidP="002E318E">
            <w:pPr>
              <w:pStyle w:val="ListParagraph"/>
              <w:numPr>
                <w:ilvl w:val="0"/>
                <w:numId w:val="2"/>
              </w:numPr>
              <w:spacing w:before="0"/>
              <w:rPr>
                <w:rFonts w:cs="Arial"/>
                <w:b/>
                <w:bCs/>
                <w:color w:val="auto"/>
                <w:sz w:val="20"/>
              </w:rPr>
            </w:pPr>
            <w:r w:rsidRPr="007A0ADC">
              <w:rPr>
                <w:rFonts w:cs="Arial"/>
                <w:color w:val="auto"/>
                <w:sz w:val="20"/>
              </w:rPr>
              <w:lastRenderedPageBreak/>
              <w:t xml:space="preserve">Inform and educate relevant stakeholders through media releases and communication </w:t>
            </w:r>
            <w:r w:rsidRPr="007A0ADC">
              <w:rPr>
                <w:rFonts w:cs="Arial"/>
                <w:color w:val="auto"/>
                <w:sz w:val="20"/>
              </w:rPr>
              <w:lastRenderedPageBreak/>
              <w:t xml:space="preserve">material on Agriculture Victoria’s compliance priorities and key biosecurity and animal welfare risks. </w:t>
            </w:r>
          </w:p>
          <w:p w14:paraId="226BB3D5" w14:textId="0C1BC70F" w:rsidR="00DC3CEA" w:rsidRPr="00DA2596" w:rsidRDefault="00DC3CEA" w:rsidP="77C1C361">
            <w:pPr>
              <w:pStyle w:val="ListParagraph"/>
              <w:numPr>
                <w:ilvl w:val="0"/>
                <w:numId w:val="2"/>
              </w:numPr>
              <w:spacing w:before="0"/>
              <w:rPr>
                <w:rFonts w:cs="Arial"/>
                <w:b/>
                <w:bCs/>
                <w:color w:val="auto"/>
                <w:sz w:val="20"/>
              </w:rPr>
            </w:pPr>
            <w:r w:rsidRPr="00853C31">
              <w:rPr>
                <w:rFonts w:cs="Arial"/>
                <w:color w:val="000000" w:themeColor="text1"/>
                <w:sz w:val="20"/>
              </w:rPr>
              <w:t>Education and guidance material and media releases to be made available on website.</w:t>
            </w:r>
          </w:p>
        </w:tc>
        <w:tc>
          <w:tcPr>
            <w:tcW w:w="0" w:type="auto"/>
          </w:tcPr>
          <w:p w14:paraId="44636EA0" w14:textId="60611629" w:rsidR="003842D0" w:rsidRDefault="1F5FC384" w:rsidP="2D380A65">
            <w:pPr>
              <w:pStyle w:val="ListParagraph"/>
              <w:numPr>
                <w:ilvl w:val="0"/>
                <w:numId w:val="5"/>
              </w:numPr>
              <w:spacing w:before="0" w:after="0"/>
              <w:rPr>
                <w:rFonts w:cs="Arial"/>
                <w:color w:val="000000" w:themeColor="text1"/>
                <w:sz w:val="20"/>
              </w:rPr>
            </w:pPr>
            <w:r w:rsidRPr="2D380A65">
              <w:rPr>
                <w:rFonts w:cs="Arial"/>
                <w:b/>
                <w:bCs/>
                <w:color w:val="000000" w:themeColor="text1"/>
                <w:sz w:val="20"/>
              </w:rPr>
              <w:lastRenderedPageBreak/>
              <w:t>Information and education:</w:t>
            </w:r>
            <w:r w:rsidRPr="2D380A65">
              <w:rPr>
                <w:rFonts w:cs="Arial"/>
                <w:color w:val="000000" w:themeColor="text1"/>
                <w:sz w:val="20"/>
              </w:rPr>
              <w:t xml:space="preserve"> </w:t>
            </w:r>
            <w:r w:rsidR="50FA2F92" w:rsidRPr="2D380A65">
              <w:rPr>
                <w:rFonts w:cs="Arial"/>
                <w:color w:val="000000" w:themeColor="text1"/>
                <w:sz w:val="20"/>
              </w:rPr>
              <w:t xml:space="preserve">Agriculture </w:t>
            </w:r>
            <w:r w:rsidR="14D683D0" w:rsidRPr="2D380A65">
              <w:rPr>
                <w:rFonts w:cs="Arial"/>
                <w:color w:val="000000" w:themeColor="text1"/>
                <w:sz w:val="20"/>
              </w:rPr>
              <w:t>Victoria</w:t>
            </w:r>
            <w:r w:rsidR="50FA2F92" w:rsidRPr="2D380A65">
              <w:rPr>
                <w:rFonts w:cs="Arial"/>
                <w:color w:val="000000" w:themeColor="text1"/>
                <w:sz w:val="20"/>
              </w:rPr>
              <w:t xml:space="preserve"> Media releases</w:t>
            </w:r>
            <w:r w:rsidR="1B6894DD" w:rsidRPr="2D380A65">
              <w:rPr>
                <w:rFonts w:cs="Arial"/>
                <w:color w:val="000000" w:themeColor="text1"/>
                <w:sz w:val="20"/>
              </w:rPr>
              <w:t>,</w:t>
            </w:r>
            <w:r w:rsidR="50FA2F92" w:rsidRPr="2D380A65">
              <w:rPr>
                <w:rFonts w:cs="Arial"/>
                <w:color w:val="000000" w:themeColor="text1"/>
                <w:sz w:val="20"/>
              </w:rPr>
              <w:t xml:space="preserve"> including education and guidance material on compliance activities</w:t>
            </w:r>
            <w:r w:rsidR="1B6894DD" w:rsidRPr="2D380A65">
              <w:rPr>
                <w:rFonts w:cs="Arial"/>
                <w:color w:val="000000" w:themeColor="text1"/>
                <w:sz w:val="20"/>
              </w:rPr>
              <w:t>,</w:t>
            </w:r>
            <w:r w:rsidR="50FA2F92" w:rsidRPr="2D380A65">
              <w:rPr>
                <w:rFonts w:cs="Arial"/>
                <w:color w:val="000000" w:themeColor="text1"/>
                <w:sz w:val="20"/>
              </w:rPr>
              <w:t xml:space="preserve"> </w:t>
            </w:r>
            <w:r w:rsidR="00D11EC9">
              <w:rPr>
                <w:rFonts w:cs="Arial"/>
                <w:color w:val="000000" w:themeColor="text1"/>
                <w:sz w:val="20"/>
              </w:rPr>
              <w:t>are</w:t>
            </w:r>
            <w:r w:rsidR="50FA2F92" w:rsidRPr="2D380A65">
              <w:rPr>
                <w:rFonts w:cs="Arial"/>
                <w:color w:val="000000" w:themeColor="text1"/>
                <w:sz w:val="20"/>
              </w:rPr>
              <w:t xml:space="preserve"> available at </w:t>
            </w:r>
            <w:hyperlink r:id="rId15">
              <w:r w:rsidR="5E79BCD7" w:rsidRPr="2D380A65">
                <w:rPr>
                  <w:rStyle w:val="Hyperlink"/>
                  <w:rFonts w:cs="Arial"/>
                  <w:color w:val="000000" w:themeColor="text1"/>
                  <w:sz w:val="20"/>
                </w:rPr>
                <w:t>https://agriculture.vic.gov.au/about/mediacentre/media-releases</w:t>
              </w:r>
            </w:hyperlink>
            <w:r w:rsidR="5E79BCD7" w:rsidRPr="2D380A65">
              <w:rPr>
                <w:rStyle w:val="Hyperlink"/>
                <w:color w:val="000000" w:themeColor="text1"/>
              </w:rPr>
              <w:t>.</w:t>
            </w:r>
            <w:r w:rsidR="50FA2F92" w:rsidRPr="2D380A65">
              <w:rPr>
                <w:rStyle w:val="Hyperlink"/>
                <w:color w:val="000000" w:themeColor="text1"/>
              </w:rPr>
              <w:t xml:space="preserve"> </w:t>
            </w:r>
            <w:r w:rsidR="50FA2F92" w:rsidRPr="2D380A65">
              <w:rPr>
                <w:rFonts w:cs="Arial"/>
                <w:color w:val="000000" w:themeColor="text1"/>
                <w:sz w:val="20"/>
              </w:rPr>
              <w:t xml:space="preserve">This work remains ongoing. </w:t>
            </w:r>
          </w:p>
          <w:p w14:paraId="7FC62F3B" w14:textId="77777777" w:rsidR="00DC3CEA" w:rsidRDefault="4BA5A9B8" w:rsidP="2D380A65">
            <w:pPr>
              <w:pStyle w:val="ListParagraph"/>
              <w:numPr>
                <w:ilvl w:val="0"/>
                <w:numId w:val="5"/>
              </w:numPr>
              <w:spacing w:before="0" w:after="0"/>
              <w:rPr>
                <w:rFonts w:cs="Arial"/>
                <w:color w:val="000000" w:themeColor="text1"/>
                <w:sz w:val="20"/>
              </w:rPr>
            </w:pPr>
            <w:r w:rsidRPr="2D380A65">
              <w:rPr>
                <w:rFonts w:cs="Arial"/>
                <w:b/>
                <w:bCs/>
                <w:color w:val="000000" w:themeColor="text1"/>
                <w:sz w:val="20"/>
              </w:rPr>
              <w:t>Guidance material:</w:t>
            </w:r>
            <w:r w:rsidRPr="2D380A65">
              <w:rPr>
                <w:rFonts w:cs="Arial"/>
                <w:color w:val="000000" w:themeColor="text1"/>
                <w:sz w:val="20"/>
              </w:rPr>
              <w:t xml:space="preserve"> </w:t>
            </w:r>
            <w:r w:rsidR="50FA2F92" w:rsidRPr="2D380A65">
              <w:rPr>
                <w:rFonts w:cs="Arial"/>
                <w:color w:val="000000" w:themeColor="text1"/>
                <w:sz w:val="20"/>
              </w:rPr>
              <w:t>Scientific and Pest Animals Licensing develop</w:t>
            </w:r>
            <w:r w:rsidR="75324766" w:rsidRPr="2D380A65">
              <w:rPr>
                <w:rFonts w:cs="Arial"/>
                <w:color w:val="000000" w:themeColor="text1"/>
                <w:sz w:val="20"/>
              </w:rPr>
              <w:t>ed</w:t>
            </w:r>
            <w:r w:rsidR="50FA2F92" w:rsidRPr="2D380A65">
              <w:rPr>
                <w:rFonts w:cs="Arial"/>
                <w:color w:val="000000" w:themeColor="text1"/>
                <w:sz w:val="20"/>
              </w:rPr>
              <w:t xml:space="preserve"> communication material to improve compliance with the legislation.</w:t>
            </w:r>
          </w:p>
          <w:p w14:paraId="2216D9F2" w14:textId="3C9209F1" w:rsidR="00421E41" w:rsidRPr="003842D0" w:rsidRDefault="00421E41" w:rsidP="2D380A65">
            <w:pPr>
              <w:pStyle w:val="ListParagraph"/>
              <w:numPr>
                <w:ilvl w:val="0"/>
                <w:numId w:val="5"/>
              </w:numPr>
              <w:spacing w:before="0" w:after="0"/>
              <w:rPr>
                <w:rFonts w:cs="Arial"/>
                <w:color w:val="000000" w:themeColor="text1"/>
                <w:sz w:val="20"/>
              </w:rPr>
            </w:pPr>
            <w:r w:rsidRPr="00DF3864">
              <w:rPr>
                <w:rFonts w:cs="Arial"/>
                <w:b/>
                <w:bCs/>
                <w:color w:val="000000" w:themeColor="text1"/>
                <w:sz w:val="20"/>
              </w:rPr>
              <w:t>On-Property Biosecurity Practices</w:t>
            </w:r>
            <w:r>
              <w:rPr>
                <w:rFonts w:cs="Arial"/>
                <w:b/>
                <w:bCs/>
                <w:color w:val="000000" w:themeColor="text1"/>
                <w:sz w:val="20"/>
              </w:rPr>
              <w:t>:</w:t>
            </w:r>
            <w:r>
              <w:rPr>
                <w:rFonts w:cs="Arial"/>
                <w:color w:val="000000" w:themeColor="text1"/>
                <w:sz w:val="20"/>
              </w:rPr>
              <w:t xml:space="preserve"> Agriculture Victoria </w:t>
            </w:r>
            <w:r w:rsidRPr="00DF3864">
              <w:rPr>
                <w:rFonts w:cs="Arial"/>
                <w:color w:val="000000" w:themeColor="text1"/>
                <w:sz w:val="20"/>
              </w:rPr>
              <w:t xml:space="preserve">– </w:t>
            </w:r>
            <w:r>
              <w:rPr>
                <w:rFonts w:cs="Arial"/>
                <w:color w:val="000000" w:themeColor="text1"/>
                <w:sz w:val="20"/>
              </w:rPr>
              <w:t>in collaboration with</w:t>
            </w:r>
            <w:r w:rsidRPr="00DF3864">
              <w:rPr>
                <w:rFonts w:cs="Arial"/>
                <w:color w:val="000000" w:themeColor="text1"/>
                <w:sz w:val="20"/>
              </w:rPr>
              <w:t xml:space="preserve"> </w:t>
            </w:r>
            <w:r w:rsidRPr="00A21AB1">
              <w:rPr>
                <w:rFonts w:cs="Arial"/>
                <w:color w:val="000000" w:themeColor="text1"/>
                <w:sz w:val="20"/>
              </w:rPr>
              <w:t xml:space="preserve">Animal </w:t>
            </w:r>
            <w:r w:rsidRPr="00862D93">
              <w:rPr>
                <w:rFonts w:cs="Arial"/>
                <w:color w:val="000000" w:themeColor="text1"/>
                <w:sz w:val="20"/>
              </w:rPr>
              <w:t>Health Australia</w:t>
            </w:r>
            <w:r>
              <w:rPr>
                <w:rFonts w:cs="Arial"/>
                <w:color w:val="000000" w:themeColor="text1"/>
                <w:sz w:val="20"/>
              </w:rPr>
              <w:t xml:space="preserve">, </w:t>
            </w:r>
            <w:r w:rsidRPr="00862D93">
              <w:rPr>
                <w:rFonts w:cs="Arial"/>
                <w:color w:val="000000" w:themeColor="text1"/>
                <w:sz w:val="20"/>
              </w:rPr>
              <w:t xml:space="preserve">Plant Health Australia </w:t>
            </w:r>
            <w:r>
              <w:rPr>
                <w:rFonts w:cs="Arial"/>
                <w:color w:val="000000" w:themeColor="text1"/>
                <w:sz w:val="20"/>
              </w:rPr>
              <w:t>and</w:t>
            </w:r>
            <w:r w:rsidRPr="00862D93">
              <w:rPr>
                <w:rFonts w:cs="Arial"/>
                <w:color w:val="000000" w:themeColor="text1"/>
                <w:sz w:val="20"/>
              </w:rPr>
              <w:t xml:space="preserve"> </w:t>
            </w:r>
            <w:r>
              <w:rPr>
                <w:rFonts w:cs="Arial"/>
                <w:color w:val="000000" w:themeColor="text1"/>
                <w:sz w:val="20"/>
              </w:rPr>
              <w:t xml:space="preserve">the New South Wales and Queensland </w:t>
            </w:r>
            <w:r w:rsidR="00731914">
              <w:rPr>
                <w:rFonts w:cs="Arial"/>
                <w:color w:val="000000" w:themeColor="text1"/>
                <w:sz w:val="20"/>
              </w:rPr>
              <w:t>g</w:t>
            </w:r>
            <w:r>
              <w:rPr>
                <w:rFonts w:cs="Arial"/>
                <w:color w:val="000000" w:themeColor="text1"/>
                <w:sz w:val="20"/>
              </w:rPr>
              <w:t xml:space="preserve">overnments </w:t>
            </w:r>
            <w:r w:rsidRPr="00DF3864">
              <w:rPr>
                <w:rFonts w:cs="Arial"/>
                <w:color w:val="000000" w:themeColor="text1"/>
                <w:sz w:val="20"/>
              </w:rPr>
              <w:t>– commissioned research</w:t>
            </w:r>
            <w:r>
              <w:rPr>
                <w:rFonts w:cs="Arial"/>
                <w:color w:val="000000" w:themeColor="text1"/>
                <w:sz w:val="20"/>
              </w:rPr>
              <w:t xml:space="preserve"> </w:t>
            </w:r>
            <w:r w:rsidRPr="00DF3864">
              <w:rPr>
                <w:rFonts w:cs="Arial"/>
                <w:color w:val="000000" w:themeColor="text1"/>
                <w:sz w:val="20"/>
              </w:rPr>
              <w:t>to</w:t>
            </w:r>
            <w:r>
              <w:rPr>
                <w:rFonts w:cs="Arial"/>
                <w:color w:val="000000" w:themeColor="text1"/>
                <w:sz w:val="20"/>
              </w:rPr>
              <w:t xml:space="preserve"> </w:t>
            </w:r>
            <w:r w:rsidRPr="00312DD3">
              <w:rPr>
                <w:rFonts w:cs="Arial"/>
                <w:color w:val="000000" w:themeColor="text1"/>
                <w:sz w:val="20"/>
              </w:rPr>
              <w:t>better understand the barriers that livestock owners and horticulture growers face in implementing</w:t>
            </w:r>
            <w:r>
              <w:rPr>
                <w:rFonts w:cs="Arial"/>
                <w:color w:val="000000" w:themeColor="text1"/>
                <w:sz w:val="20"/>
              </w:rPr>
              <w:t xml:space="preserve"> </w:t>
            </w:r>
            <w:r w:rsidRPr="00DF3864">
              <w:rPr>
                <w:rFonts w:cs="Arial"/>
                <w:color w:val="000000" w:themeColor="text1"/>
                <w:sz w:val="20"/>
              </w:rPr>
              <w:t>biosecurity practices and reporting incidents, particularly in the event of disease outbreaks.</w:t>
            </w:r>
            <w:r>
              <w:rPr>
                <w:rFonts w:cs="Arial"/>
                <w:color w:val="000000" w:themeColor="text1"/>
                <w:sz w:val="20"/>
              </w:rPr>
              <w:t xml:space="preserve"> Finalised in February 2024, findings will inform future stakeholder engagement activities to promote biosecurity compliance and shared responsibility.</w:t>
            </w:r>
          </w:p>
        </w:tc>
      </w:tr>
      <w:tr w:rsidR="00303D1B" w:rsidRPr="007A0ADC" w14:paraId="59E157AD" w14:textId="782DD57B" w:rsidTr="67285148">
        <w:tc>
          <w:tcPr>
            <w:tcW w:w="0" w:type="auto"/>
            <w:vMerge/>
          </w:tcPr>
          <w:p w14:paraId="7C6985DC" w14:textId="77777777" w:rsidR="00DC3CEA" w:rsidRPr="007A0ADC" w:rsidRDefault="00DC3CEA" w:rsidP="00501642">
            <w:pPr>
              <w:spacing w:before="0"/>
              <w:rPr>
                <w:rFonts w:cs="Arial"/>
                <w:b/>
                <w:bCs/>
                <w:color w:val="auto"/>
                <w:sz w:val="20"/>
              </w:rPr>
            </w:pPr>
          </w:p>
        </w:tc>
        <w:tc>
          <w:tcPr>
            <w:tcW w:w="0" w:type="auto"/>
          </w:tcPr>
          <w:p w14:paraId="7B241429" w14:textId="77777777" w:rsidR="00DC3CEA" w:rsidRPr="00AD2421" w:rsidRDefault="00DC3CEA" w:rsidP="002E318E">
            <w:pPr>
              <w:pStyle w:val="ListParagraph"/>
              <w:numPr>
                <w:ilvl w:val="0"/>
                <w:numId w:val="2"/>
              </w:numPr>
              <w:spacing w:before="0"/>
              <w:rPr>
                <w:rFonts w:cs="Arial"/>
                <w:b/>
                <w:bCs/>
                <w:color w:val="auto"/>
                <w:sz w:val="20"/>
              </w:rPr>
            </w:pPr>
            <w:r w:rsidRPr="007A0ADC">
              <w:rPr>
                <w:rFonts w:cs="Arial"/>
                <w:color w:val="auto"/>
                <w:sz w:val="20"/>
              </w:rPr>
              <w:t>Maintain transparency by publishing results of compliance efforts on the Agriculture Victoria website.</w:t>
            </w:r>
          </w:p>
          <w:p w14:paraId="3E580082" w14:textId="77777777" w:rsidR="00DC3CEA" w:rsidRPr="00550001" w:rsidRDefault="00DC3CEA" w:rsidP="002E318E">
            <w:pPr>
              <w:pStyle w:val="ListParagraph"/>
              <w:numPr>
                <w:ilvl w:val="0"/>
                <w:numId w:val="2"/>
              </w:numPr>
              <w:spacing w:before="0"/>
              <w:rPr>
                <w:rFonts w:cs="Arial"/>
                <w:b/>
                <w:bCs/>
                <w:color w:val="000000" w:themeColor="text1"/>
                <w:sz w:val="20"/>
              </w:rPr>
            </w:pPr>
            <w:r w:rsidRPr="00550001">
              <w:rPr>
                <w:rFonts w:cs="Arial"/>
                <w:color w:val="000000" w:themeColor="text1"/>
                <w:sz w:val="20"/>
              </w:rPr>
              <w:t>Relevant reports to be made available on website, including:</w:t>
            </w:r>
          </w:p>
          <w:p w14:paraId="1FC53F4B" w14:textId="551AB1FD" w:rsidR="00DC3CEA" w:rsidRPr="00550001" w:rsidRDefault="00DC3CEA" w:rsidP="00174124">
            <w:pPr>
              <w:pStyle w:val="ListParagraph"/>
              <w:numPr>
                <w:ilvl w:val="0"/>
                <w:numId w:val="9"/>
              </w:numPr>
              <w:spacing w:before="0"/>
              <w:rPr>
                <w:rFonts w:cs="Arial"/>
                <w:b/>
                <w:bCs/>
                <w:color w:val="000000" w:themeColor="text1"/>
                <w:sz w:val="20"/>
              </w:rPr>
            </w:pPr>
            <w:r w:rsidRPr="00550001">
              <w:rPr>
                <w:rFonts w:cs="Arial"/>
                <w:color w:val="000000" w:themeColor="text1"/>
                <w:sz w:val="20"/>
              </w:rPr>
              <w:t>Animal Use Statistics Reports</w:t>
            </w:r>
            <w:r w:rsidR="00336F79">
              <w:rPr>
                <w:rFonts w:cs="Arial"/>
                <w:color w:val="000000" w:themeColor="text1"/>
                <w:sz w:val="20"/>
              </w:rPr>
              <w:t>.</w:t>
            </w:r>
          </w:p>
          <w:p w14:paraId="77414899" w14:textId="558E6324" w:rsidR="00DC3CEA" w:rsidRPr="008B380F" w:rsidRDefault="00DC3CEA" w:rsidP="008B380F">
            <w:pPr>
              <w:pStyle w:val="ListParagraph"/>
              <w:numPr>
                <w:ilvl w:val="0"/>
                <w:numId w:val="9"/>
              </w:numPr>
              <w:spacing w:before="0"/>
              <w:rPr>
                <w:rFonts w:cs="Arial"/>
                <w:b/>
                <w:bCs/>
                <w:color w:val="auto"/>
                <w:sz w:val="20"/>
              </w:rPr>
            </w:pPr>
            <w:r w:rsidRPr="00550001">
              <w:rPr>
                <w:rFonts w:cs="Arial"/>
                <w:color w:val="000000" w:themeColor="text1"/>
                <w:sz w:val="20"/>
              </w:rPr>
              <w:t xml:space="preserve">Relevant extracts on compliance monitoring and outcomes from the </w:t>
            </w:r>
            <w:r w:rsidR="00F940F1" w:rsidRPr="00F940F1">
              <w:rPr>
                <w:rFonts w:cs="Arial"/>
                <w:color w:val="000000" w:themeColor="text1"/>
                <w:sz w:val="20"/>
              </w:rPr>
              <w:t xml:space="preserve">Biosecurity and Agriculture Services </w:t>
            </w:r>
            <w:r w:rsidRPr="00550001">
              <w:rPr>
                <w:rFonts w:cs="Arial"/>
                <w:color w:val="000000" w:themeColor="text1"/>
                <w:sz w:val="20"/>
              </w:rPr>
              <w:t>Summary Outcomes Report 2022-2023</w:t>
            </w:r>
            <w:r w:rsidR="008642AE">
              <w:rPr>
                <w:rFonts w:cs="Arial"/>
                <w:color w:val="000000" w:themeColor="text1"/>
                <w:sz w:val="20"/>
              </w:rPr>
              <w:t>.</w:t>
            </w:r>
          </w:p>
        </w:tc>
        <w:tc>
          <w:tcPr>
            <w:tcW w:w="0" w:type="auto"/>
          </w:tcPr>
          <w:p w14:paraId="5606B1D7" w14:textId="5430FB6C" w:rsidR="00DC3CEA" w:rsidRPr="003842D0" w:rsidRDefault="00C15C50" w:rsidP="00174124">
            <w:pPr>
              <w:pStyle w:val="ListParagraph"/>
              <w:numPr>
                <w:ilvl w:val="0"/>
                <w:numId w:val="23"/>
              </w:numPr>
              <w:spacing w:before="0" w:after="0"/>
              <w:ind w:left="360"/>
              <w:rPr>
                <w:rFonts w:cs="Arial"/>
                <w:color w:val="auto"/>
                <w:sz w:val="20"/>
              </w:rPr>
            </w:pPr>
            <w:r w:rsidRPr="003842D0">
              <w:rPr>
                <w:rFonts w:cs="Arial"/>
                <w:b/>
                <w:color w:val="auto"/>
                <w:sz w:val="20"/>
              </w:rPr>
              <w:t>Transparency in Animal Use</w:t>
            </w:r>
            <w:r w:rsidR="5BF4F0E8" w:rsidRPr="003842D0" w:rsidDel="00C15C50">
              <w:rPr>
                <w:rFonts w:cs="Arial"/>
                <w:b/>
                <w:color w:val="auto"/>
                <w:sz w:val="20"/>
              </w:rPr>
              <w:t xml:space="preserve"> Reporting</w:t>
            </w:r>
            <w:r w:rsidR="5BF4F0E8" w:rsidRPr="003842D0">
              <w:rPr>
                <w:rFonts w:cs="Arial"/>
                <w:b/>
                <w:bCs/>
                <w:color w:val="auto"/>
                <w:sz w:val="20"/>
              </w:rPr>
              <w:t xml:space="preserve">: </w:t>
            </w:r>
            <w:r w:rsidR="5BF4F0E8" w:rsidRPr="003842D0">
              <w:rPr>
                <w:rFonts w:cs="Arial"/>
                <w:color w:val="auto"/>
                <w:sz w:val="20"/>
              </w:rPr>
              <w:t>The</w:t>
            </w:r>
            <w:r w:rsidR="00D16E15">
              <w:rPr>
                <w:rFonts w:cs="Arial"/>
                <w:color w:val="auto"/>
                <w:sz w:val="20"/>
              </w:rPr>
              <w:t xml:space="preserve"> 2021</w:t>
            </w:r>
            <w:r w:rsidR="5BF4F0E8" w:rsidRPr="003842D0">
              <w:rPr>
                <w:rFonts w:cs="Arial"/>
                <w:color w:val="auto"/>
                <w:sz w:val="20"/>
              </w:rPr>
              <w:t xml:space="preserve"> </w:t>
            </w:r>
            <w:hyperlink r:id="rId16">
              <w:r w:rsidR="5BF4F0E8" w:rsidRPr="003842D0">
                <w:rPr>
                  <w:rStyle w:val="Hyperlink"/>
                  <w:rFonts w:cs="Arial"/>
                  <w:sz w:val="20"/>
                </w:rPr>
                <w:t>Animal Welfare Victoria Statistics of animal use in research and teaching, Victoria report</w:t>
              </w:r>
            </w:hyperlink>
            <w:r w:rsidR="5BF4F0E8" w:rsidRPr="003842D0">
              <w:rPr>
                <w:rFonts w:cs="Arial"/>
                <w:color w:val="auto"/>
                <w:sz w:val="20"/>
              </w:rPr>
              <w:t xml:space="preserve"> was released in February 2024, highlighting ongoing commitment to transparency. </w:t>
            </w:r>
            <w:r w:rsidR="003A3C38" w:rsidRPr="003842D0">
              <w:rPr>
                <w:rFonts w:cs="Arial"/>
                <w:color w:val="auto"/>
                <w:sz w:val="20"/>
              </w:rPr>
              <w:t>Plans are in place to publish the 2022 report in the second half of 2024, with verification of 2023 animal use returns currently underway.</w:t>
            </w:r>
          </w:p>
        </w:tc>
      </w:tr>
      <w:tr w:rsidR="00303D1B" w:rsidRPr="007A0ADC" w14:paraId="146CCBDB" w14:textId="3AACE5EC" w:rsidTr="67285148">
        <w:trPr>
          <w:trHeight w:val="518"/>
        </w:trPr>
        <w:tc>
          <w:tcPr>
            <w:tcW w:w="0" w:type="auto"/>
            <w:vMerge w:val="restart"/>
          </w:tcPr>
          <w:p w14:paraId="091CE006" w14:textId="456EC3DF" w:rsidR="00DC3CEA" w:rsidRPr="00DC3CEA" w:rsidRDefault="00457A54" w:rsidP="007673BE">
            <w:pPr>
              <w:spacing w:before="0"/>
              <w:rPr>
                <w:rFonts w:cs="Arial"/>
                <w:b/>
                <w:bCs/>
                <w:color w:val="auto"/>
                <w:sz w:val="20"/>
              </w:rPr>
            </w:pPr>
            <w:r>
              <w:rPr>
                <w:rFonts w:cs="Arial"/>
                <w:b/>
                <w:bCs/>
                <w:color w:val="auto"/>
                <w:sz w:val="20"/>
              </w:rPr>
              <w:t>Proactively</w:t>
            </w:r>
            <w:r w:rsidR="002B7593">
              <w:rPr>
                <w:rFonts w:cs="Arial"/>
                <w:b/>
                <w:bCs/>
                <w:color w:val="auto"/>
                <w:sz w:val="20"/>
              </w:rPr>
              <w:t xml:space="preserve"> </w:t>
            </w:r>
            <w:r>
              <w:rPr>
                <w:rFonts w:cs="Arial"/>
                <w:b/>
                <w:bCs/>
                <w:color w:val="auto"/>
                <w:sz w:val="20"/>
              </w:rPr>
              <w:t>engage</w:t>
            </w:r>
            <w:r w:rsidR="002B7593">
              <w:rPr>
                <w:rFonts w:cs="Arial"/>
                <w:b/>
                <w:bCs/>
                <w:color w:val="auto"/>
                <w:sz w:val="20"/>
              </w:rPr>
              <w:t xml:space="preserve"> with external stakeholder</w:t>
            </w:r>
            <w:r>
              <w:rPr>
                <w:rFonts w:cs="Arial"/>
                <w:b/>
                <w:bCs/>
                <w:color w:val="auto"/>
                <w:sz w:val="20"/>
              </w:rPr>
              <w:t>s</w:t>
            </w:r>
            <w:r w:rsidR="002B7593">
              <w:rPr>
                <w:rFonts w:cs="Arial"/>
                <w:b/>
                <w:bCs/>
                <w:color w:val="auto"/>
                <w:sz w:val="20"/>
              </w:rPr>
              <w:t xml:space="preserve"> through workshops and education tools to </w:t>
            </w:r>
            <w:r>
              <w:rPr>
                <w:rFonts w:cs="Arial"/>
                <w:b/>
                <w:bCs/>
                <w:color w:val="auto"/>
                <w:sz w:val="20"/>
              </w:rPr>
              <w:t>manage</w:t>
            </w:r>
            <w:r w:rsidR="002B7593">
              <w:rPr>
                <w:rFonts w:cs="Arial"/>
                <w:b/>
                <w:bCs/>
                <w:color w:val="auto"/>
                <w:sz w:val="20"/>
              </w:rPr>
              <w:t xml:space="preserve"> </w:t>
            </w:r>
            <w:r>
              <w:rPr>
                <w:rFonts w:cs="Arial"/>
                <w:b/>
                <w:bCs/>
                <w:color w:val="auto"/>
                <w:sz w:val="20"/>
              </w:rPr>
              <w:t>risk</w:t>
            </w:r>
            <w:r w:rsidR="002B7593">
              <w:rPr>
                <w:rFonts w:cs="Arial"/>
                <w:b/>
                <w:bCs/>
                <w:color w:val="auto"/>
                <w:sz w:val="20"/>
              </w:rPr>
              <w:t xml:space="preserve"> and </w:t>
            </w:r>
            <w:r w:rsidR="007468DF">
              <w:rPr>
                <w:rFonts w:cs="Arial"/>
                <w:b/>
                <w:bCs/>
                <w:color w:val="auto"/>
                <w:sz w:val="20"/>
              </w:rPr>
              <w:t xml:space="preserve">support </w:t>
            </w:r>
            <w:r w:rsidR="007468DF" w:rsidRPr="00DC3CEA">
              <w:rPr>
                <w:rFonts w:cs="Arial"/>
                <w:b/>
                <w:bCs/>
                <w:color w:val="auto"/>
                <w:sz w:val="20"/>
              </w:rPr>
              <w:t>stakeholders</w:t>
            </w:r>
            <w:r w:rsidR="00DC3CEA" w:rsidRPr="00DC3CEA">
              <w:rPr>
                <w:rFonts w:cs="Arial"/>
                <w:b/>
                <w:bCs/>
                <w:color w:val="auto"/>
                <w:sz w:val="20"/>
              </w:rPr>
              <w:t xml:space="preserve"> </w:t>
            </w:r>
            <w:r>
              <w:rPr>
                <w:rFonts w:cs="Arial"/>
                <w:b/>
                <w:bCs/>
                <w:color w:val="auto"/>
                <w:sz w:val="20"/>
              </w:rPr>
              <w:t xml:space="preserve">to </w:t>
            </w:r>
            <w:r w:rsidR="00DC3CEA" w:rsidRPr="00DC3CEA">
              <w:rPr>
                <w:rFonts w:cs="Arial"/>
                <w:b/>
                <w:bCs/>
                <w:color w:val="auto"/>
                <w:sz w:val="20"/>
              </w:rPr>
              <w:t>comply with requirements</w:t>
            </w:r>
            <w:r w:rsidR="00DC3CEA" w:rsidRPr="00DC3CEA">
              <w:rPr>
                <w:b/>
                <w:bCs/>
                <w:color w:val="auto"/>
                <w:sz w:val="20"/>
              </w:rPr>
              <w:t>.</w:t>
            </w:r>
          </w:p>
        </w:tc>
        <w:tc>
          <w:tcPr>
            <w:tcW w:w="0" w:type="auto"/>
          </w:tcPr>
          <w:p w14:paraId="4384AF9B" w14:textId="77777777" w:rsidR="00DC3CEA" w:rsidRPr="00BD0E68" w:rsidRDefault="00DC3CEA" w:rsidP="00BD0E68">
            <w:pPr>
              <w:pStyle w:val="ListParagraph"/>
              <w:numPr>
                <w:ilvl w:val="0"/>
                <w:numId w:val="3"/>
              </w:numPr>
              <w:spacing w:before="0" w:after="0"/>
              <w:rPr>
                <w:color w:val="auto"/>
                <w:sz w:val="20"/>
              </w:rPr>
            </w:pPr>
            <w:r w:rsidRPr="007A0ADC">
              <w:rPr>
                <w:rFonts w:cs="Arial"/>
                <w:color w:val="auto"/>
                <w:sz w:val="20"/>
              </w:rPr>
              <w:t>Undertake targeted stakeholder engagement activities to improve compliance approaches.</w:t>
            </w:r>
          </w:p>
          <w:p w14:paraId="5271F38F" w14:textId="5757F063" w:rsidR="00DC3CEA" w:rsidRPr="008F2DDB" w:rsidRDefault="00DC3CEA" w:rsidP="002E318E">
            <w:pPr>
              <w:pStyle w:val="ListParagraph"/>
              <w:numPr>
                <w:ilvl w:val="0"/>
                <w:numId w:val="3"/>
              </w:numPr>
              <w:spacing w:before="0" w:after="0"/>
              <w:rPr>
                <w:color w:val="000000" w:themeColor="text1"/>
                <w:sz w:val="20"/>
              </w:rPr>
            </w:pPr>
            <w:r w:rsidRPr="008F2DDB">
              <w:rPr>
                <w:color w:val="000000" w:themeColor="text1"/>
                <w:sz w:val="20"/>
              </w:rPr>
              <w:t>Provide input into the Council Quarterly Bulletin related to domestic animals.</w:t>
            </w:r>
          </w:p>
          <w:p w14:paraId="20316FD8" w14:textId="63ADDEE7" w:rsidR="00DC3CEA" w:rsidRPr="008F2DDB" w:rsidRDefault="00DC3CEA" w:rsidP="00BD0E68">
            <w:pPr>
              <w:pStyle w:val="ListParagraph"/>
              <w:numPr>
                <w:ilvl w:val="0"/>
                <w:numId w:val="3"/>
              </w:numPr>
              <w:spacing w:before="0" w:after="0"/>
              <w:rPr>
                <w:color w:val="000000" w:themeColor="text1"/>
                <w:sz w:val="20"/>
              </w:rPr>
            </w:pPr>
            <w:r w:rsidRPr="008F2DDB">
              <w:rPr>
                <w:color w:val="000000" w:themeColor="text1"/>
                <w:sz w:val="20"/>
              </w:rPr>
              <w:t xml:space="preserve">Prepare project scoping for targeted enforcement project in </w:t>
            </w:r>
            <w:r w:rsidRPr="008F2DDB">
              <w:rPr>
                <w:color w:val="000000" w:themeColor="text1"/>
                <w:sz w:val="20"/>
              </w:rPr>
              <w:lastRenderedPageBreak/>
              <w:t>traceability with industry engagement.</w:t>
            </w:r>
          </w:p>
          <w:p w14:paraId="16E75301" w14:textId="5CE84BD6" w:rsidR="00DC3CEA" w:rsidRPr="008F2DDB" w:rsidRDefault="00DC3CEA" w:rsidP="00BD0E68">
            <w:pPr>
              <w:pStyle w:val="ListParagraph"/>
              <w:numPr>
                <w:ilvl w:val="0"/>
                <w:numId w:val="3"/>
              </w:numPr>
              <w:spacing w:before="0" w:after="0"/>
              <w:rPr>
                <w:color w:val="000000" w:themeColor="text1"/>
                <w:sz w:val="20"/>
              </w:rPr>
            </w:pPr>
            <w:r w:rsidRPr="008F2DDB">
              <w:rPr>
                <w:color w:val="000000" w:themeColor="text1"/>
                <w:sz w:val="20"/>
              </w:rPr>
              <w:t>Deliver Partnerships Against Pests grants program to facilitate community led stakeholder engagement activities to improve voluntary compliance.</w:t>
            </w:r>
          </w:p>
          <w:p w14:paraId="33D7CE57" w14:textId="161055EF" w:rsidR="00DC3CEA" w:rsidRPr="002E318E" w:rsidRDefault="00DC3CEA" w:rsidP="002E318E">
            <w:pPr>
              <w:spacing w:before="0" w:after="0"/>
              <w:rPr>
                <w:color w:val="auto"/>
                <w:sz w:val="20"/>
              </w:rPr>
            </w:pPr>
          </w:p>
        </w:tc>
        <w:tc>
          <w:tcPr>
            <w:tcW w:w="0" w:type="auto"/>
          </w:tcPr>
          <w:p w14:paraId="4CBE0F90" w14:textId="4AD7D718" w:rsidR="00CB7A9B" w:rsidRPr="00C34AAD" w:rsidRDefault="00CB7A9B" w:rsidP="00174124">
            <w:pPr>
              <w:pStyle w:val="ListParagraph"/>
              <w:numPr>
                <w:ilvl w:val="0"/>
                <w:numId w:val="24"/>
              </w:numPr>
              <w:spacing w:before="0" w:after="0"/>
              <w:ind w:left="360"/>
              <w:rPr>
                <w:rFonts w:cs="Arial"/>
                <w:color w:val="auto"/>
                <w:sz w:val="20"/>
              </w:rPr>
            </w:pPr>
            <w:r w:rsidRPr="00C34AAD">
              <w:rPr>
                <w:rFonts w:cs="Arial"/>
                <w:b/>
                <w:color w:val="auto"/>
                <w:sz w:val="20"/>
              </w:rPr>
              <w:lastRenderedPageBreak/>
              <w:t xml:space="preserve">Collaboration with CPMGs: </w:t>
            </w:r>
            <w:r w:rsidRPr="00C34AAD">
              <w:rPr>
                <w:rFonts w:cs="Arial"/>
                <w:color w:val="auto"/>
                <w:sz w:val="20"/>
              </w:rPr>
              <w:t>Agriculture Victoria continue</w:t>
            </w:r>
            <w:r w:rsidR="003E22D2">
              <w:rPr>
                <w:rFonts w:cs="Arial"/>
                <w:color w:val="auto"/>
                <w:sz w:val="20"/>
              </w:rPr>
              <w:t>d</w:t>
            </w:r>
            <w:r w:rsidRPr="00C34AAD">
              <w:rPr>
                <w:rFonts w:cs="Arial"/>
                <w:color w:val="auto"/>
                <w:sz w:val="20"/>
              </w:rPr>
              <w:t xml:space="preserve"> its successful collaboration with four state-wide Community Pest Management Groups, including the Victorian Rabbit Action Network, Victorian Gorse Taskforce, Victorian Blackberry Taskforce, and Victorian Serrated Tussock Working Party. By providing project management support and annual operational funding, Agriculture Victoria promotes compliance and shared responsibility among stakeholders through education and guidance material.</w:t>
            </w:r>
          </w:p>
          <w:p w14:paraId="3267D337" w14:textId="03F5392F" w:rsidR="00CB7A9B" w:rsidRPr="00C34AAD" w:rsidRDefault="00CB7A9B" w:rsidP="00174124">
            <w:pPr>
              <w:pStyle w:val="ListParagraph"/>
              <w:numPr>
                <w:ilvl w:val="0"/>
                <w:numId w:val="24"/>
              </w:numPr>
              <w:spacing w:before="0" w:after="0"/>
              <w:ind w:left="360"/>
              <w:rPr>
                <w:rFonts w:cs="Arial"/>
                <w:color w:val="auto"/>
                <w:sz w:val="20"/>
              </w:rPr>
            </w:pPr>
            <w:r w:rsidRPr="00C34AAD">
              <w:rPr>
                <w:rFonts w:cs="Arial"/>
                <w:b/>
                <w:color w:val="auto"/>
                <w:sz w:val="20"/>
              </w:rPr>
              <w:t xml:space="preserve">Dissemination of Future Directions Report: </w:t>
            </w:r>
            <w:r w:rsidRPr="00C34AAD">
              <w:rPr>
                <w:rFonts w:cs="Arial"/>
                <w:color w:val="auto"/>
                <w:sz w:val="20"/>
              </w:rPr>
              <w:t xml:space="preserve">The October 2021 Future Directions Report on the Review of Community Led Management of Established </w:t>
            </w:r>
            <w:r w:rsidRPr="00C34AAD">
              <w:rPr>
                <w:rFonts w:cs="Arial"/>
                <w:color w:val="auto"/>
                <w:sz w:val="20"/>
              </w:rPr>
              <w:lastRenderedPageBreak/>
              <w:t xml:space="preserve">Pests </w:t>
            </w:r>
            <w:r w:rsidR="00F108C1">
              <w:rPr>
                <w:rFonts w:cs="Arial"/>
                <w:color w:val="auto"/>
                <w:sz w:val="20"/>
              </w:rPr>
              <w:t>was</w:t>
            </w:r>
            <w:r w:rsidRPr="00C34AAD">
              <w:rPr>
                <w:rFonts w:cs="Arial"/>
                <w:color w:val="auto"/>
                <w:sz w:val="20"/>
              </w:rPr>
              <w:t xml:space="preserve"> shared with the four CPMGs, facilitating informed discussions and feedback on the report recommendations.</w:t>
            </w:r>
          </w:p>
          <w:p w14:paraId="541EBEE5" w14:textId="377DDC6E" w:rsidR="00CB7A9B" w:rsidRPr="00C34AAD" w:rsidRDefault="00CB7A9B" w:rsidP="00174124">
            <w:pPr>
              <w:pStyle w:val="ListParagraph"/>
              <w:numPr>
                <w:ilvl w:val="0"/>
                <w:numId w:val="24"/>
              </w:numPr>
              <w:spacing w:before="0" w:after="0"/>
              <w:ind w:left="360"/>
              <w:rPr>
                <w:rFonts w:cs="Arial"/>
                <w:color w:val="auto"/>
                <w:sz w:val="20"/>
              </w:rPr>
            </w:pPr>
            <w:r w:rsidRPr="00C34AAD">
              <w:rPr>
                <w:rFonts w:cs="Arial"/>
                <w:b/>
                <w:color w:val="auto"/>
                <w:sz w:val="20"/>
              </w:rPr>
              <w:t xml:space="preserve">Input into Council Quarterly Bulletin: </w:t>
            </w:r>
            <w:r w:rsidRPr="00C34AAD">
              <w:rPr>
                <w:rFonts w:cs="Arial"/>
                <w:color w:val="auto"/>
                <w:sz w:val="20"/>
              </w:rPr>
              <w:t xml:space="preserve">Agriculture Victoria </w:t>
            </w:r>
            <w:r w:rsidR="00DF45C6" w:rsidRPr="00C34AAD">
              <w:rPr>
                <w:rFonts w:cs="Arial"/>
                <w:color w:val="auto"/>
                <w:sz w:val="20"/>
              </w:rPr>
              <w:t>contribute</w:t>
            </w:r>
            <w:r w:rsidR="00DF45C6">
              <w:rPr>
                <w:rFonts w:cs="Arial"/>
                <w:color w:val="auto"/>
                <w:sz w:val="20"/>
              </w:rPr>
              <w:t>d</w:t>
            </w:r>
            <w:r w:rsidR="00DF45C6" w:rsidRPr="00C34AAD">
              <w:rPr>
                <w:rFonts w:cs="Arial"/>
                <w:color w:val="auto"/>
                <w:sz w:val="20"/>
              </w:rPr>
              <w:t xml:space="preserve"> </w:t>
            </w:r>
            <w:r w:rsidRPr="00C34AAD">
              <w:rPr>
                <w:rFonts w:cs="Arial"/>
                <w:color w:val="auto"/>
                <w:sz w:val="20"/>
              </w:rPr>
              <w:t>input into a Council Quarterly Bulletin regarding domestic animals as deemed appropriate, enhancing communication and collaboration with relevant stakeholders.</w:t>
            </w:r>
          </w:p>
          <w:p w14:paraId="0D49832A" w14:textId="77777777" w:rsidR="005B1568" w:rsidRDefault="00CB7A9B" w:rsidP="005B1568">
            <w:pPr>
              <w:pStyle w:val="ListParagraph"/>
              <w:numPr>
                <w:ilvl w:val="0"/>
                <w:numId w:val="24"/>
              </w:numPr>
              <w:spacing w:before="0" w:after="0"/>
              <w:ind w:left="360"/>
              <w:rPr>
                <w:rFonts w:cs="Arial"/>
                <w:color w:val="auto"/>
                <w:sz w:val="20"/>
              </w:rPr>
            </w:pPr>
            <w:r w:rsidRPr="00C34AAD">
              <w:rPr>
                <w:rFonts w:cs="Arial"/>
                <w:b/>
                <w:color w:val="auto"/>
                <w:sz w:val="20"/>
              </w:rPr>
              <w:t xml:space="preserve">Support for Animal Ethics Committees (AECs) and Licence Holders: </w:t>
            </w:r>
            <w:r w:rsidRPr="00C34AAD">
              <w:rPr>
                <w:rFonts w:cs="Arial"/>
                <w:color w:val="auto"/>
                <w:sz w:val="20"/>
              </w:rPr>
              <w:t xml:space="preserve">Agriculture Victoria </w:t>
            </w:r>
            <w:r w:rsidR="003D06F7" w:rsidRPr="00C34AAD">
              <w:rPr>
                <w:rFonts w:cs="Arial"/>
                <w:color w:val="auto"/>
                <w:sz w:val="20"/>
              </w:rPr>
              <w:t>support</w:t>
            </w:r>
            <w:r w:rsidR="003D06F7">
              <w:rPr>
                <w:rFonts w:cs="Arial"/>
                <w:color w:val="auto"/>
                <w:sz w:val="20"/>
              </w:rPr>
              <w:t>ed</w:t>
            </w:r>
            <w:r w:rsidR="003D06F7" w:rsidRPr="00C34AAD">
              <w:rPr>
                <w:rFonts w:cs="Arial"/>
                <w:color w:val="auto"/>
                <w:sz w:val="20"/>
              </w:rPr>
              <w:t xml:space="preserve"> </w:t>
            </w:r>
            <w:r w:rsidRPr="00C34AAD">
              <w:rPr>
                <w:rFonts w:cs="Arial"/>
                <w:color w:val="auto"/>
                <w:sz w:val="20"/>
              </w:rPr>
              <w:t xml:space="preserve">the ethical use of animals by working closely with registered AECs and over 225 current Victorian scientific licence holders. In August 2022, Agriculture Victoria developed a self-paced </w:t>
            </w:r>
            <w:r w:rsidR="00224F8B">
              <w:rPr>
                <w:rFonts w:cs="Arial"/>
                <w:color w:val="auto"/>
                <w:sz w:val="20"/>
              </w:rPr>
              <w:t>e-learning</w:t>
            </w:r>
            <w:r w:rsidRPr="00C34AAD">
              <w:rPr>
                <w:rFonts w:cs="Arial"/>
                <w:color w:val="auto"/>
                <w:sz w:val="20"/>
              </w:rPr>
              <w:t xml:space="preserve"> module to support AEC members and licence holders in decision-making, with over </w:t>
            </w:r>
            <w:r w:rsidR="00525A68">
              <w:rPr>
                <w:rFonts w:cs="Arial"/>
                <w:color w:val="auto"/>
                <w:sz w:val="20"/>
              </w:rPr>
              <w:t>480</w:t>
            </w:r>
            <w:r w:rsidR="006A5989" w:rsidRPr="00C34AAD">
              <w:rPr>
                <w:rFonts w:cs="Arial"/>
                <w:color w:val="auto"/>
                <w:sz w:val="20"/>
              </w:rPr>
              <w:t xml:space="preserve"> </w:t>
            </w:r>
            <w:r w:rsidRPr="00C34AAD">
              <w:rPr>
                <w:rFonts w:cs="Arial"/>
                <w:color w:val="auto"/>
                <w:sz w:val="20"/>
              </w:rPr>
              <w:t>individuals completing the training.</w:t>
            </w:r>
          </w:p>
          <w:p w14:paraId="0B31E6B8" w14:textId="719C1E76" w:rsidR="003B4EEF" w:rsidRPr="005B1568" w:rsidRDefault="00CB7A9B" w:rsidP="005B1568">
            <w:pPr>
              <w:pStyle w:val="ListParagraph"/>
              <w:numPr>
                <w:ilvl w:val="0"/>
                <w:numId w:val="24"/>
              </w:numPr>
              <w:spacing w:before="0" w:after="0"/>
              <w:ind w:left="360"/>
              <w:rPr>
                <w:rFonts w:cs="Arial"/>
                <w:color w:val="auto"/>
                <w:sz w:val="20"/>
              </w:rPr>
            </w:pPr>
            <w:r w:rsidRPr="005B1568">
              <w:rPr>
                <w:rFonts w:cs="Arial"/>
                <w:b/>
                <w:color w:val="auto"/>
                <w:sz w:val="20"/>
              </w:rPr>
              <w:t xml:space="preserve">Delivery of Partnerships Against Pests Grants: </w:t>
            </w:r>
            <w:r w:rsidRPr="005B1568">
              <w:rPr>
                <w:rFonts w:cs="Arial"/>
                <w:color w:val="auto"/>
                <w:sz w:val="20"/>
              </w:rPr>
              <w:t>Agriculture Victoria successfully delivered Round 2 of the Partnerships Against Pests grant in May 2024, facilitating community-led stakeholder engagement activities to improve voluntary compliance. Planning for Round 3 is underway, with delivery expected in Q2 2024-25, further enhancing collaboration and compliance efforts.</w:t>
            </w:r>
          </w:p>
        </w:tc>
      </w:tr>
      <w:tr w:rsidR="00303D1B" w:rsidRPr="007A0ADC" w14:paraId="68E29D8E" w14:textId="35BB7FE9" w:rsidTr="67285148">
        <w:trPr>
          <w:trHeight w:val="845"/>
        </w:trPr>
        <w:tc>
          <w:tcPr>
            <w:tcW w:w="0" w:type="auto"/>
            <w:vMerge/>
          </w:tcPr>
          <w:p w14:paraId="28DDE36B" w14:textId="77777777" w:rsidR="00DC3CEA" w:rsidRPr="007A0ADC" w:rsidRDefault="00DC3CEA" w:rsidP="007673BE">
            <w:pPr>
              <w:spacing w:before="0"/>
              <w:rPr>
                <w:rFonts w:cs="Arial"/>
                <w:b/>
                <w:bCs/>
                <w:color w:val="auto"/>
                <w:sz w:val="20"/>
              </w:rPr>
            </w:pPr>
          </w:p>
        </w:tc>
        <w:tc>
          <w:tcPr>
            <w:tcW w:w="0" w:type="auto"/>
          </w:tcPr>
          <w:p w14:paraId="00F9EF33" w14:textId="77777777" w:rsidR="00DC3CEA" w:rsidRPr="00BD0E68" w:rsidRDefault="00DC3CEA" w:rsidP="00BD0E68">
            <w:pPr>
              <w:pStyle w:val="ListParagraph"/>
              <w:numPr>
                <w:ilvl w:val="0"/>
                <w:numId w:val="3"/>
              </w:numPr>
              <w:spacing w:before="0" w:after="0"/>
              <w:rPr>
                <w:color w:val="auto"/>
                <w:sz w:val="20"/>
              </w:rPr>
            </w:pPr>
            <w:r w:rsidRPr="002E318E">
              <w:rPr>
                <w:rFonts w:cs="Arial"/>
                <w:color w:val="auto"/>
                <w:sz w:val="20"/>
              </w:rPr>
              <w:t>Engage with stakeholders in community of practice and forums.</w:t>
            </w:r>
          </w:p>
          <w:p w14:paraId="51D2979C" w14:textId="36B252BA" w:rsidR="00DC3CEA" w:rsidRPr="008A2600" w:rsidRDefault="00DC3CEA" w:rsidP="00BD0E68">
            <w:pPr>
              <w:pStyle w:val="ListParagraph"/>
              <w:numPr>
                <w:ilvl w:val="0"/>
                <w:numId w:val="3"/>
              </w:numPr>
              <w:spacing w:before="0" w:after="0"/>
              <w:rPr>
                <w:color w:val="FF0000"/>
                <w:sz w:val="20"/>
              </w:rPr>
            </w:pPr>
            <w:r w:rsidRPr="008A2600">
              <w:rPr>
                <w:color w:val="000000" w:themeColor="text1"/>
                <w:sz w:val="20"/>
              </w:rPr>
              <w:t>Biosecurity Reference Group</w:t>
            </w:r>
          </w:p>
          <w:p w14:paraId="3999241D" w14:textId="214F1242" w:rsidR="00DC3CEA" w:rsidRPr="000D03A5" w:rsidRDefault="00DC3CEA" w:rsidP="00BD0E68">
            <w:pPr>
              <w:pStyle w:val="ListParagraph"/>
              <w:numPr>
                <w:ilvl w:val="0"/>
                <w:numId w:val="3"/>
              </w:numPr>
              <w:spacing w:before="0" w:after="0"/>
              <w:rPr>
                <w:color w:val="000000" w:themeColor="text1"/>
                <w:sz w:val="20"/>
              </w:rPr>
            </w:pPr>
            <w:r w:rsidRPr="000D03A5">
              <w:rPr>
                <w:color w:val="000000" w:themeColor="text1"/>
                <w:sz w:val="20"/>
              </w:rPr>
              <w:t>Engagement with local government, RSPCA Victoria</w:t>
            </w:r>
            <w:r w:rsidR="00C43133">
              <w:rPr>
                <w:color w:val="000000" w:themeColor="text1"/>
                <w:sz w:val="20"/>
              </w:rPr>
              <w:t>,</w:t>
            </w:r>
            <w:r w:rsidRPr="000D03A5">
              <w:rPr>
                <w:color w:val="000000" w:themeColor="text1"/>
                <w:sz w:val="20"/>
              </w:rPr>
              <w:t xml:space="preserve"> and relevant stakeholder groups.</w:t>
            </w:r>
          </w:p>
          <w:p w14:paraId="1FC8E709" w14:textId="233EE048" w:rsidR="00DC3CEA" w:rsidRPr="000D03A5" w:rsidRDefault="00DC3CEA" w:rsidP="00BD0E68">
            <w:pPr>
              <w:pStyle w:val="ListParagraph"/>
              <w:numPr>
                <w:ilvl w:val="0"/>
                <w:numId w:val="3"/>
              </w:numPr>
              <w:spacing w:before="0" w:after="0"/>
              <w:rPr>
                <w:color w:val="000000" w:themeColor="text1"/>
                <w:sz w:val="20"/>
              </w:rPr>
            </w:pPr>
            <w:r w:rsidRPr="000D03A5">
              <w:rPr>
                <w:color w:val="000000" w:themeColor="text1"/>
                <w:sz w:val="20"/>
              </w:rPr>
              <w:t>Establishment and administration of the Victorian Invasive Pests Advisory Board (VIPA) and engagement with Community Pest Management Groups including:</w:t>
            </w:r>
          </w:p>
          <w:p w14:paraId="7954066E" w14:textId="778842B4" w:rsidR="00DC3CEA" w:rsidRPr="00B55CC6" w:rsidRDefault="00DC3CEA" w:rsidP="00174124">
            <w:pPr>
              <w:pStyle w:val="ListParagraph"/>
              <w:numPr>
                <w:ilvl w:val="0"/>
                <w:numId w:val="31"/>
              </w:numPr>
              <w:spacing w:before="0" w:after="0"/>
              <w:rPr>
                <w:color w:val="000000" w:themeColor="text1"/>
                <w:sz w:val="20"/>
              </w:rPr>
            </w:pPr>
            <w:r w:rsidRPr="00B55CC6">
              <w:rPr>
                <w:color w:val="000000" w:themeColor="text1"/>
                <w:sz w:val="20"/>
              </w:rPr>
              <w:t>Victorian Blackberry Taskforce</w:t>
            </w:r>
            <w:r w:rsidR="00336F79">
              <w:rPr>
                <w:color w:val="000000" w:themeColor="text1"/>
                <w:sz w:val="20"/>
              </w:rPr>
              <w:t>.</w:t>
            </w:r>
          </w:p>
          <w:p w14:paraId="278792B6" w14:textId="4064D691" w:rsidR="00DC3CEA" w:rsidRPr="00B55CC6" w:rsidRDefault="00DC3CEA" w:rsidP="00174124">
            <w:pPr>
              <w:pStyle w:val="ListParagraph"/>
              <w:numPr>
                <w:ilvl w:val="0"/>
                <w:numId w:val="31"/>
              </w:numPr>
              <w:spacing w:before="0" w:after="0"/>
              <w:rPr>
                <w:color w:val="000000" w:themeColor="text1"/>
                <w:sz w:val="20"/>
              </w:rPr>
            </w:pPr>
            <w:r w:rsidRPr="00B55CC6">
              <w:rPr>
                <w:color w:val="000000" w:themeColor="text1"/>
                <w:sz w:val="20"/>
              </w:rPr>
              <w:t>Victorian Gorse Taskforce</w:t>
            </w:r>
            <w:r w:rsidR="00336F79">
              <w:rPr>
                <w:color w:val="000000" w:themeColor="text1"/>
                <w:sz w:val="20"/>
              </w:rPr>
              <w:t>.</w:t>
            </w:r>
          </w:p>
          <w:p w14:paraId="17142790" w14:textId="1D2570CB" w:rsidR="00DC3CEA" w:rsidRPr="00B55CC6" w:rsidRDefault="00DC3CEA" w:rsidP="00174124">
            <w:pPr>
              <w:pStyle w:val="ListParagraph"/>
              <w:numPr>
                <w:ilvl w:val="0"/>
                <w:numId w:val="31"/>
              </w:numPr>
              <w:spacing w:before="0" w:after="0"/>
              <w:rPr>
                <w:color w:val="000000" w:themeColor="text1"/>
                <w:sz w:val="20"/>
              </w:rPr>
            </w:pPr>
            <w:r w:rsidRPr="00B55CC6">
              <w:rPr>
                <w:color w:val="000000" w:themeColor="text1"/>
                <w:sz w:val="20"/>
              </w:rPr>
              <w:t>Victorian Rabbit Action Network</w:t>
            </w:r>
            <w:r w:rsidR="00336F79">
              <w:rPr>
                <w:color w:val="000000" w:themeColor="text1"/>
                <w:sz w:val="20"/>
              </w:rPr>
              <w:t>.</w:t>
            </w:r>
          </w:p>
          <w:p w14:paraId="7B3E71D0" w14:textId="7C2B1DDC" w:rsidR="00DC3CEA" w:rsidRPr="00B55CC6" w:rsidRDefault="00DC3CEA" w:rsidP="00174124">
            <w:pPr>
              <w:pStyle w:val="ListParagraph"/>
              <w:numPr>
                <w:ilvl w:val="0"/>
                <w:numId w:val="31"/>
              </w:numPr>
              <w:spacing w:before="0" w:after="0"/>
              <w:rPr>
                <w:color w:val="000000" w:themeColor="text1"/>
                <w:sz w:val="20"/>
              </w:rPr>
            </w:pPr>
            <w:r w:rsidRPr="00B55CC6">
              <w:rPr>
                <w:color w:val="000000" w:themeColor="text1"/>
                <w:sz w:val="20"/>
              </w:rPr>
              <w:t>Victorian Serrated Tussock</w:t>
            </w:r>
            <w:r w:rsidR="00336F79">
              <w:rPr>
                <w:color w:val="000000" w:themeColor="text1"/>
                <w:sz w:val="20"/>
              </w:rPr>
              <w:t>.</w:t>
            </w:r>
            <w:r w:rsidRPr="00B55CC6">
              <w:rPr>
                <w:color w:val="000000" w:themeColor="text1"/>
                <w:sz w:val="20"/>
              </w:rPr>
              <w:t xml:space="preserve"> Working Party.</w:t>
            </w:r>
          </w:p>
          <w:p w14:paraId="636A5450" w14:textId="2006C826" w:rsidR="00DC3CEA" w:rsidRPr="006D4E5C" w:rsidRDefault="00DC3CEA" w:rsidP="00174124">
            <w:pPr>
              <w:pStyle w:val="ListParagraph"/>
              <w:numPr>
                <w:ilvl w:val="0"/>
                <w:numId w:val="10"/>
              </w:numPr>
              <w:spacing w:before="0" w:after="0"/>
              <w:rPr>
                <w:color w:val="FF0000"/>
                <w:sz w:val="20"/>
              </w:rPr>
            </w:pPr>
            <w:r w:rsidRPr="000D03A5">
              <w:rPr>
                <w:color w:val="000000" w:themeColor="text1"/>
                <w:sz w:val="20"/>
              </w:rPr>
              <w:t>Engagement with RSPCA Victoria.</w:t>
            </w:r>
          </w:p>
        </w:tc>
        <w:tc>
          <w:tcPr>
            <w:tcW w:w="0" w:type="auto"/>
          </w:tcPr>
          <w:p w14:paraId="6F8C63CF" w14:textId="536A6A31" w:rsidR="00A96595" w:rsidRPr="00C34AAD" w:rsidRDefault="00A96595" w:rsidP="007925F5">
            <w:pPr>
              <w:pStyle w:val="ListParagraph"/>
              <w:spacing w:before="0" w:after="0"/>
              <w:ind w:left="360"/>
              <w:rPr>
                <w:rFonts w:cs="Arial"/>
                <w:color w:val="auto"/>
                <w:sz w:val="20"/>
              </w:rPr>
            </w:pPr>
            <w:r w:rsidRPr="00C34AAD">
              <w:rPr>
                <w:rFonts w:cs="Arial"/>
                <w:b/>
                <w:color w:val="auto"/>
                <w:sz w:val="20"/>
              </w:rPr>
              <w:t>Stakeholder Engagement and Collaboration</w:t>
            </w:r>
            <w:r w:rsidRPr="00C34AAD">
              <w:rPr>
                <w:rFonts w:cs="Arial"/>
                <w:color w:val="auto"/>
                <w:sz w:val="20"/>
              </w:rPr>
              <w:t xml:space="preserve">: Agriculture Victoria </w:t>
            </w:r>
            <w:r w:rsidR="00AA4A4F" w:rsidRPr="00C34AAD">
              <w:rPr>
                <w:rFonts w:cs="Arial"/>
                <w:color w:val="auto"/>
                <w:sz w:val="20"/>
              </w:rPr>
              <w:t>maintain</w:t>
            </w:r>
            <w:r w:rsidR="00AA4A4F">
              <w:rPr>
                <w:rFonts w:cs="Arial"/>
                <w:color w:val="auto"/>
                <w:sz w:val="20"/>
              </w:rPr>
              <w:t>ed</w:t>
            </w:r>
            <w:r w:rsidR="00AA4A4F" w:rsidRPr="00C34AAD">
              <w:rPr>
                <w:rFonts w:cs="Arial"/>
                <w:color w:val="auto"/>
                <w:sz w:val="20"/>
              </w:rPr>
              <w:t xml:space="preserve"> </w:t>
            </w:r>
            <w:r w:rsidRPr="00C34AAD">
              <w:rPr>
                <w:rFonts w:cs="Arial"/>
                <w:color w:val="auto"/>
                <w:sz w:val="20"/>
              </w:rPr>
              <w:t>ongoing engagement with relevant stakeholders, actively participating in quarterly meetings with the Domestic Animals Working Group and RSPCA</w:t>
            </w:r>
            <w:r w:rsidR="0032170C">
              <w:rPr>
                <w:rFonts w:cs="Arial"/>
                <w:color w:val="auto"/>
                <w:sz w:val="20"/>
              </w:rPr>
              <w:t xml:space="preserve"> Victoria</w:t>
            </w:r>
            <w:r w:rsidRPr="00C34AAD">
              <w:rPr>
                <w:rFonts w:cs="Arial"/>
                <w:color w:val="auto"/>
                <w:sz w:val="20"/>
              </w:rPr>
              <w:t>. Additionally, meetings with dog and cat organi</w:t>
            </w:r>
            <w:r w:rsidR="00DA1A57" w:rsidRPr="00C34AAD">
              <w:rPr>
                <w:rFonts w:cs="Arial"/>
                <w:color w:val="auto"/>
                <w:sz w:val="20"/>
              </w:rPr>
              <w:t>s</w:t>
            </w:r>
            <w:r w:rsidRPr="00C34AAD">
              <w:rPr>
                <w:rFonts w:cs="Arial"/>
                <w:color w:val="auto"/>
                <w:sz w:val="20"/>
              </w:rPr>
              <w:t xml:space="preserve">ations </w:t>
            </w:r>
            <w:r w:rsidR="00AA4A4F">
              <w:rPr>
                <w:rFonts w:cs="Arial"/>
                <w:color w:val="auto"/>
                <w:sz w:val="20"/>
              </w:rPr>
              <w:t>were</w:t>
            </w:r>
            <w:r w:rsidRPr="00C34AAD">
              <w:rPr>
                <w:rFonts w:cs="Arial"/>
                <w:color w:val="auto"/>
                <w:sz w:val="20"/>
              </w:rPr>
              <w:t xml:space="preserve"> conducted to provide support and ensure stakeholders comply with requirements, fostering a culture of collaboration and shared responsibility.</w:t>
            </w:r>
          </w:p>
          <w:p w14:paraId="77DDFE32" w14:textId="08ADCC86" w:rsidR="00A96595" w:rsidRPr="00C34AAD" w:rsidRDefault="00A96595" w:rsidP="00174124">
            <w:pPr>
              <w:pStyle w:val="ListParagraph"/>
              <w:numPr>
                <w:ilvl w:val="0"/>
                <w:numId w:val="10"/>
              </w:numPr>
              <w:spacing w:before="0" w:after="0"/>
              <w:rPr>
                <w:rFonts w:cs="Arial"/>
                <w:color w:val="auto"/>
                <w:sz w:val="20"/>
              </w:rPr>
            </w:pPr>
            <w:r w:rsidRPr="00C34AAD">
              <w:rPr>
                <w:rFonts w:cs="Arial"/>
                <w:b/>
                <w:color w:val="auto"/>
                <w:sz w:val="20"/>
              </w:rPr>
              <w:t xml:space="preserve">Support for CPMGs: </w:t>
            </w:r>
            <w:r w:rsidRPr="00C34AAD">
              <w:rPr>
                <w:rFonts w:cs="Arial"/>
                <w:color w:val="auto"/>
                <w:sz w:val="20"/>
              </w:rPr>
              <w:t xml:space="preserve">Agriculture Victoria </w:t>
            </w:r>
            <w:r w:rsidR="00937722" w:rsidRPr="00C34AAD">
              <w:rPr>
                <w:rFonts w:cs="Arial"/>
                <w:color w:val="auto"/>
                <w:sz w:val="20"/>
              </w:rPr>
              <w:t>continue</w:t>
            </w:r>
            <w:r w:rsidR="00937722">
              <w:rPr>
                <w:rFonts w:cs="Arial"/>
                <w:color w:val="auto"/>
                <w:sz w:val="20"/>
              </w:rPr>
              <w:t>d</w:t>
            </w:r>
            <w:r w:rsidR="00AA4A4F" w:rsidRPr="00C34AAD">
              <w:rPr>
                <w:rFonts w:cs="Arial"/>
                <w:color w:val="auto"/>
                <w:sz w:val="20"/>
              </w:rPr>
              <w:t xml:space="preserve"> </w:t>
            </w:r>
            <w:r w:rsidRPr="00C34AAD">
              <w:rPr>
                <w:rFonts w:cs="Arial"/>
                <w:color w:val="auto"/>
                <w:sz w:val="20"/>
              </w:rPr>
              <w:t>its support for the four CPMGs by assisting in the delivery of their state-wide strategic plans. Through the provision of project management and annual operational funding, Agriculture Victoria strengthen</w:t>
            </w:r>
            <w:r w:rsidR="00AA4A4F">
              <w:rPr>
                <w:rFonts w:cs="Arial"/>
                <w:color w:val="auto"/>
                <w:sz w:val="20"/>
              </w:rPr>
              <w:t>ed</w:t>
            </w:r>
            <w:r w:rsidRPr="00C34AAD">
              <w:rPr>
                <w:rFonts w:cs="Arial"/>
                <w:color w:val="auto"/>
                <w:sz w:val="20"/>
              </w:rPr>
              <w:t xml:space="preserve"> the capacity of these groups to address pest management challenges.</w:t>
            </w:r>
          </w:p>
          <w:p w14:paraId="089E6A6C" w14:textId="7F4CF57F" w:rsidR="00DC3CEA" w:rsidRDefault="00A96595" w:rsidP="00174124">
            <w:pPr>
              <w:pStyle w:val="ListParagraph"/>
              <w:numPr>
                <w:ilvl w:val="0"/>
                <w:numId w:val="10"/>
              </w:numPr>
              <w:spacing w:before="0" w:after="0"/>
              <w:rPr>
                <w:rFonts w:cs="Arial"/>
                <w:color w:val="auto"/>
                <w:sz w:val="20"/>
              </w:rPr>
            </w:pPr>
            <w:r w:rsidRPr="00C34AAD">
              <w:rPr>
                <w:rFonts w:cs="Arial"/>
                <w:b/>
                <w:color w:val="auto"/>
                <w:sz w:val="20"/>
              </w:rPr>
              <w:t xml:space="preserve">Establishment of Victorian Invasive Pests Advisory Board: </w:t>
            </w:r>
            <w:r w:rsidRPr="00C34AAD">
              <w:rPr>
                <w:rFonts w:cs="Arial"/>
                <w:color w:val="auto"/>
                <w:sz w:val="20"/>
              </w:rPr>
              <w:t xml:space="preserve">The Victorian Invasive Pests Advisory Board was successfully established, with all members selected and onboarded </w:t>
            </w:r>
            <w:r w:rsidR="006427EA">
              <w:rPr>
                <w:rFonts w:cs="Arial"/>
                <w:color w:val="auto"/>
                <w:sz w:val="20"/>
              </w:rPr>
              <w:t>in</w:t>
            </w:r>
            <w:r w:rsidR="006427EA" w:rsidRPr="00C34AAD">
              <w:rPr>
                <w:rFonts w:cs="Arial"/>
                <w:color w:val="auto"/>
                <w:sz w:val="20"/>
              </w:rPr>
              <w:t xml:space="preserve"> </w:t>
            </w:r>
            <w:r w:rsidRPr="00C34AAD">
              <w:rPr>
                <w:rFonts w:cs="Arial"/>
                <w:color w:val="auto"/>
                <w:sz w:val="20"/>
              </w:rPr>
              <w:t xml:space="preserve">October 2023. The board held its inaugural meeting in November 2023, followed by a second meeting in March 2024. This initiative </w:t>
            </w:r>
            <w:r w:rsidR="00043026" w:rsidRPr="00C34AAD">
              <w:rPr>
                <w:rFonts w:cs="Arial"/>
                <w:color w:val="auto"/>
                <w:sz w:val="20"/>
              </w:rPr>
              <w:t>facilitate</w:t>
            </w:r>
            <w:r w:rsidR="00043026">
              <w:rPr>
                <w:rFonts w:cs="Arial"/>
                <w:color w:val="auto"/>
                <w:sz w:val="20"/>
              </w:rPr>
              <w:t>d</w:t>
            </w:r>
            <w:r w:rsidR="00043026" w:rsidRPr="00C34AAD">
              <w:rPr>
                <w:rFonts w:cs="Arial"/>
                <w:color w:val="auto"/>
                <w:sz w:val="20"/>
              </w:rPr>
              <w:t xml:space="preserve"> </w:t>
            </w:r>
            <w:r w:rsidRPr="00C34AAD">
              <w:rPr>
                <w:rFonts w:cs="Arial"/>
                <w:color w:val="auto"/>
                <w:sz w:val="20"/>
              </w:rPr>
              <w:t>strategic planning and coordination efforts to address invasive pest threats effectively.</w:t>
            </w:r>
          </w:p>
          <w:p w14:paraId="618C92A5" w14:textId="1D4CE9D4" w:rsidR="00DC3CEA" w:rsidRPr="00C341FB" w:rsidRDefault="00E16C65" w:rsidP="00C341FB">
            <w:pPr>
              <w:pStyle w:val="ListParagraph"/>
              <w:numPr>
                <w:ilvl w:val="0"/>
                <w:numId w:val="10"/>
              </w:numPr>
              <w:spacing w:before="0" w:after="0"/>
              <w:rPr>
                <w:rFonts w:cs="Arial"/>
                <w:color w:val="auto"/>
                <w:sz w:val="20"/>
              </w:rPr>
            </w:pPr>
            <w:r w:rsidRPr="00F049AC">
              <w:rPr>
                <w:rFonts w:cs="Arial"/>
                <w:b/>
                <w:bCs/>
                <w:color w:val="auto"/>
                <w:sz w:val="20"/>
              </w:rPr>
              <w:t xml:space="preserve">Establishment of the </w:t>
            </w:r>
            <w:r w:rsidR="009B6E12" w:rsidRPr="00F049AC">
              <w:rPr>
                <w:rFonts w:cs="Arial"/>
                <w:b/>
                <w:bCs/>
                <w:color w:val="auto"/>
                <w:sz w:val="20"/>
              </w:rPr>
              <w:t xml:space="preserve">Biosecurity Reference Group (BRG): </w:t>
            </w:r>
            <w:r w:rsidR="00376CE1" w:rsidRPr="00F049AC">
              <w:rPr>
                <w:rFonts w:cs="Arial"/>
                <w:color w:val="auto"/>
                <w:sz w:val="20"/>
              </w:rPr>
              <w:t xml:space="preserve">The community-industry BRG was established in 2022 and renewed in </w:t>
            </w:r>
            <w:r w:rsidR="00E2030C" w:rsidRPr="00F049AC">
              <w:rPr>
                <w:rFonts w:cs="Arial"/>
                <w:color w:val="auto"/>
                <w:sz w:val="20"/>
              </w:rPr>
              <w:t xml:space="preserve">2024. The group was </w:t>
            </w:r>
            <w:r w:rsidR="00E2030C" w:rsidRPr="00F049AC">
              <w:rPr>
                <w:rFonts w:cs="Arial"/>
                <w:color w:val="auto"/>
                <w:sz w:val="20"/>
              </w:rPr>
              <w:lastRenderedPageBreak/>
              <w:t xml:space="preserve">pivotal in guiding </w:t>
            </w:r>
            <w:r w:rsidR="00C60E74" w:rsidRPr="00F049AC">
              <w:rPr>
                <w:rFonts w:cs="Arial"/>
                <w:color w:val="auto"/>
                <w:sz w:val="20"/>
              </w:rPr>
              <w:t>the development of Victoria’s Biosecurity Strategy</w:t>
            </w:r>
            <w:r w:rsidR="00264AC2" w:rsidRPr="00F049AC">
              <w:rPr>
                <w:rFonts w:cs="Arial"/>
                <w:color w:val="auto"/>
                <w:sz w:val="20"/>
              </w:rPr>
              <w:t>, ensuring priority actions and goals</w:t>
            </w:r>
            <w:r w:rsidR="00C60E74" w:rsidRPr="00F049AC">
              <w:rPr>
                <w:rFonts w:cs="Arial"/>
                <w:color w:val="auto"/>
                <w:sz w:val="20"/>
              </w:rPr>
              <w:t xml:space="preserve"> </w:t>
            </w:r>
            <w:r w:rsidR="00264AC2" w:rsidRPr="00F049AC">
              <w:rPr>
                <w:rFonts w:cs="Arial"/>
                <w:color w:val="auto"/>
                <w:sz w:val="20"/>
              </w:rPr>
              <w:t>reflect the perspectives of a breadth of people and organisations across the system and shifting biosecurity policy towards a much more collective, whole-of-system approach</w:t>
            </w:r>
            <w:r w:rsidR="00530D3C" w:rsidRPr="00F049AC">
              <w:rPr>
                <w:rFonts w:cs="Arial"/>
                <w:color w:val="auto"/>
                <w:sz w:val="20"/>
              </w:rPr>
              <w:t>. The renewed BRG will guide implementation of the Biosecurity Strategy.</w:t>
            </w:r>
            <w:r w:rsidR="005805C8">
              <w:t xml:space="preserve"> </w:t>
            </w:r>
            <w:r w:rsidR="005805C8">
              <w:rPr>
                <w:rFonts w:cs="Arial"/>
                <w:color w:val="auto"/>
                <w:sz w:val="20"/>
              </w:rPr>
              <w:t>BRG m</w:t>
            </w:r>
            <w:r w:rsidR="005805C8" w:rsidRPr="005805C8">
              <w:rPr>
                <w:rFonts w:cs="Arial"/>
                <w:color w:val="auto"/>
                <w:sz w:val="20"/>
              </w:rPr>
              <w:t>et 6 times</w:t>
            </w:r>
            <w:r w:rsidR="00F049AC">
              <w:rPr>
                <w:rFonts w:cs="Arial"/>
                <w:color w:val="auto"/>
                <w:sz w:val="20"/>
              </w:rPr>
              <w:t xml:space="preserve"> and a</w:t>
            </w:r>
            <w:r w:rsidR="005805C8" w:rsidRPr="005805C8">
              <w:rPr>
                <w:rFonts w:cs="Arial"/>
                <w:color w:val="auto"/>
                <w:sz w:val="20"/>
              </w:rPr>
              <w:t xml:space="preserve"> summary of the meetings </w:t>
            </w:r>
            <w:r w:rsidR="005805C8">
              <w:rPr>
                <w:rFonts w:cs="Arial"/>
                <w:color w:val="auto"/>
                <w:sz w:val="20"/>
              </w:rPr>
              <w:t xml:space="preserve">can be obtained </w:t>
            </w:r>
            <w:r w:rsidR="00C341FB">
              <w:rPr>
                <w:rFonts w:cs="Arial"/>
                <w:color w:val="auto"/>
                <w:sz w:val="20"/>
              </w:rPr>
              <w:t xml:space="preserve">on the </w:t>
            </w:r>
            <w:r w:rsidR="008A2600">
              <w:rPr>
                <w:rFonts w:cs="Arial"/>
                <w:color w:val="auto"/>
                <w:sz w:val="20"/>
              </w:rPr>
              <w:t>Agriculture</w:t>
            </w:r>
            <w:r w:rsidR="00C341FB">
              <w:rPr>
                <w:rFonts w:cs="Arial"/>
                <w:color w:val="auto"/>
                <w:sz w:val="20"/>
              </w:rPr>
              <w:t xml:space="preserve"> Victoria </w:t>
            </w:r>
            <w:hyperlink r:id="rId17" w:history="1">
              <w:r w:rsidR="00C341FB" w:rsidRPr="00C341FB">
                <w:rPr>
                  <w:rStyle w:val="Hyperlink"/>
                  <w:rFonts w:cs="Arial"/>
                  <w:sz w:val="20"/>
                </w:rPr>
                <w:t>website</w:t>
              </w:r>
            </w:hyperlink>
            <w:r w:rsidR="00C341FB">
              <w:rPr>
                <w:rFonts w:cs="Arial"/>
                <w:color w:val="auto"/>
                <w:sz w:val="20"/>
              </w:rPr>
              <w:t>.</w:t>
            </w:r>
          </w:p>
        </w:tc>
      </w:tr>
      <w:tr w:rsidR="00303D1B" w:rsidRPr="007A0ADC" w14:paraId="7A82E122" w14:textId="70AAF04B" w:rsidTr="67285148">
        <w:trPr>
          <w:trHeight w:val="2111"/>
        </w:trPr>
        <w:tc>
          <w:tcPr>
            <w:tcW w:w="0" w:type="auto"/>
            <w:vMerge/>
          </w:tcPr>
          <w:p w14:paraId="7D6FA7AC" w14:textId="77777777" w:rsidR="00DC3CEA" w:rsidRPr="007A0ADC" w:rsidRDefault="00DC3CEA" w:rsidP="00DD6DC0">
            <w:pPr>
              <w:spacing w:before="0"/>
              <w:rPr>
                <w:rFonts w:cs="Arial"/>
                <w:b/>
                <w:bCs/>
                <w:color w:val="auto"/>
                <w:sz w:val="20"/>
              </w:rPr>
            </w:pPr>
          </w:p>
        </w:tc>
        <w:tc>
          <w:tcPr>
            <w:tcW w:w="0" w:type="auto"/>
          </w:tcPr>
          <w:p w14:paraId="0BE41A29" w14:textId="77777777" w:rsidR="00DC3CEA" w:rsidRPr="00030470" w:rsidRDefault="00DC3CEA" w:rsidP="002E318E">
            <w:pPr>
              <w:pStyle w:val="ListParagraph"/>
              <w:numPr>
                <w:ilvl w:val="0"/>
                <w:numId w:val="3"/>
              </w:numPr>
              <w:spacing w:before="0" w:after="0"/>
              <w:rPr>
                <w:color w:val="auto"/>
                <w:sz w:val="20"/>
              </w:rPr>
            </w:pPr>
            <w:r w:rsidRPr="007A0ADC">
              <w:rPr>
                <w:rFonts w:cs="Arial"/>
                <w:color w:val="auto"/>
                <w:sz w:val="20"/>
              </w:rPr>
              <w:t>Engage with Aboriginal communities, where appropriate.</w:t>
            </w:r>
          </w:p>
          <w:p w14:paraId="3F80670C" w14:textId="5A271EB4" w:rsidR="00DC3CEA" w:rsidRPr="00030470" w:rsidRDefault="00DC3CEA" w:rsidP="77C1C361">
            <w:pPr>
              <w:pStyle w:val="ListParagraph"/>
              <w:numPr>
                <w:ilvl w:val="0"/>
                <w:numId w:val="3"/>
              </w:numPr>
              <w:spacing w:before="0" w:after="0"/>
              <w:rPr>
                <w:color w:val="auto"/>
                <w:sz w:val="20"/>
              </w:rPr>
            </w:pPr>
            <w:r w:rsidRPr="00BB00F6">
              <w:rPr>
                <w:color w:val="000000" w:themeColor="text1"/>
                <w:sz w:val="20"/>
              </w:rPr>
              <w:t>Demonstrate alignment with the Agriculture Victoria Self-Determination Action Plan.</w:t>
            </w:r>
          </w:p>
        </w:tc>
        <w:tc>
          <w:tcPr>
            <w:tcW w:w="0" w:type="auto"/>
          </w:tcPr>
          <w:p w14:paraId="5BFDBD44" w14:textId="77777777" w:rsidR="00E1171F" w:rsidRPr="00E1171F" w:rsidRDefault="00132A60" w:rsidP="00E1171F">
            <w:pPr>
              <w:pStyle w:val="ListParagraph"/>
              <w:numPr>
                <w:ilvl w:val="0"/>
                <w:numId w:val="6"/>
              </w:numPr>
              <w:spacing w:before="0" w:after="0"/>
              <w:rPr>
                <w:rFonts w:cs="Arial"/>
                <w:color w:val="5B9BD5" w:themeColor="accent5"/>
                <w:sz w:val="20"/>
              </w:rPr>
            </w:pPr>
            <w:r w:rsidRPr="00C34AAD">
              <w:rPr>
                <w:rFonts w:cs="Arial"/>
                <w:b/>
                <w:color w:val="000000" w:themeColor="text1"/>
                <w:sz w:val="20"/>
              </w:rPr>
              <w:t>Engagement with Aboriginal communities:</w:t>
            </w:r>
            <w:r w:rsidRPr="00C34AAD">
              <w:rPr>
                <w:rFonts w:cs="Arial"/>
                <w:color w:val="000000" w:themeColor="text1"/>
                <w:sz w:val="20"/>
              </w:rPr>
              <w:t xml:space="preserve"> </w:t>
            </w:r>
            <w:r w:rsidR="00DC3CEA" w:rsidRPr="00C34AAD">
              <w:rPr>
                <w:rFonts w:cs="Arial"/>
                <w:color w:val="000000" w:themeColor="text1"/>
                <w:sz w:val="20"/>
              </w:rPr>
              <w:t xml:space="preserve">Agriculture </w:t>
            </w:r>
            <w:r w:rsidR="00F70843" w:rsidRPr="00C34AAD">
              <w:rPr>
                <w:rFonts w:cs="Arial"/>
                <w:color w:val="000000" w:themeColor="text1"/>
                <w:sz w:val="20"/>
              </w:rPr>
              <w:t>Victoria</w:t>
            </w:r>
            <w:r w:rsidR="00DC3CEA" w:rsidRPr="00C34AAD">
              <w:rPr>
                <w:rFonts w:cs="Arial"/>
                <w:color w:val="000000" w:themeColor="text1"/>
                <w:sz w:val="20"/>
              </w:rPr>
              <w:t xml:space="preserve"> staff took part in the Dumawul Cultural Competency Program training on Djaara Country. Sixteen regionally based staff explored the Dhelkunya Dja ‘Healing Country’ Plan which reaffirms Djaara’s goals and obligations to care for Country and learnt about the historic Recognition and Settlement Agreement, Treaty, cultural safety and appropriateness.</w:t>
            </w:r>
          </w:p>
          <w:p w14:paraId="1CE0E376" w14:textId="2AEF9F8E" w:rsidR="00DC3CEA" w:rsidRPr="00C34AAD" w:rsidRDefault="00FF4916" w:rsidP="00E1171F">
            <w:pPr>
              <w:pStyle w:val="ListParagraph"/>
              <w:numPr>
                <w:ilvl w:val="0"/>
                <w:numId w:val="6"/>
              </w:numPr>
              <w:spacing w:before="0" w:after="0"/>
              <w:rPr>
                <w:rFonts w:cs="Arial"/>
                <w:color w:val="5B9BD5" w:themeColor="accent5"/>
                <w:sz w:val="20"/>
              </w:rPr>
            </w:pPr>
            <w:r w:rsidRPr="00C34AAD">
              <w:rPr>
                <w:rFonts w:cs="Arial"/>
                <w:b/>
                <w:color w:val="000000" w:themeColor="text1"/>
                <w:sz w:val="20"/>
              </w:rPr>
              <w:t>Alignment with the Agriculture Victoria Self-Determination Action Plan:</w:t>
            </w:r>
            <w:r w:rsidRPr="00C34AAD">
              <w:rPr>
                <w:rFonts w:cs="Arial"/>
                <w:color w:val="000000" w:themeColor="text1"/>
                <w:sz w:val="20"/>
              </w:rPr>
              <w:t xml:space="preserve"> </w:t>
            </w:r>
            <w:r w:rsidR="005D4A42">
              <w:rPr>
                <w:rFonts w:cs="Arial"/>
                <w:color w:val="000000" w:themeColor="text1"/>
                <w:sz w:val="20"/>
              </w:rPr>
              <w:t>Work</w:t>
            </w:r>
            <w:r w:rsidR="00DC3CEA" w:rsidRPr="00C34AAD">
              <w:rPr>
                <w:rFonts w:cs="Arial"/>
                <w:color w:val="000000" w:themeColor="text1"/>
                <w:sz w:val="20"/>
              </w:rPr>
              <w:t xml:space="preserve"> </w:t>
            </w:r>
            <w:r w:rsidR="00F46D0C">
              <w:rPr>
                <w:rFonts w:cs="Arial"/>
                <w:color w:val="000000" w:themeColor="text1"/>
                <w:sz w:val="20"/>
              </w:rPr>
              <w:t xml:space="preserve">and collaboration </w:t>
            </w:r>
            <w:r w:rsidR="00DC3CEA" w:rsidRPr="00C34AAD">
              <w:rPr>
                <w:rFonts w:cs="Arial"/>
                <w:color w:val="000000" w:themeColor="text1"/>
                <w:sz w:val="20"/>
              </w:rPr>
              <w:t xml:space="preserve">to </w:t>
            </w:r>
            <w:r w:rsidR="005D4A42">
              <w:rPr>
                <w:rFonts w:cs="Arial"/>
                <w:color w:val="000000" w:themeColor="text1"/>
                <w:sz w:val="20"/>
              </w:rPr>
              <w:t>ensure</w:t>
            </w:r>
            <w:r w:rsidR="00DC3CEA" w:rsidRPr="00C34AAD">
              <w:rPr>
                <w:rFonts w:cs="Arial"/>
                <w:color w:val="000000" w:themeColor="text1"/>
                <w:sz w:val="20"/>
              </w:rPr>
              <w:t xml:space="preserve"> alignment with the Agriculture Victoria Self-Determination Action Plan remain</w:t>
            </w:r>
            <w:r w:rsidR="00F46D0C">
              <w:rPr>
                <w:rFonts w:cs="Arial"/>
                <w:color w:val="000000" w:themeColor="text1"/>
                <w:sz w:val="20"/>
              </w:rPr>
              <w:t>s</w:t>
            </w:r>
            <w:r w:rsidR="00DC3CEA" w:rsidRPr="00C34AAD">
              <w:rPr>
                <w:rFonts w:cs="Arial"/>
                <w:color w:val="000000" w:themeColor="text1"/>
                <w:sz w:val="20"/>
              </w:rPr>
              <w:t xml:space="preserve"> an ongoing </w:t>
            </w:r>
            <w:r w:rsidR="00F46D0C">
              <w:rPr>
                <w:rFonts w:cs="Arial"/>
                <w:color w:val="000000" w:themeColor="text1"/>
                <w:sz w:val="20"/>
              </w:rPr>
              <w:t>priority</w:t>
            </w:r>
            <w:r w:rsidR="00DC3CEA" w:rsidRPr="00C34AAD">
              <w:rPr>
                <w:rFonts w:cs="Arial"/>
                <w:color w:val="000000" w:themeColor="text1"/>
                <w:sz w:val="20"/>
              </w:rPr>
              <w:t>.</w:t>
            </w:r>
            <w:r w:rsidR="00DC3CEA" w:rsidRPr="00C34AAD">
              <w:rPr>
                <w:rFonts w:cs="Arial"/>
                <w:strike/>
                <w:color w:val="000000" w:themeColor="text1"/>
                <w:sz w:val="20"/>
              </w:rPr>
              <w:t xml:space="preserve"> </w:t>
            </w:r>
          </w:p>
        </w:tc>
      </w:tr>
      <w:tr w:rsidR="00303D1B" w:rsidRPr="007A0ADC" w14:paraId="64F1603B" w14:textId="4446F333" w:rsidTr="67285148">
        <w:trPr>
          <w:trHeight w:val="2003"/>
        </w:trPr>
        <w:tc>
          <w:tcPr>
            <w:tcW w:w="0" w:type="auto"/>
          </w:tcPr>
          <w:p w14:paraId="74B43672" w14:textId="22A22516" w:rsidR="00DC3CEA" w:rsidRPr="00DC3CEA" w:rsidRDefault="00DC3CEA" w:rsidP="00501642">
            <w:pPr>
              <w:spacing w:before="0" w:after="0"/>
              <w:rPr>
                <w:rFonts w:cs="Arial"/>
                <w:b/>
                <w:bCs/>
                <w:color w:val="auto"/>
                <w:sz w:val="20"/>
              </w:rPr>
            </w:pPr>
            <w:r w:rsidRPr="00DC3CEA">
              <w:rPr>
                <w:rFonts w:cs="Arial"/>
                <w:b/>
                <w:bCs/>
                <w:color w:val="auto"/>
                <w:sz w:val="20"/>
              </w:rPr>
              <w:t xml:space="preserve">Ensure collaboration with other agencies and </w:t>
            </w:r>
            <w:r w:rsidR="00BB00F6">
              <w:rPr>
                <w:rFonts w:cs="Arial"/>
                <w:b/>
                <w:bCs/>
                <w:color w:val="auto"/>
                <w:sz w:val="20"/>
              </w:rPr>
              <w:t xml:space="preserve">relevant </w:t>
            </w:r>
            <w:r w:rsidRPr="00DC3CEA">
              <w:rPr>
                <w:rFonts w:cs="Arial"/>
                <w:b/>
                <w:bCs/>
                <w:color w:val="auto"/>
                <w:sz w:val="20"/>
              </w:rPr>
              <w:t xml:space="preserve">regulatory bodies. </w:t>
            </w:r>
          </w:p>
        </w:tc>
        <w:tc>
          <w:tcPr>
            <w:tcW w:w="0" w:type="auto"/>
          </w:tcPr>
          <w:p w14:paraId="166E53E8" w14:textId="704459ED" w:rsidR="00DC3CEA" w:rsidRDefault="00DC3CEA" w:rsidP="0019092C">
            <w:pPr>
              <w:pStyle w:val="Default"/>
              <w:numPr>
                <w:ilvl w:val="0"/>
                <w:numId w:val="4"/>
              </w:numPr>
              <w:rPr>
                <w:rFonts w:cs="Arial"/>
                <w:color w:val="auto"/>
                <w:sz w:val="20"/>
                <w:szCs w:val="20"/>
              </w:rPr>
            </w:pPr>
            <w:r w:rsidRPr="007A0ADC">
              <w:rPr>
                <w:rFonts w:ascii="Arial" w:hAnsi="Arial" w:cs="Arial"/>
                <w:color w:val="auto"/>
                <w:sz w:val="20"/>
                <w:szCs w:val="20"/>
              </w:rPr>
              <w:t xml:space="preserve">Continue to implement and review existing Memoranda of Understanding and/or other appropriate agreements with relevant regulatory entities. </w:t>
            </w:r>
          </w:p>
          <w:p w14:paraId="5D35E54B" w14:textId="1DB6A9A2" w:rsidR="00DC3CEA" w:rsidRPr="006135D6" w:rsidRDefault="00DC3CEA" w:rsidP="002E318E">
            <w:pPr>
              <w:pStyle w:val="Default"/>
              <w:numPr>
                <w:ilvl w:val="0"/>
                <w:numId w:val="4"/>
              </w:numPr>
              <w:rPr>
                <w:rFonts w:ascii="Arial" w:hAnsi="Arial" w:cs="Arial"/>
                <w:color w:val="000000" w:themeColor="text1"/>
                <w:sz w:val="20"/>
                <w:szCs w:val="20"/>
              </w:rPr>
            </w:pPr>
            <w:r w:rsidRPr="006135D6">
              <w:rPr>
                <w:rFonts w:ascii="Arial" w:hAnsi="Arial" w:cs="Arial"/>
                <w:color w:val="000000" w:themeColor="text1"/>
                <w:sz w:val="20"/>
                <w:szCs w:val="20"/>
              </w:rPr>
              <w:t xml:space="preserve">Continue to deliver under the professional services agreement with </w:t>
            </w:r>
            <w:r w:rsidR="006135D6">
              <w:rPr>
                <w:rFonts w:ascii="Arial" w:hAnsi="Arial" w:cs="Arial"/>
                <w:color w:val="000000" w:themeColor="text1"/>
                <w:sz w:val="20"/>
                <w:szCs w:val="20"/>
              </w:rPr>
              <w:t xml:space="preserve">the </w:t>
            </w:r>
            <w:r w:rsidR="006135D6" w:rsidRPr="006135D6">
              <w:rPr>
                <w:rFonts w:ascii="Arial" w:hAnsi="Arial" w:cs="Arial"/>
                <w:color w:val="000000" w:themeColor="text1"/>
                <w:sz w:val="20"/>
                <w:szCs w:val="20"/>
              </w:rPr>
              <w:t>D</w:t>
            </w:r>
            <w:r w:rsidR="006135D6">
              <w:rPr>
                <w:rFonts w:ascii="Arial" w:hAnsi="Arial" w:cs="Arial"/>
                <w:color w:val="000000" w:themeColor="text1"/>
                <w:sz w:val="20"/>
                <w:szCs w:val="20"/>
              </w:rPr>
              <w:t>epartment of Energy, Environment and Climate Action</w:t>
            </w:r>
            <w:r w:rsidR="0088380A">
              <w:rPr>
                <w:rFonts w:ascii="Arial" w:hAnsi="Arial" w:cs="Arial"/>
                <w:color w:val="000000" w:themeColor="text1"/>
                <w:sz w:val="20"/>
                <w:szCs w:val="20"/>
              </w:rPr>
              <w:t>,</w:t>
            </w:r>
            <w:r w:rsidR="006135D6">
              <w:rPr>
                <w:rFonts w:ascii="Arial" w:hAnsi="Arial" w:cs="Arial"/>
                <w:color w:val="000000" w:themeColor="text1"/>
                <w:sz w:val="20"/>
                <w:szCs w:val="20"/>
              </w:rPr>
              <w:t xml:space="preserve"> </w:t>
            </w:r>
            <w:r w:rsidRPr="006135D6">
              <w:rPr>
                <w:rFonts w:ascii="Arial" w:hAnsi="Arial" w:cs="Arial"/>
                <w:color w:val="000000" w:themeColor="text1"/>
                <w:sz w:val="20"/>
                <w:szCs w:val="20"/>
              </w:rPr>
              <w:t>and Crime Stoppers Victoria on exotic pest animals.</w:t>
            </w:r>
          </w:p>
          <w:p w14:paraId="4099AD3F" w14:textId="717C2272" w:rsidR="00DC3CEA" w:rsidRPr="0019092C" w:rsidRDefault="00DC3CEA" w:rsidP="002E318E">
            <w:pPr>
              <w:pStyle w:val="Default"/>
              <w:numPr>
                <w:ilvl w:val="0"/>
                <w:numId w:val="4"/>
              </w:numPr>
              <w:rPr>
                <w:rFonts w:cs="Arial"/>
                <w:color w:val="auto"/>
                <w:sz w:val="20"/>
                <w:szCs w:val="20"/>
              </w:rPr>
            </w:pPr>
            <w:r w:rsidRPr="006135D6">
              <w:rPr>
                <w:rFonts w:ascii="Arial" w:hAnsi="Arial" w:cs="Arial"/>
                <w:color w:val="000000" w:themeColor="text1"/>
                <w:sz w:val="20"/>
                <w:szCs w:val="20"/>
              </w:rPr>
              <w:t>Quarterly meetings with RSPCA Victoria.</w:t>
            </w:r>
          </w:p>
        </w:tc>
        <w:tc>
          <w:tcPr>
            <w:tcW w:w="0" w:type="auto"/>
          </w:tcPr>
          <w:p w14:paraId="49AC8E57" w14:textId="4817FEA0" w:rsidR="00EE6E2D" w:rsidRPr="00002D22" w:rsidRDefault="00EE6E2D" w:rsidP="00002D22">
            <w:pPr>
              <w:pStyle w:val="ListParagraph"/>
              <w:numPr>
                <w:ilvl w:val="0"/>
                <w:numId w:val="25"/>
              </w:numPr>
              <w:spacing w:before="0" w:after="0"/>
              <w:ind w:left="360"/>
              <w:rPr>
                <w:rFonts w:cs="Arial"/>
                <w:b/>
                <w:bCs/>
                <w:color w:val="auto"/>
                <w:sz w:val="20"/>
              </w:rPr>
            </w:pPr>
            <w:r w:rsidRPr="00EE6E2D">
              <w:rPr>
                <w:rFonts w:cs="Arial"/>
                <w:b/>
                <w:bCs/>
                <w:color w:val="auto"/>
                <w:sz w:val="20"/>
              </w:rPr>
              <w:t>Collaboration to Disrupt Illegal Trade of Exotic Pest Animals:</w:t>
            </w:r>
            <w:r w:rsidRPr="00EE6E2D">
              <w:rPr>
                <w:rFonts w:cs="Arial"/>
                <w:color w:val="auto"/>
                <w:sz w:val="20"/>
              </w:rPr>
              <w:t xml:space="preserve"> </w:t>
            </w:r>
            <w:r w:rsidR="00002D22">
              <w:rPr>
                <w:rFonts w:cs="Arial"/>
                <w:color w:val="auto"/>
                <w:sz w:val="20"/>
              </w:rPr>
              <w:t>L</w:t>
            </w:r>
            <w:r w:rsidRPr="00002D22">
              <w:rPr>
                <w:rFonts w:cs="Arial"/>
                <w:color w:val="auto"/>
                <w:sz w:val="20"/>
              </w:rPr>
              <w:t xml:space="preserve">ongstanding collaboration with </w:t>
            </w:r>
            <w:r w:rsidR="0088380A" w:rsidRPr="00002D22">
              <w:rPr>
                <w:rFonts w:cs="Arial"/>
                <w:color w:val="auto"/>
                <w:sz w:val="20"/>
              </w:rPr>
              <w:t xml:space="preserve">the Department of Energy, Environment and Climate Action </w:t>
            </w:r>
            <w:r w:rsidRPr="00002D22">
              <w:rPr>
                <w:rFonts w:cs="Arial"/>
                <w:color w:val="auto"/>
                <w:sz w:val="20"/>
              </w:rPr>
              <w:t xml:space="preserve">(formerly </w:t>
            </w:r>
            <w:r w:rsidR="0088380A" w:rsidRPr="00002D22">
              <w:rPr>
                <w:rFonts w:cs="Arial"/>
                <w:color w:val="auto"/>
                <w:sz w:val="20"/>
              </w:rPr>
              <w:t xml:space="preserve">the Department of Environment, Land, Water and Planning) </w:t>
            </w:r>
            <w:r w:rsidR="00002D22">
              <w:rPr>
                <w:rFonts w:cs="Arial"/>
                <w:color w:val="auto"/>
                <w:sz w:val="20"/>
              </w:rPr>
              <w:t xml:space="preserve">(including through Agriculture Victoria) </w:t>
            </w:r>
            <w:r w:rsidRPr="00002D22">
              <w:rPr>
                <w:rFonts w:cs="Arial"/>
                <w:color w:val="auto"/>
                <w:sz w:val="20"/>
              </w:rPr>
              <w:t>and Crime Stoppers Victoria (CSV) to disrupt the illegal trade of exotic pest animals in Victoria</w:t>
            </w:r>
            <w:r w:rsidR="002137D5">
              <w:rPr>
                <w:rFonts w:cs="Arial"/>
                <w:color w:val="auto"/>
                <w:sz w:val="20"/>
              </w:rPr>
              <w:t xml:space="preserve"> continued</w:t>
            </w:r>
            <w:r w:rsidRPr="00002D22">
              <w:rPr>
                <w:rFonts w:cs="Arial"/>
                <w:color w:val="auto"/>
                <w:sz w:val="20"/>
              </w:rPr>
              <w:t>. CSV's support includes speciali</w:t>
            </w:r>
            <w:r w:rsidR="00FD042A" w:rsidRPr="00002D22">
              <w:rPr>
                <w:rFonts w:cs="Arial"/>
                <w:color w:val="auto"/>
                <w:sz w:val="20"/>
              </w:rPr>
              <w:t>s</w:t>
            </w:r>
            <w:r w:rsidRPr="00002D22">
              <w:rPr>
                <w:rFonts w:cs="Arial"/>
                <w:color w:val="auto"/>
                <w:sz w:val="20"/>
              </w:rPr>
              <w:t xml:space="preserve">ed crime intelligence generation activities through public engagement, notably the 'Your Pet, Our Pest' campaign, as well as crime intelligence management and dissemination. This partnership </w:t>
            </w:r>
            <w:r w:rsidR="00EB62A8" w:rsidRPr="00002D22">
              <w:rPr>
                <w:rFonts w:cs="Arial"/>
                <w:color w:val="auto"/>
                <w:sz w:val="20"/>
              </w:rPr>
              <w:t xml:space="preserve">enhanced </w:t>
            </w:r>
            <w:r w:rsidRPr="00002D22">
              <w:rPr>
                <w:rFonts w:cs="Arial"/>
                <w:color w:val="auto"/>
                <w:sz w:val="20"/>
              </w:rPr>
              <w:t>efforts to safeguard Victoria's ecosystems and agriculture from the threats posed by exotic pests.</w:t>
            </w:r>
          </w:p>
          <w:p w14:paraId="03A4D0F8" w14:textId="35DC37F2" w:rsidR="00DC3CEA" w:rsidRPr="00C34AAD" w:rsidRDefault="003E6799" w:rsidP="00174124">
            <w:pPr>
              <w:pStyle w:val="ListParagraph"/>
              <w:numPr>
                <w:ilvl w:val="0"/>
                <w:numId w:val="25"/>
              </w:numPr>
              <w:spacing w:before="0" w:after="0"/>
              <w:ind w:left="360"/>
              <w:rPr>
                <w:rFonts w:cs="Arial"/>
                <w:b/>
                <w:bCs/>
                <w:color w:val="auto"/>
                <w:sz w:val="20"/>
              </w:rPr>
            </w:pPr>
            <w:r>
              <w:rPr>
                <w:rFonts w:cs="Arial"/>
                <w:b/>
                <w:bCs/>
                <w:color w:val="auto"/>
                <w:sz w:val="20"/>
              </w:rPr>
              <w:t>Collaboration</w:t>
            </w:r>
            <w:r w:rsidR="00EE6E2D" w:rsidRPr="00EE6E2D">
              <w:rPr>
                <w:rFonts w:cs="Arial"/>
                <w:b/>
                <w:bCs/>
                <w:color w:val="auto"/>
                <w:sz w:val="20"/>
              </w:rPr>
              <w:t xml:space="preserve"> with RSPCA Victoria</w:t>
            </w:r>
            <w:r>
              <w:rPr>
                <w:rFonts w:cs="Arial"/>
                <w:b/>
                <w:bCs/>
                <w:color w:val="auto"/>
                <w:sz w:val="20"/>
              </w:rPr>
              <w:t xml:space="preserve"> on animal welfare </w:t>
            </w:r>
            <w:r w:rsidR="0015644C">
              <w:rPr>
                <w:rFonts w:cs="Arial"/>
                <w:b/>
                <w:bCs/>
                <w:color w:val="auto"/>
                <w:sz w:val="20"/>
              </w:rPr>
              <w:t xml:space="preserve">and domestic animal </w:t>
            </w:r>
            <w:r w:rsidR="002C7436">
              <w:rPr>
                <w:rFonts w:cs="Arial"/>
                <w:b/>
                <w:bCs/>
                <w:color w:val="auto"/>
                <w:sz w:val="20"/>
              </w:rPr>
              <w:t>regulatory services</w:t>
            </w:r>
            <w:r w:rsidR="00EE6E2D" w:rsidRPr="00EE6E2D">
              <w:rPr>
                <w:rFonts w:cs="Arial"/>
                <w:b/>
                <w:bCs/>
                <w:color w:val="auto"/>
                <w:sz w:val="20"/>
              </w:rPr>
              <w:t xml:space="preserve">: </w:t>
            </w:r>
            <w:r w:rsidR="00EE6E2D" w:rsidRPr="00EE6E2D">
              <w:rPr>
                <w:rFonts w:cs="Arial"/>
                <w:color w:val="auto"/>
                <w:sz w:val="20"/>
              </w:rPr>
              <w:t xml:space="preserve">Agriculture Victoria </w:t>
            </w:r>
            <w:r w:rsidR="00EB62A8" w:rsidRPr="00EE6E2D">
              <w:rPr>
                <w:rFonts w:cs="Arial"/>
                <w:color w:val="auto"/>
                <w:sz w:val="20"/>
              </w:rPr>
              <w:t>maintain</w:t>
            </w:r>
            <w:r w:rsidR="00EB62A8">
              <w:rPr>
                <w:rFonts w:cs="Arial"/>
                <w:color w:val="auto"/>
                <w:sz w:val="20"/>
              </w:rPr>
              <w:t>ed</w:t>
            </w:r>
            <w:r w:rsidR="00EB62A8" w:rsidRPr="00EE6E2D">
              <w:rPr>
                <w:rFonts w:cs="Arial"/>
                <w:color w:val="auto"/>
                <w:sz w:val="20"/>
              </w:rPr>
              <w:t xml:space="preserve"> </w:t>
            </w:r>
            <w:r w:rsidR="00EE6E2D" w:rsidRPr="00EE6E2D">
              <w:rPr>
                <w:rFonts w:cs="Arial"/>
                <w:color w:val="auto"/>
                <w:sz w:val="20"/>
              </w:rPr>
              <w:t>its commitment to collaboration by organi</w:t>
            </w:r>
            <w:r w:rsidR="00FD042A">
              <w:rPr>
                <w:rFonts w:cs="Arial"/>
                <w:color w:val="auto"/>
                <w:sz w:val="20"/>
              </w:rPr>
              <w:t>s</w:t>
            </w:r>
            <w:r w:rsidR="00EE6E2D" w:rsidRPr="00EE6E2D">
              <w:rPr>
                <w:rFonts w:cs="Arial"/>
                <w:color w:val="auto"/>
                <w:sz w:val="20"/>
              </w:rPr>
              <w:t>ing and attending quarterly meetings with RSPCA Victoria as part of its Memorandum of Understanding (MoU) agreement. Efforts are underway to develop a new MoU and funding agreement, ensuring continued cooperation and alignment of objectives between Agriculture Victoria and RSPCA Victoria.</w:t>
            </w:r>
          </w:p>
        </w:tc>
      </w:tr>
    </w:tbl>
    <w:p w14:paraId="6E3A3D93" w14:textId="77777777" w:rsidR="004D5F9F" w:rsidRPr="007A0ADC" w:rsidRDefault="004D5F9F" w:rsidP="00231926">
      <w:pPr>
        <w:rPr>
          <w:sz w:val="20"/>
        </w:rPr>
      </w:pPr>
    </w:p>
    <w:sectPr w:rsidR="004D5F9F" w:rsidRPr="007A0ADC" w:rsidSect="00BD57FF">
      <w:headerReference w:type="default" r:id="rId18"/>
      <w:footerReference w:type="default" r:id="rId19"/>
      <w:headerReference w:type="first" r:id="rId20"/>
      <w:footerReference w:type="first" r:id="rId21"/>
      <w:pgSz w:w="16838" w:h="11906" w:orient="landscape" w:code="9"/>
      <w:pgMar w:top="1134" w:right="1134" w:bottom="1701" w:left="1134" w:header="709"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733DA" w14:textId="77777777" w:rsidR="009435E0" w:rsidRDefault="009435E0" w:rsidP="004D5F9F">
      <w:pPr>
        <w:spacing w:before="0" w:after="0"/>
      </w:pPr>
      <w:r>
        <w:separator/>
      </w:r>
    </w:p>
  </w:endnote>
  <w:endnote w:type="continuationSeparator" w:id="0">
    <w:p w14:paraId="0C49A3DB" w14:textId="77777777" w:rsidR="009435E0" w:rsidRDefault="009435E0" w:rsidP="004D5F9F">
      <w:pPr>
        <w:spacing w:before="0" w:after="0"/>
      </w:pPr>
      <w:r>
        <w:continuationSeparator/>
      </w:r>
    </w:p>
  </w:endnote>
  <w:endnote w:type="continuationNotice" w:id="1">
    <w:p w14:paraId="5FD8F045" w14:textId="77777777" w:rsidR="009435E0" w:rsidRDefault="009435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ExtraLight">
    <w:panose1 w:val="00000300000000000000"/>
    <w:charset w:val="00"/>
    <w:family w:val="auto"/>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114A0" w14:textId="06D41A22" w:rsidR="00F64160" w:rsidRDefault="002119B9">
    <w:pPr>
      <w:pStyle w:val="Footer"/>
    </w:pPr>
    <w:r>
      <w:rPr>
        <w:noProof/>
      </w:rPr>
      <mc:AlternateContent>
        <mc:Choice Requires="wps">
          <w:drawing>
            <wp:anchor distT="0" distB="0" distL="114300" distR="114300" simplePos="0" relativeHeight="251658241" behindDoc="0" locked="0" layoutInCell="0" allowOverlap="1" wp14:anchorId="11FB434D" wp14:editId="2C843E87">
              <wp:simplePos x="0" y="0"/>
              <wp:positionH relativeFrom="page">
                <wp:posOffset>0</wp:posOffset>
              </wp:positionH>
              <wp:positionV relativeFrom="page">
                <wp:posOffset>10227945</wp:posOffset>
              </wp:positionV>
              <wp:extent cx="7560310" cy="273050"/>
              <wp:effectExtent l="0" t="0" r="0" b="12700"/>
              <wp:wrapNone/>
              <wp:docPr id="2" name="MSIPCMb3334dbbbbb2076ae265f63a" descr="{&quot;HashCode&quot;:87376732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FDCE59" w14:textId="0D743435" w:rsidR="002119B9" w:rsidRPr="002119B9" w:rsidRDefault="002119B9" w:rsidP="002119B9">
                          <w:pPr>
                            <w:spacing w:before="0" w:after="0"/>
                            <w:jc w:val="center"/>
                            <w:rPr>
                              <w:rFonts w:ascii="Calibri" w:hAnsi="Calibri" w:cs="Calibri"/>
                              <w:color w:val="000000"/>
                              <w:sz w:val="24"/>
                            </w:rPr>
                          </w:pPr>
                          <w:r w:rsidRPr="002119B9">
                            <w:rPr>
                              <w:rFonts w:ascii="Calibri" w:hAnsi="Calibri" w:cs="Calibri"/>
                              <w:color w:val="000000"/>
                              <w:sz w:val="24"/>
                            </w:rPr>
                            <w:t>Unofficial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11FB434D">
              <v:stroke joinstyle="miter"/>
              <v:path gradientshapeok="t" o:connecttype="rect"/>
            </v:shapetype>
            <v:shape id="MSIPCMb3334dbbbbb2076ae265f63a"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87376732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2119B9" w:rsidR="002119B9" w:rsidP="002119B9" w:rsidRDefault="002119B9" w14:paraId="27FDCE59" w14:textId="0D743435">
                    <w:pPr>
                      <w:spacing w:before="0" w:after="0"/>
                      <w:jc w:val="center"/>
                      <w:rPr>
                        <w:rFonts w:ascii="Calibri" w:hAnsi="Calibri" w:cs="Calibri"/>
                        <w:color w:val="000000"/>
                        <w:sz w:val="24"/>
                      </w:rPr>
                    </w:pPr>
                    <w:r w:rsidRPr="002119B9">
                      <w:rPr>
                        <w:rFonts w:ascii="Calibri" w:hAnsi="Calibri" w:cs="Calibri"/>
                        <w:color w:val="00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F0D3A" w14:textId="37105E69" w:rsidR="00F64160" w:rsidRDefault="002119B9">
    <w:pPr>
      <w:pStyle w:val="Footer"/>
    </w:pPr>
    <w:r>
      <w:rPr>
        <w:noProof/>
      </w:rPr>
      <mc:AlternateContent>
        <mc:Choice Requires="wps">
          <w:drawing>
            <wp:anchor distT="0" distB="0" distL="114300" distR="114300" simplePos="0" relativeHeight="251658242" behindDoc="0" locked="0" layoutInCell="0" allowOverlap="1" wp14:anchorId="0A02C37B" wp14:editId="70B879AA">
              <wp:simplePos x="0" y="0"/>
              <wp:positionH relativeFrom="page">
                <wp:posOffset>0</wp:posOffset>
              </wp:positionH>
              <wp:positionV relativeFrom="page">
                <wp:posOffset>10227945</wp:posOffset>
              </wp:positionV>
              <wp:extent cx="7560310" cy="273050"/>
              <wp:effectExtent l="0" t="0" r="0" b="12700"/>
              <wp:wrapNone/>
              <wp:docPr id="3" name="MSIPCM8e39475aab10ed94c6594274" descr="{&quot;HashCode&quot;:87376732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88ECC" w14:textId="5FC19E43" w:rsidR="002119B9" w:rsidRPr="002119B9" w:rsidRDefault="002119B9" w:rsidP="002119B9">
                          <w:pPr>
                            <w:spacing w:before="0" w:after="0"/>
                            <w:jc w:val="center"/>
                            <w:rPr>
                              <w:rFonts w:ascii="Calibri" w:hAnsi="Calibri" w:cs="Calibri"/>
                              <w:color w:val="000000"/>
                              <w:sz w:val="24"/>
                            </w:rPr>
                          </w:pPr>
                          <w:r w:rsidRPr="002119B9">
                            <w:rPr>
                              <w:rFonts w:ascii="Calibri" w:hAnsi="Calibri" w:cs="Calibri"/>
                              <w:color w:val="000000"/>
                              <w:sz w:val="24"/>
                            </w:rPr>
                            <w:t>Unofficial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0A02C37B">
              <v:stroke joinstyle="miter"/>
              <v:path gradientshapeok="t" o:connecttype="rect"/>
            </v:shapetype>
            <v:shape id="MSIPCM8e39475aab10ed94c6594274" style="position:absolute;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87376732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2119B9" w:rsidR="002119B9" w:rsidP="002119B9" w:rsidRDefault="002119B9" w14:paraId="77488ECC" w14:textId="5FC19E43">
                    <w:pPr>
                      <w:spacing w:before="0" w:after="0"/>
                      <w:jc w:val="center"/>
                      <w:rPr>
                        <w:rFonts w:ascii="Calibri" w:hAnsi="Calibri" w:cs="Calibri"/>
                        <w:color w:val="000000"/>
                        <w:sz w:val="24"/>
                      </w:rPr>
                    </w:pPr>
                    <w:r w:rsidRPr="002119B9">
                      <w:rPr>
                        <w:rFonts w:ascii="Calibri" w:hAnsi="Calibri" w:cs="Calibri"/>
                        <w:color w:val="00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93254" w14:textId="77777777" w:rsidR="009435E0" w:rsidRDefault="009435E0" w:rsidP="004D5F9F">
      <w:pPr>
        <w:spacing w:before="0" w:after="0"/>
      </w:pPr>
      <w:r>
        <w:separator/>
      </w:r>
    </w:p>
  </w:footnote>
  <w:footnote w:type="continuationSeparator" w:id="0">
    <w:p w14:paraId="0A13591D" w14:textId="77777777" w:rsidR="009435E0" w:rsidRDefault="009435E0" w:rsidP="004D5F9F">
      <w:pPr>
        <w:spacing w:before="0" w:after="0"/>
      </w:pPr>
      <w:r>
        <w:continuationSeparator/>
      </w:r>
    </w:p>
  </w:footnote>
  <w:footnote w:type="continuationNotice" w:id="1">
    <w:p w14:paraId="1350C638" w14:textId="77777777" w:rsidR="009435E0" w:rsidRDefault="009435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4D8A" w14:textId="521F788E" w:rsidR="009E64BC" w:rsidRDefault="009E64BC" w:rsidP="00EC3C75">
    <w:pPr>
      <w:rPr>
        <w:color w:val="auto"/>
        <w:sz w:val="20"/>
      </w:rPr>
    </w:pPr>
  </w:p>
  <w:p w14:paraId="49B270A3" w14:textId="77777777" w:rsidR="009E64BC" w:rsidRDefault="009E64BC" w:rsidP="00EC3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47937" w14:textId="2CCD0B43" w:rsidR="009E64BC" w:rsidRDefault="009E64BC" w:rsidP="00EC3C75">
    <w:pPr>
      <w:rPr>
        <w:color w:val="auto"/>
        <w:sz w:val="20"/>
      </w:rPr>
    </w:pPr>
    <w:r>
      <w:rPr>
        <w:noProof/>
        <w:color w:val="auto"/>
        <w:sz w:val="20"/>
      </w:rPr>
      <w:drawing>
        <wp:anchor distT="0" distB="0" distL="114300" distR="114300" simplePos="0" relativeHeight="251658240" behindDoc="1" locked="1" layoutInCell="1" allowOverlap="1" wp14:anchorId="0C56C0F3" wp14:editId="6490C87A">
          <wp:simplePos x="0" y="0"/>
          <wp:positionH relativeFrom="page">
            <wp:posOffset>325755</wp:posOffset>
          </wp:positionH>
          <wp:positionV relativeFrom="page">
            <wp:posOffset>178435</wp:posOffset>
          </wp:positionV>
          <wp:extent cx="9984105" cy="448310"/>
          <wp:effectExtent l="0" t="0" r="0" b="8890"/>
          <wp:wrapNone/>
          <wp:docPr id="1833438422" name="Picture 18334384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4 Report Portrait Follower.png"/>
                  <pic:cNvPicPr/>
                </pic:nvPicPr>
                <pic:blipFill rotWithShape="1">
                  <a:blip r:embed="rId1">
                    <a:extLst>
                      <a:ext uri="{28A0092B-C50C-407E-A947-70E740481C1C}">
                        <a14:useLocalDpi xmlns:a14="http://schemas.microsoft.com/office/drawing/2010/main" val="0"/>
                      </a:ext>
                    </a:extLst>
                  </a:blip>
                  <a:srcRect t="35455"/>
                  <a:stretch/>
                </pic:blipFill>
                <pic:spPr bwMode="auto">
                  <a:xfrm>
                    <a:off x="0" y="0"/>
                    <a:ext cx="9984105" cy="448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AAFC42" w14:textId="77777777" w:rsidR="009E64BC" w:rsidRDefault="009E64B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9A4"/>
    <w:multiLevelType w:val="hybridMultilevel"/>
    <w:tmpl w:val="048832E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92051B"/>
    <w:multiLevelType w:val="hybridMultilevel"/>
    <w:tmpl w:val="04129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C610D2"/>
    <w:multiLevelType w:val="hybridMultilevel"/>
    <w:tmpl w:val="0F548994"/>
    <w:lvl w:ilvl="0" w:tplc="464E8238">
      <w:numFmt w:val="bullet"/>
      <w:lvlText w:val="-"/>
      <w:lvlJc w:val="left"/>
      <w:pPr>
        <w:ind w:left="720" w:hanging="360"/>
      </w:pPr>
      <w:rPr>
        <w:rFonts w:ascii="Calibri" w:eastAsia="Times New Roman" w:hAnsi="Calibri" w:cstheme="minorHAnsi" w:hint="default"/>
        <w:color w:val="auto"/>
      </w:rPr>
    </w:lvl>
    <w:lvl w:ilvl="1" w:tplc="FFFFFFFF">
      <w:numFmt w:val="bullet"/>
      <w:lvlText w:val="-"/>
      <w:lvlJc w:val="left"/>
      <w:pPr>
        <w:ind w:left="1080" w:hanging="360"/>
      </w:pPr>
      <w:rPr>
        <w:rFonts w:ascii="Calibri" w:eastAsia="Times New Roman" w:hAnsi="Calibri" w:cstheme="min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446F68"/>
    <w:multiLevelType w:val="hybridMultilevel"/>
    <w:tmpl w:val="9452786A"/>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90E1F"/>
    <w:multiLevelType w:val="multilevel"/>
    <w:tmpl w:val="E7C86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F076F"/>
    <w:multiLevelType w:val="hybridMultilevel"/>
    <w:tmpl w:val="FA923A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BB23FF"/>
    <w:multiLevelType w:val="hybridMultilevel"/>
    <w:tmpl w:val="BBDA1862"/>
    <w:lvl w:ilvl="0" w:tplc="FFFFFFFF">
      <w:numFmt w:val="bullet"/>
      <w:lvlText w:val="-"/>
      <w:lvlJc w:val="left"/>
      <w:pPr>
        <w:ind w:left="720" w:hanging="360"/>
      </w:pPr>
      <w:rPr>
        <w:rFonts w:ascii="Calibri" w:eastAsia="Times New Roman" w:hAnsi="Calibri" w:cs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171047"/>
    <w:multiLevelType w:val="hybridMultilevel"/>
    <w:tmpl w:val="403A4C5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632656"/>
    <w:multiLevelType w:val="hybridMultilevel"/>
    <w:tmpl w:val="01CE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420AC7"/>
    <w:multiLevelType w:val="hybridMultilevel"/>
    <w:tmpl w:val="2A960AFC"/>
    <w:lvl w:ilvl="0" w:tplc="AB1A70D8">
      <w:start w:val="1"/>
      <w:numFmt w:val="bullet"/>
      <w:lvlText w:val=""/>
      <w:lvlJc w:val="left"/>
      <w:pPr>
        <w:ind w:left="720" w:hanging="360"/>
      </w:pPr>
      <w:rPr>
        <w:rFonts w:ascii="Symbol" w:hAnsi="Symbol" w:hint="default"/>
      </w:rPr>
    </w:lvl>
    <w:lvl w:ilvl="1" w:tplc="911A1340">
      <w:start w:val="1"/>
      <w:numFmt w:val="bullet"/>
      <w:lvlText w:val="o"/>
      <w:lvlJc w:val="left"/>
      <w:pPr>
        <w:ind w:left="1440" w:hanging="360"/>
      </w:pPr>
      <w:rPr>
        <w:rFonts w:ascii="Courier New" w:hAnsi="Courier New" w:hint="default"/>
      </w:rPr>
    </w:lvl>
    <w:lvl w:ilvl="2" w:tplc="D76CE868">
      <w:start w:val="1"/>
      <w:numFmt w:val="bullet"/>
      <w:lvlText w:val=""/>
      <w:lvlJc w:val="left"/>
      <w:pPr>
        <w:ind w:left="2160" w:hanging="360"/>
      </w:pPr>
      <w:rPr>
        <w:rFonts w:ascii="Wingdings" w:hAnsi="Wingdings" w:hint="default"/>
      </w:rPr>
    </w:lvl>
    <w:lvl w:ilvl="3" w:tplc="7F905D34">
      <w:start w:val="1"/>
      <w:numFmt w:val="bullet"/>
      <w:lvlText w:val=""/>
      <w:lvlJc w:val="left"/>
      <w:pPr>
        <w:ind w:left="2880" w:hanging="360"/>
      </w:pPr>
      <w:rPr>
        <w:rFonts w:ascii="Symbol" w:hAnsi="Symbol" w:hint="default"/>
      </w:rPr>
    </w:lvl>
    <w:lvl w:ilvl="4" w:tplc="ECE25B20">
      <w:start w:val="1"/>
      <w:numFmt w:val="bullet"/>
      <w:lvlText w:val="o"/>
      <w:lvlJc w:val="left"/>
      <w:pPr>
        <w:ind w:left="3600" w:hanging="360"/>
      </w:pPr>
      <w:rPr>
        <w:rFonts w:ascii="Courier New" w:hAnsi="Courier New" w:hint="default"/>
      </w:rPr>
    </w:lvl>
    <w:lvl w:ilvl="5" w:tplc="62A0204E">
      <w:start w:val="1"/>
      <w:numFmt w:val="bullet"/>
      <w:lvlText w:val=""/>
      <w:lvlJc w:val="left"/>
      <w:pPr>
        <w:ind w:left="4320" w:hanging="360"/>
      </w:pPr>
      <w:rPr>
        <w:rFonts w:ascii="Wingdings" w:hAnsi="Wingdings" w:hint="default"/>
      </w:rPr>
    </w:lvl>
    <w:lvl w:ilvl="6" w:tplc="B1FA32D8">
      <w:start w:val="1"/>
      <w:numFmt w:val="bullet"/>
      <w:lvlText w:val=""/>
      <w:lvlJc w:val="left"/>
      <w:pPr>
        <w:ind w:left="5040" w:hanging="360"/>
      </w:pPr>
      <w:rPr>
        <w:rFonts w:ascii="Symbol" w:hAnsi="Symbol" w:hint="default"/>
      </w:rPr>
    </w:lvl>
    <w:lvl w:ilvl="7" w:tplc="ED64D804">
      <w:start w:val="1"/>
      <w:numFmt w:val="bullet"/>
      <w:lvlText w:val="o"/>
      <w:lvlJc w:val="left"/>
      <w:pPr>
        <w:ind w:left="5760" w:hanging="360"/>
      </w:pPr>
      <w:rPr>
        <w:rFonts w:ascii="Courier New" w:hAnsi="Courier New" w:hint="default"/>
      </w:rPr>
    </w:lvl>
    <w:lvl w:ilvl="8" w:tplc="BF409104">
      <w:start w:val="1"/>
      <w:numFmt w:val="bullet"/>
      <w:lvlText w:val=""/>
      <w:lvlJc w:val="left"/>
      <w:pPr>
        <w:ind w:left="6480" w:hanging="360"/>
      </w:pPr>
      <w:rPr>
        <w:rFonts w:ascii="Wingdings" w:hAnsi="Wingdings" w:hint="default"/>
      </w:rPr>
    </w:lvl>
  </w:abstractNum>
  <w:abstractNum w:abstractNumId="10" w15:restartNumberingAfterBreak="0">
    <w:nsid w:val="1BF54F4B"/>
    <w:multiLevelType w:val="multilevel"/>
    <w:tmpl w:val="599635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EE85D6B"/>
    <w:multiLevelType w:val="multilevel"/>
    <w:tmpl w:val="2B1C3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868DE"/>
    <w:multiLevelType w:val="hybridMultilevel"/>
    <w:tmpl w:val="94A298D4"/>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105829"/>
    <w:multiLevelType w:val="hybridMultilevel"/>
    <w:tmpl w:val="EA6AA8EC"/>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E5B7B"/>
    <w:multiLevelType w:val="hybridMultilevel"/>
    <w:tmpl w:val="38848DC6"/>
    <w:lvl w:ilvl="0" w:tplc="6AAE0694">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45155B"/>
    <w:multiLevelType w:val="hybridMultilevel"/>
    <w:tmpl w:val="0D04A23A"/>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146C85"/>
    <w:multiLevelType w:val="multilevel"/>
    <w:tmpl w:val="ED021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A4CD2"/>
    <w:multiLevelType w:val="hybridMultilevel"/>
    <w:tmpl w:val="F99ED5CE"/>
    <w:lvl w:ilvl="0" w:tplc="0C090005">
      <w:start w:val="1"/>
      <w:numFmt w:val="bullet"/>
      <w:lvlText w:val=""/>
      <w:lvlJc w:val="left"/>
      <w:pPr>
        <w:ind w:left="1080" w:hanging="360"/>
      </w:pPr>
      <w:rPr>
        <w:rFonts w:ascii="Wingdings" w:hAnsi="Wingdings"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A7259EE"/>
    <w:multiLevelType w:val="hybridMultilevel"/>
    <w:tmpl w:val="8BE8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4B6528"/>
    <w:multiLevelType w:val="hybridMultilevel"/>
    <w:tmpl w:val="C61A7DDC"/>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4C21A4"/>
    <w:multiLevelType w:val="hybridMultilevel"/>
    <w:tmpl w:val="6F663430"/>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630DE0"/>
    <w:multiLevelType w:val="hybridMultilevel"/>
    <w:tmpl w:val="EF8EDB76"/>
    <w:lvl w:ilvl="0" w:tplc="F2FE88A8">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A31E41"/>
    <w:multiLevelType w:val="hybridMultilevel"/>
    <w:tmpl w:val="AC76C488"/>
    <w:lvl w:ilvl="0" w:tplc="3AC625F0">
      <w:numFmt w:val="bullet"/>
      <w:lvlText w:val="-"/>
      <w:lvlJc w:val="left"/>
      <w:pPr>
        <w:ind w:left="720" w:hanging="360"/>
      </w:pPr>
      <w:rPr>
        <w:rFonts w:ascii="Calibri" w:eastAsia="Times New Roman" w:hAnsi="Calibri" w:cstheme="minorHAns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541A25"/>
    <w:multiLevelType w:val="hybridMultilevel"/>
    <w:tmpl w:val="4782A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A72276"/>
    <w:multiLevelType w:val="hybridMultilevel"/>
    <w:tmpl w:val="6D84E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B50863"/>
    <w:multiLevelType w:val="multilevel"/>
    <w:tmpl w:val="FFA40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85AE0"/>
    <w:multiLevelType w:val="hybridMultilevel"/>
    <w:tmpl w:val="15BEA1E0"/>
    <w:lvl w:ilvl="0" w:tplc="7D92BAB4">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F4D466C"/>
    <w:multiLevelType w:val="hybridMultilevel"/>
    <w:tmpl w:val="A0A0B97C"/>
    <w:lvl w:ilvl="0" w:tplc="6E1815B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AA4C8B"/>
    <w:multiLevelType w:val="multilevel"/>
    <w:tmpl w:val="49C0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40CD4"/>
    <w:multiLevelType w:val="hybridMultilevel"/>
    <w:tmpl w:val="A5ECD7F0"/>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0542F2"/>
    <w:multiLevelType w:val="multilevel"/>
    <w:tmpl w:val="E9C6FF1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rPr>
    </w:lvl>
    <w:lvl w:ilvl="2">
      <w:start w:val="1"/>
      <w:numFmt w:val="decimal"/>
      <w:pStyle w:val="Heading3"/>
      <w:lvlText w:val="%1.%2.%3"/>
      <w:lvlJc w:val="left"/>
      <w:pPr>
        <w:ind w:left="720" w:hanging="720"/>
      </w:pPr>
    </w:lvl>
    <w:lvl w:ilvl="3">
      <w:start w:val="1"/>
      <w:numFmt w:val="decimal"/>
      <w:pStyle w:val="Heading4"/>
      <w:lvlText w:val="%1.%2.%3.%4"/>
      <w:lvlJc w:val="left"/>
      <w:pPr>
        <w:ind w:left="3841"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325333A"/>
    <w:multiLevelType w:val="hybridMultilevel"/>
    <w:tmpl w:val="F47A9644"/>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293B57"/>
    <w:multiLevelType w:val="multilevel"/>
    <w:tmpl w:val="5EAAF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F3920"/>
    <w:multiLevelType w:val="hybridMultilevel"/>
    <w:tmpl w:val="B73061BE"/>
    <w:lvl w:ilvl="0" w:tplc="9932B12C">
      <w:start w:val="1"/>
      <w:numFmt w:val="bullet"/>
      <w:lvlText w:val=""/>
      <w:lvlJc w:val="left"/>
      <w:pPr>
        <w:ind w:left="360" w:hanging="360"/>
      </w:pPr>
      <w:rPr>
        <w:rFonts w:ascii="Symbol" w:hAnsi="Symbol" w:hint="default"/>
        <w:color w:val="auto"/>
      </w:rPr>
    </w:lvl>
    <w:lvl w:ilvl="1" w:tplc="0C090005">
      <w:start w:val="1"/>
      <w:numFmt w:val="bullet"/>
      <w:lvlText w:val=""/>
      <w:lvlJc w:val="left"/>
      <w:pPr>
        <w:ind w:left="1080" w:hanging="360"/>
      </w:pPr>
      <w:rPr>
        <w:rFonts w:ascii="Wingdings" w:hAnsi="Wingdings" w:hint="default"/>
      </w:rPr>
    </w:lvl>
    <w:lvl w:ilvl="2" w:tplc="B13AABEE">
      <w:numFmt w:val="bullet"/>
      <w:lvlText w:val="•"/>
      <w:lvlJc w:val="left"/>
      <w:pPr>
        <w:ind w:left="2160" w:hanging="72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0C7AAC"/>
    <w:multiLevelType w:val="hybridMultilevel"/>
    <w:tmpl w:val="E7262B64"/>
    <w:lvl w:ilvl="0" w:tplc="464E8238">
      <w:numFmt w:val="bullet"/>
      <w:lvlText w:val="-"/>
      <w:lvlJc w:val="left"/>
      <w:pPr>
        <w:ind w:left="720" w:hanging="360"/>
      </w:pPr>
      <w:rPr>
        <w:rFonts w:ascii="Calibri" w:eastAsia="Times New Roman" w:hAnsi="Calibri" w:cs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2871EA"/>
    <w:multiLevelType w:val="multilevel"/>
    <w:tmpl w:val="021E8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2865BA"/>
    <w:multiLevelType w:val="hybridMultilevel"/>
    <w:tmpl w:val="9C9CAAF8"/>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3463E"/>
    <w:multiLevelType w:val="hybridMultilevel"/>
    <w:tmpl w:val="88F6DE18"/>
    <w:lvl w:ilvl="0" w:tplc="9932B1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97022836">
    <w:abstractNumId w:val="30"/>
  </w:num>
  <w:num w:numId="2" w16cid:durableId="1323971522">
    <w:abstractNumId w:val="33"/>
  </w:num>
  <w:num w:numId="3" w16cid:durableId="1071582604">
    <w:abstractNumId w:val="27"/>
  </w:num>
  <w:num w:numId="4" w16cid:durableId="1208759407">
    <w:abstractNumId w:val="0"/>
  </w:num>
  <w:num w:numId="5" w16cid:durableId="981926116">
    <w:abstractNumId w:val="21"/>
  </w:num>
  <w:num w:numId="6" w16cid:durableId="890656094">
    <w:abstractNumId w:val="14"/>
  </w:num>
  <w:num w:numId="7" w16cid:durableId="166790137">
    <w:abstractNumId w:val="5"/>
  </w:num>
  <w:num w:numId="8" w16cid:durableId="1735200657">
    <w:abstractNumId w:val="24"/>
  </w:num>
  <w:num w:numId="9" w16cid:durableId="2025590771">
    <w:abstractNumId w:val="2"/>
  </w:num>
  <w:num w:numId="10" w16cid:durableId="651837960">
    <w:abstractNumId w:val="26"/>
  </w:num>
  <w:num w:numId="11" w16cid:durableId="375736772">
    <w:abstractNumId w:val="10"/>
  </w:num>
  <w:num w:numId="12" w16cid:durableId="2102875319">
    <w:abstractNumId w:val="20"/>
  </w:num>
  <w:num w:numId="13" w16cid:durableId="737439816">
    <w:abstractNumId w:val="19"/>
  </w:num>
  <w:num w:numId="14" w16cid:durableId="646785291">
    <w:abstractNumId w:val="17"/>
  </w:num>
  <w:num w:numId="15" w16cid:durableId="146284925">
    <w:abstractNumId w:val="37"/>
  </w:num>
  <w:num w:numId="16" w16cid:durableId="552887139">
    <w:abstractNumId w:val="12"/>
  </w:num>
  <w:num w:numId="17" w16cid:durableId="174073608">
    <w:abstractNumId w:val="7"/>
  </w:num>
  <w:num w:numId="18" w16cid:durableId="1853252827">
    <w:abstractNumId w:val="36"/>
  </w:num>
  <w:num w:numId="19" w16cid:durableId="1445266354">
    <w:abstractNumId w:val="31"/>
  </w:num>
  <w:num w:numId="20" w16cid:durableId="60762662">
    <w:abstractNumId w:val="13"/>
  </w:num>
  <w:num w:numId="21" w16cid:durableId="605432184">
    <w:abstractNumId w:val="3"/>
  </w:num>
  <w:num w:numId="22" w16cid:durableId="1213275296">
    <w:abstractNumId w:val="29"/>
  </w:num>
  <w:num w:numId="23" w16cid:durableId="1391810930">
    <w:abstractNumId w:val="18"/>
  </w:num>
  <w:num w:numId="24" w16cid:durableId="1153328588">
    <w:abstractNumId w:val="8"/>
  </w:num>
  <w:num w:numId="25" w16cid:durableId="1618635189">
    <w:abstractNumId w:val="1"/>
  </w:num>
  <w:num w:numId="26" w16cid:durableId="899823256">
    <w:abstractNumId w:val="15"/>
  </w:num>
  <w:num w:numId="27" w16cid:durableId="1019509298">
    <w:abstractNumId w:val="11"/>
  </w:num>
  <w:num w:numId="28" w16cid:durableId="1306204129">
    <w:abstractNumId w:val="28"/>
  </w:num>
  <w:num w:numId="29" w16cid:durableId="1257514787">
    <w:abstractNumId w:val="16"/>
  </w:num>
  <w:num w:numId="30" w16cid:durableId="841358820">
    <w:abstractNumId w:val="6"/>
  </w:num>
  <w:num w:numId="31" w16cid:durableId="2067795718">
    <w:abstractNumId w:val="34"/>
  </w:num>
  <w:num w:numId="32" w16cid:durableId="768895641">
    <w:abstractNumId w:val="22"/>
  </w:num>
  <w:num w:numId="33" w16cid:durableId="257712589">
    <w:abstractNumId w:val="35"/>
  </w:num>
  <w:num w:numId="34" w16cid:durableId="903108201">
    <w:abstractNumId w:val="32"/>
  </w:num>
  <w:num w:numId="35" w16cid:durableId="236864478">
    <w:abstractNumId w:val="25"/>
  </w:num>
  <w:num w:numId="36" w16cid:durableId="628171532">
    <w:abstractNumId w:val="4"/>
  </w:num>
  <w:num w:numId="37" w16cid:durableId="1952087725">
    <w:abstractNumId w:val="9"/>
  </w:num>
  <w:num w:numId="38" w16cid:durableId="477504479">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9F"/>
    <w:rsid w:val="00002D22"/>
    <w:rsid w:val="000039EC"/>
    <w:rsid w:val="00003EB6"/>
    <w:rsid w:val="0000464D"/>
    <w:rsid w:val="000061CF"/>
    <w:rsid w:val="000069B6"/>
    <w:rsid w:val="00006CEE"/>
    <w:rsid w:val="00007068"/>
    <w:rsid w:val="000071AB"/>
    <w:rsid w:val="00007C02"/>
    <w:rsid w:val="00007D9F"/>
    <w:rsid w:val="000108A4"/>
    <w:rsid w:val="00010D20"/>
    <w:rsid w:val="00010D50"/>
    <w:rsid w:val="00011497"/>
    <w:rsid w:val="000125FE"/>
    <w:rsid w:val="00012AC9"/>
    <w:rsid w:val="000142DC"/>
    <w:rsid w:val="00014ABD"/>
    <w:rsid w:val="000154D7"/>
    <w:rsid w:val="000158B3"/>
    <w:rsid w:val="000168E6"/>
    <w:rsid w:val="00016C8A"/>
    <w:rsid w:val="000173ED"/>
    <w:rsid w:val="00021A0B"/>
    <w:rsid w:val="00021CC3"/>
    <w:rsid w:val="00022697"/>
    <w:rsid w:val="000228B8"/>
    <w:rsid w:val="00022991"/>
    <w:rsid w:val="00023339"/>
    <w:rsid w:val="00023EB1"/>
    <w:rsid w:val="00023FBB"/>
    <w:rsid w:val="00024ACC"/>
    <w:rsid w:val="00027266"/>
    <w:rsid w:val="00027E57"/>
    <w:rsid w:val="00030470"/>
    <w:rsid w:val="00030A84"/>
    <w:rsid w:val="00030EFF"/>
    <w:rsid w:val="00032C7E"/>
    <w:rsid w:val="000332A6"/>
    <w:rsid w:val="000359D9"/>
    <w:rsid w:val="00036451"/>
    <w:rsid w:val="000365C4"/>
    <w:rsid w:val="00036678"/>
    <w:rsid w:val="000403F2"/>
    <w:rsid w:val="00040978"/>
    <w:rsid w:val="00040D9F"/>
    <w:rsid w:val="00040FEB"/>
    <w:rsid w:val="00042E1B"/>
    <w:rsid w:val="00043026"/>
    <w:rsid w:val="00043C53"/>
    <w:rsid w:val="0004402D"/>
    <w:rsid w:val="00044F12"/>
    <w:rsid w:val="000465A9"/>
    <w:rsid w:val="00046FE2"/>
    <w:rsid w:val="0005089E"/>
    <w:rsid w:val="00050E64"/>
    <w:rsid w:val="00052928"/>
    <w:rsid w:val="00052A33"/>
    <w:rsid w:val="00053828"/>
    <w:rsid w:val="00053B95"/>
    <w:rsid w:val="00053F1C"/>
    <w:rsid w:val="0005576F"/>
    <w:rsid w:val="000573A0"/>
    <w:rsid w:val="000605C7"/>
    <w:rsid w:val="00061979"/>
    <w:rsid w:val="0006383A"/>
    <w:rsid w:val="00064B61"/>
    <w:rsid w:val="00065130"/>
    <w:rsid w:val="000653DB"/>
    <w:rsid w:val="000654B2"/>
    <w:rsid w:val="00066F58"/>
    <w:rsid w:val="00067A63"/>
    <w:rsid w:val="00067FE2"/>
    <w:rsid w:val="00070481"/>
    <w:rsid w:val="0007159A"/>
    <w:rsid w:val="00072F76"/>
    <w:rsid w:val="000742E7"/>
    <w:rsid w:val="0007493B"/>
    <w:rsid w:val="000749C4"/>
    <w:rsid w:val="00074A5B"/>
    <w:rsid w:val="00076842"/>
    <w:rsid w:val="000801C3"/>
    <w:rsid w:val="000807BD"/>
    <w:rsid w:val="00082503"/>
    <w:rsid w:val="000854AF"/>
    <w:rsid w:val="000856AE"/>
    <w:rsid w:val="00086373"/>
    <w:rsid w:val="0008659D"/>
    <w:rsid w:val="000907AA"/>
    <w:rsid w:val="00091D63"/>
    <w:rsid w:val="00092A9C"/>
    <w:rsid w:val="00092D43"/>
    <w:rsid w:val="00092FBA"/>
    <w:rsid w:val="00094BF5"/>
    <w:rsid w:val="0009546F"/>
    <w:rsid w:val="000972B4"/>
    <w:rsid w:val="000973FB"/>
    <w:rsid w:val="000978D9"/>
    <w:rsid w:val="000A086B"/>
    <w:rsid w:val="000A0E61"/>
    <w:rsid w:val="000A1382"/>
    <w:rsid w:val="000A1FAC"/>
    <w:rsid w:val="000A2B5B"/>
    <w:rsid w:val="000A4330"/>
    <w:rsid w:val="000A5B62"/>
    <w:rsid w:val="000A5D67"/>
    <w:rsid w:val="000B05D5"/>
    <w:rsid w:val="000B0A75"/>
    <w:rsid w:val="000B2CE9"/>
    <w:rsid w:val="000B3222"/>
    <w:rsid w:val="000B3B91"/>
    <w:rsid w:val="000B4557"/>
    <w:rsid w:val="000B4727"/>
    <w:rsid w:val="000B5F2F"/>
    <w:rsid w:val="000B6028"/>
    <w:rsid w:val="000B6E30"/>
    <w:rsid w:val="000C153E"/>
    <w:rsid w:val="000C2CDF"/>
    <w:rsid w:val="000C3005"/>
    <w:rsid w:val="000C3AA9"/>
    <w:rsid w:val="000C46B3"/>
    <w:rsid w:val="000C7805"/>
    <w:rsid w:val="000C7E46"/>
    <w:rsid w:val="000D0124"/>
    <w:rsid w:val="000D02B1"/>
    <w:rsid w:val="000D03A5"/>
    <w:rsid w:val="000D081E"/>
    <w:rsid w:val="000D0D61"/>
    <w:rsid w:val="000D2363"/>
    <w:rsid w:val="000D3890"/>
    <w:rsid w:val="000D4F26"/>
    <w:rsid w:val="000D5CB3"/>
    <w:rsid w:val="000D6C8E"/>
    <w:rsid w:val="000D7751"/>
    <w:rsid w:val="000E100B"/>
    <w:rsid w:val="000E13DC"/>
    <w:rsid w:val="000E1587"/>
    <w:rsid w:val="000E28BD"/>
    <w:rsid w:val="000E31CC"/>
    <w:rsid w:val="000E3403"/>
    <w:rsid w:val="000E436F"/>
    <w:rsid w:val="000E4D15"/>
    <w:rsid w:val="000E5449"/>
    <w:rsid w:val="000E5A44"/>
    <w:rsid w:val="000E6975"/>
    <w:rsid w:val="000E6BCC"/>
    <w:rsid w:val="000E6C3B"/>
    <w:rsid w:val="000E7C91"/>
    <w:rsid w:val="000E7DF4"/>
    <w:rsid w:val="000F03B8"/>
    <w:rsid w:val="000F171D"/>
    <w:rsid w:val="000F1991"/>
    <w:rsid w:val="000F2BDA"/>
    <w:rsid w:val="000F3595"/>
    <w:rsid w:val="000F37AE"/>
    <w:rsid w:val="000F4823"/>
    <w:rsid w:val="000F7724"/>
    <w:rsid w:val="00100F40"/>
    <w:rsid w:val="00101B22"/>
    <w:rsid w:val="00102408"/>
    <w:rsid w:val="001031C7"/>
    <w:rsid w:val="00104672"/>
    <w:rsid w:val="0010518B"/>
    <w:rsid w:val="00105741"/>
    <w:rsid w:val="001066D9"/>
    <w:rsid w:val="00106968"/>
    <w:rsid w:val="00111F9F"/>
    <w:rsid w:val="001127DF"/>
    <w:rsid w:val="001128F9"/>
    <w:rsid w:val="00112C1C"/>
    <w:rsid w:val="00112FBB"/>
    <w:rsid w:val="001134C1"/>
    <w:rsid w:val="0011453B"/>
    <w:rsid w:val="001153E4"/>
    <w:rsid w:val="00115963"/>
    <w:rsid w:val="001159BB"/>
    <w:rsid w:val="00117AC4"/>
    <w:rsid w:val="00121A59"/>
    <w:rsid w:val="00121B54"/>
    <w:rsid w:val="0012249D"/>
    <w:rsid w:val="001248BB"/>
    <w:rsid w:val="00125260"/>
    <w:rsid w:val="00125B93"/>
    <w:rsid w:val="00126642"/>
    <w:rsid w:val="00127EDD"/>
    <w:rsid w:val="00131541"/>
    <w:rsid w:val="0013194F"/>
    <w:rsid w:val="00131DB5"/>
    <w:rsid w:val="00131EB6"/>
    <w:rsid w:val="00132199"/>
    <w:rsid w:val="00132307"/>
    <w:rsid w:val="0013234A"/>
    <w:rsid w:val="00132A60"/>
    <w:rsid w:val="00132E41"/>
    <w:rsid w:val="00133B64"/>
    <w:rsid w:val="00133CE2"/>
    <w:rsid w:val="0013487C"/>
    <w:rsid w:val="00134C3F"/>
    <w:rsid w:val="00134FE5"/>
    <w:rsid w:val="00135DA4"/>
    <w:rsid w:val="0013776F"/>
    <w:rsid w:val="00137B42"/>
    <w:rsid w:val="001407C2"/>
    <w:rsid w:val="00140B32"/>
    <w:rsid w:val="00140F45"/>
    <w:rsid w:val="001418BE"/>
    <w:rsid w:val="00141BA7"/>
    <w:rsid w:val="00142629"/>
    <w:rsid w:val="00142638"/>
    <w:rsid w:val="00142FB3"/>
    <w:rsid w:val="00143932"/>
    <w:rsid w:val="00143B36"/>
    <w:rsid w:val="001448E2"/>
    <w:rsid w:val="00144BA4"/>
    <w:rsid w:val="0014501B"/>
    <w:rsid w:val="001450E9"/>
    <w:rsid w:val="00147A6F"/>
    <w:rsid w:val="001508B6"/>
    <w:rsid w:val="00150A66"/>
    <w:rsid w:val="0015292A"/>
    <w:rsid w:val="001529E2"/>
    <w:rsid w:val="00152CAD"/>
    <w:rsid w:val="0015362E"/>
    <w:rsid w:val="001553A8"/>
    <w:rsid w:val="0015581B"/>
    <w:rsid w:val="001559CC"/>
    <w:rsid w:val="00155DE2"/>
    <w:rsid w:val="00156372"/>
    <w:rsid w:val="0015644C"/>
    <w:rsid w:val="00162323"/>
    <w:rsid w:val="00163884"/>
    <w:rsid w:val="00164211"/>
    <w:rsid w:val="00164522"/>
    <w:rsid w:val="001650B9"/>
    <w:rsid w:val="00165591"/>
    <w:rsid w:val="00166B25"/>
    <w:rsid w:val="00173954"/>
    <w:rsid w:val="00173D6C"/>
    <w:rsid w:val="00174124"/>
    <w:rsid w:val="00174CBB"/>
    <w:rsid w:val="00175E13"/>
    <w:rsid w:val="00176EAF"/>
    <w:rsid w:val="001778F2"/>
    <w:rsid w:val="00177F3E"/>
    <w:rsid w:val="001815E6"/>
    <w:rsid w:val="00181827"/>
    <w:rsid w:val="00183BA1"/>
    <w:rsid w:val="0018439E"/>
    <w:rsid w:val="00184525"/>
    <w:rsid w:val="0019092C"/>
    <w:rsid w:val="00190B24"/>
    <w:rsid w:val="00191420"/>
    <w:rsid w:val="00192ED2"/>
    <w:rsid w:val="001934F2"/>
    <w:rsid w:val="0019377A"/>
    <w:rsid w:val="0019424B"/>
    <w:rsid w:val="001956B7"/>
    <w:rsid w:val="00195931"/>
    <w:rsid w:val="00196798"/>
    <w:rsid w:val="001973A3"/>
    <w:rsid w:val="001A0DA8"/>
    <w:rsid w:val="001A31C8"/>
    <w:rsid w:val="001A42FE"/>
    <w:rsid w:val="001A4DD2"/>
    <w:rsid w:val="001A526D"/>
    <w:rsid w:val="001A5366"/>
    <w:rsid w:val="001A6249"/>
    <w:rsid w:val="001A74D3"/>
    <w:rsid w:val="001A74FC"/>
    <w:rsid w:val="001A7E2B"/>
    <w:rsid w:val="001A7E83"/>
    <w:rsid w:val="001A7F21"/>
    <w:rsid w:val="001B1C1B"/>
    <w:rsid w:val="001B1D94"/>
    <w:rsid w:val="001B2290"/>
    <w:rsid w:val="001B29E3"/>
    <w:rsid w:val="001B3007"/>
    <w:rsid w:val="001B3B32"/>
    <w:rsid w:val="001B5961"/>
    <w:rsid w:val="001B5D41"/>
    <w:rsid w:val="001B633C"/>
    <w:rsid w:val="001B7D66"/>
    <w:rsid w:val="001C14DB"/>
    <w:rsid w:val="001C18DD"/>
    <w:rsid w:val="001C3501"/>
    <w:rsid w:val="001C424E"/>
    <w:rsid w:val="001C4B14"/>
    <w:rsid w:val="001D0FF2"/>
    <w:rsid w:val="001D1277"/>
    <w:rsid w:val="001D2825"/>
    <w:rsid w:val="001D3260"/>
    <w:rsid w:val="001D33F4"/>
    <w:rsid w:val="001D43B8"/>
    <w:rsid w:val="001D4F16"/>
    <w:rsid w:val="001D683A"/>
    <w:rsid w:val="001D6FBD"/>
    <w:rsid w:val="001D7548"/>
    <w:rsid w:val="001E148D"/>
    <w:rsid w:val="001E21DB"/>
    <w:rsid w:val="001E28B3"/>
    <w:rsid w:val="001E2BE2"/>
    <w:rsid w:val="001E3ADE"/>
    <w:rsid w:val="001E510F"/>
    <w:rsid w:val="001E7F75"/>
    <w:rsid w:val="001F036C"/>
    <w:rsid w:val="001F1ABD"/>
    <w:rsid w:val="001F1FAC"/>
    <w:rsid w:val="001F2854"/>
    <w:rsid w:val="001F37D9"/>
    <w:rsid w:val="001F3C81"/>
    <w:rsid w:val="001F474D"/>
    <w:rsid w:val="001F7121"/>
    <w:rsid w:val="001F72D6"/>
    <w:rsid w:val="001F7C16"/>
    <w:rsid w:val="001F7E45"/>
    <w:rsid w:val="002008C0"/>
    <w:rsid w:val="002010B8"/>
    <w:rsid w:val="00201177"/>
    <w:rsid w:val="0020206C"/>
    <w:rsid w:val="0020314D"/>
    <w:rsid w:val="00203448"/>
    <w:rsid w:val="002039C6"/>
    <w:rsid w:val="00203CB1"/>
    <w:rsid w:val="002041BB"/>
    <w:rsid w:val="002054FE"/>
    <w:rsid w:val="00210B78"/>
    <w:rsid w:val="002119B9"/>
    <w:rsid w:val="00211A8C"/>
    <w:rsid w:val="00212D0A"/>
    <w:rsid w:val="0021326B"/>
    <w:rsid w:val="002137D5"/>
    <w:rsid w:val="00214395"/>
    <w:rsid w:val="002145E6"/>
    <w:rsid w:val="00215373"/>
    <w:rsid w:val="002160D4"/>
    <w:rsid w:val="00216E58"/>
    <w:rsid w:val="0022193B"/>
    <w:rsid w:val="00221B32"/>
    <w:rsid w:val="00223EAE"/>
    <w:rsid w:val="00224F8B"/>
    <w:rsid w:val="00225708"/>
    <w:rsid w:val="002264FB"/>
    <w:rsid w:val="0022651F"/>
    <w:rsid w:val="00231172"/>
    <w:rsid w:val="00231926"/>
    <w:rsid w:val="00231C3E"/>
    <w:rsid w:val="00232C70"/>
    <w:rsid w:val="00233354"/>
    <w:rsid w:val="00233495"/>
    <w:rsid w:val="00233797"/>
    <w:rsid w:val="002337DF"/>
    <w:rsid w:val="00234404"/>
    <w:rsid w:val="002346D0"/>
    <w:rsid w:val="00234B61"/>
    <w:rsid w:val="0023684C"/>
    <w:rsid w:val="002375B8"/>
    <w:rsid w:val="00240FE1"/>
    <w:rsid w:val="00242402"/>
    <w:rsid w:val="00242778"/>
    <w:rsid w:val="002427FC"/>
    <w:rsid w:val="00242A97"/>
    <w:rsid w:val="002432C5"/>
    <w:rsid w:val="00243300"/>
    <w:rsid w:val="00245E5C"/>
    <w:rsid w:val="00246583"/>
    <w:rsid w:val="00246638"/>
    <w:rsid w:val="00246A72"/>
    <w:rsid w:val="00251854"/>
    <w:rsid w:val="00251B5A"/>
    <w:rsid w:val="00252012"/>
    <w:rsid w:val="00252A53"/>
    <w:rsid w:val="00253CFA"/>
    <w:rsid w:val="0025499F"/>
    <w:rsid w:val="00260227"/>
    <w:rsid w:val="00260277"/>
    <w:rsid w:val="00260762"/>
    <w:rsid w:val="002613D9"/>
    <w:rsid w:val="00261A73"/>
    <w:rsid w:val="00262D5A"/>
    <w:rsid w:val="00263F04"/>
    <w:rsid w:val="00264AC2"/>
    <w:rsid w:val="00265BB8"/>
    <w:rsid w:val="00265BE7"/>
    <w:rsid w:val="00271EC1"/>
    <w:rsid w:val="002727ED"/>
    <w:rsid w:val="0027292D"/>
    <w:rsid w:val="00272D13"/>
    <w:rsid w:val="00274F06"/>
    <w:rsid w:val="002753C7"/>
    <w:rsid w:val="00276537"/>
    <w:rsid w:val="00276AAE"/>
    <w:rsid w:val="0027783C"/>
    <w:rsid w:val="00277FDE"/>
    <w:rsid w:val="00280DBE"/>
    <w:rsid w:val="00283B01"/>
    <w:rsid w:val="00285B9E"/>
    <w:rsid w:val="002866C9"/>
    <w:rsid w:val="00286E05"/>
    <w:rsid w:val="0028725D"/>
    <w:rsid w:val="00287622"/>
    <w:rsid w:val="002919ED"/>
    <w:rsid w:val="00291DE3"/>
    <w:rsid w:val="002925EC"/>
    <w:rsid w:val="00297949"/>
    <w:rsid w:val="00297EAA"/>
    <w:rsid w:val="002A056D"/>
    <w:rsid w:val="002A08A0"/>
    <w:rsid w:val="002A12F2"/>
    <w:rsid w:val="002A148F"/>
    <w:rsid w:val="002A1EB3"/>
    <w:rsid w:val="002A2368"/>
    <w:rsid w:val="002A2765"/>
    <w:rsid w:val="002A2B15"/>
    <w:rsid w:val="002A2EC2"/>
    <w:rsid w:val="002A3CE6"/>
    <w:rsid w:val="002A3FE5"/>
    <w:rsid w:val="002A5118"/>
    <w:rsid w:val="002A5457"/>
    <w:rsid w:val="002A681B"/>
    <w:rsid w:val="002A763B"/>
    <w:rsid w:val="002B10E9"/>
    <w:rsid w:val="002B1164"/>
    <w:rsid w:val="002B1690"/>
    <w:rsid w:val="002B179F"/>
    <w:rsid w:val="002B1B97"/>
    <w:rsid w:val="002B2A5D"/>
    <w:rsid w:val="002B2D56"/>
    <w:rsid w:val="002B32EB"/>
    <w:rsid w:val="002B3FA5"/>
    <w:rsid w:val="002B5397"/>
    <w:rsid w:val="002B5CA8"/>
    <w:rsid w:val="002B7593"/>
    <w:rsid w:val="002C049A"/>
    <w:rsid w:val="002C08C6"/>
    <w:rsid w:val="002C1E9A"/>
    <w:rsid w:val="002C2997"/>
    <w:rsid w:val="002C2DF3"/>
    <w:rsid w:val="002C316F"/>
    <w:rsid w:val="002C35B3"/>
    <w:rsid w:val="002C4773"/>
    <w:rsid w:val="002C4BB0"/>
    <w:rsid w:val="002C65E4"/>
    <w:rsid w:val="002C7436"/>
    <w:rsid w:val="002D046D"/>
    <w:rsid w:val="002D1A44"/>
    <w:rsid w:val="002D3D52"/>
    <w:rsid w:val="002D470E"/>
    <w:rsid w:val="002D51E6"/>
    <w:rsid w:val="002D5362"/>
    <w:rsid w:val="002D635C"/>
    <w:rsid w:val="002D722E"/>
    <w:rsid w:val="002D7533"/>
    <w:rsid w:val="002D7E7E"/>
    <w:rsid w:val="002E01A2"/>
    <w:rsid w:val="002E1DB1"/>
    <w:rsid w:val="002E218B"/>
    <w:rsid w:val="002E318E"/>
    <w:rsid w:val="002E3EE4"/>
    <w:rsid w:val="002E4105"/>
    <w:rsid w:val="002E4C7A"/>
    <w:rsid w:val="002E4FAC"/>
    <w:rsid w:val="002E5165"/>
    <w:rsid w:val="002E53C3"/>
    <w:rsid w:val="002E55AB"/>
    <w:rsid w:val="002E5BB0"/>
    <w:rsid w:val="002E699F"/>
    <w:rsid w:val="002E7357"/>
    <w:rsid w:val="002F24ED"/>
    <w:rsid w:val="002F37C8"/>
    <w:rsid w:val="002F45E8"/>
    <w:rsid w:val="002F4F3F"/>
    <w:rsid w:val="002F5D0B"/>
    <w:rsid w:val="002F6024"/>
    <w:rsid w:val="00301654"/>
    <w:rsid w:val="0030299B"/>
    <w:rsid w:val="00302C36"/>
    <w:rsid w:val="00303D1B"/>
    <w:rsid w:val="00303FC8"/>
    <w:rsid w:val="003078EA"/>
    <w:rsid w:val="00307CFE"/>
    <w:rsid w:val="003106BF"/>
    <w:rsid w:val="00312D32"/>
    <w:rsid w:val="00312F3E"/>
    <w:rsid w:val="003132FD"/>
    <w:rsid w:val="00313755"/>
    <w:rsid w:val="00313FAB"/>
    <w:rsid w:val="003149A8"/>
    <w:rsid w:val="00314EA0"/>
    <w:rsid w:val="003152FB"/>
    <w:rsid w:val="003168CF"/>
    <w:rsid w:val="00320516"/>
    <w:rsid w:val="0032070B"/>
    <w:rsid w:val="0032170C"/>
    <w:rsid w:val="00321EE7"/>
    <w:rsid w:val="0032203C"/>
    <w:rsid w:val="0032251A"/>
    <w:rsid w:val="003234DA"/>
    <w:rsid w:val="00323DA9"/>
    <w:rsid w:val="00325841"/>
    <w:rsid w:val="00325EDF"/>
    <w:rsid w:val="00327DE0"/>
    <w:rsid w:val="00330969"/>
    <w:rsid w:val="0033211B"/>
    <w:rsid w:val="003322F5"/>
    <w:rsid w:val="0033272B"/>
    <w:rsid w:val="00332AA1"/>
    <w:rsid w:val="003338D5"/>
    <w:rsid w:val="00333A7E"/>
    <w:rsid w:val="00333E90"/>
    <w:rsid w:val="00333F45"/>
    <w:rsid w:val="00334CCF"/>
    <w:rsid w:val="00335243"/>
    <w:rsid w:val="00335359"/>
    <w:rsid w:val="0033567F"/>
    <w:rsid w:val="003368B8"/>
    <w:rsid w:val="00336F79"/>
    <w:rsid w:val="00341C0C"/>
    <w:rsid w:val="00341D33"/>
    <w:rsid w:val="00342449"/>
    <w:rsid w:val="0034295E"/>
    <w:rsid w:val="00343D00"/>
    <w:rsid w:val="00344A27"/>
    <w:rsid w:val="00344F84"/>
    <w:rsid w:val="00345770"/>
    <w:rsid w:val="00345D16"/>
    <w:rsid w:val="0034625D"/>
    <w:rsid w:val="003464C5"/>
    <w:rsid w:val="00346C8D"/>
    <w:rsid w:val="003501AA"/>
    <w:rsid w:val="003505C5"/>
    <w:rsid w:val="00352253"/>
    <w:rsid w:val="003523F1"/>
    <w:rsid w:val="0035245C"/>
    <w:rsid w:val="00352D50"/>
    <w:rsid w:val="00352F75"/>
    <w:rsid w:val="003544C0"/>
    <w:rsid w:val="00355DEC"/>
    <w:rsid w:val="0035719A"/>
    <w:rsid w:val="00360114"/>
    <w:rsid w:val="00362405"/>
    <w:rsid w:val="00362571"/>
    <w:rsid w:val="00363950"/>
    <w:rsid w:val="00364F73"/>
    <w:rsid w:val="0036586F"/>
    <w:rsid w:val="003666BE"/>
    <w:rsid w:val="00366C7D"/>
    <w:rsid w:val="00367F31"/>
    <w:rsid w:val="00370DD9"/>
    <w:rsid w:val="00370EE8"/>
    <w:rsid w:val="00371C29"/>
    <w:rsid w:val="00373273"/>
    <w:rsid w:val="00373345"/>
    <w:rsid w:val="00375614"/>
    <w:rsid w:val="00376CE1"/>
    <w:rsid w:val="00376D4D"/>
    <w:rsid w:val="00377BEC"/>
    <w:rsid w:val="003800AE"/>
    <w:rsid w:val="0038046F"/>
    <w:rsid w:val="003805EE"/>
    <w:rsid w:val="00381A86"/>
    <w:rsid w:val="00381AEC"/>
    <w:rsid w:val="00381B30"/>
    <w:rsid w:val="0038363D"/>
    <w:rsid w:val="00383D4F"/>
    <w:rsid w:val="00383DAD"/>
    <w:rsid w:val="00383E30"/>
    <w:rsid w:val="00383ED9"/>
    <w:rsid w:val="003842D0"/>
    <w:rsid w:val="00385041"/>
    <w:rsid w:val="00385E01"/>
    <w:rsid w:val="00385F04"/>
    <w:rsid w:val="00392730"/>
    <w:rsid w:val="0039351C"/>
    <w:rsid w:val="00393A0B"/>
    <w:rsid w:val="00394443"/>
    <w:rsid w:val="00395169"/>
    <w:rsid w:val="003A3C38"/>
    <w:rsid w:val="003A3E7C"/>
    <w:rsid w:val="003A45A0"/>
    <w:rsid w:val="003A4917"/>
    <w:rsid w:val="003A7550"/>
    <w:rsid w:val="003A7F57"/>
    <w:rsid w:val="003AA0C5"/>
    <w:rsid w:val="003B1734"/>
    <w:rsid w:val="003B18BC"/>
    <w:rsid w:val="003B1A75"/>
    <w:rsid w:val="003B23D3"/>
    <w:rsid w:val="003B4EEF"/>
    <w:rsid w:val="003B59D4"/>
    <w:rsid w:val="003B5E89"/>
    <w:rsid w:val="003B5FD3"/>
    <w:rsid w:val="003B74E2"/>
    <w:rsid w:val="003B7BDC"/>
    <w:rsid w:val="003C02DF"/>
    <w:rsid w:val="003C0578"/>
    <w:rsid w:val="003C1511"/>
    <w:rsid w:val="003C48E2"/>
    <w:rsid w:val="003C66BD"/>
    <w:rsid w:val="003D06F7"/>
    <w:rsid w:val="003D0821"/>
    <w:rsid w:val="003D0A7F"/>
    <w:rsid w:val="003D1B83"/>
    <w:rsid w:val="003D2485"/>
    <w:rsid w:val="003D4488"/>
    <w:rsid w:val="003D5926"/>
    <w:rsid w:val="003D6D96"/>
    <w:rsid w:val="003D7974"/>
    <w:rsid w:val="003D7AE7"/>
    <w:rsid w:val="003E11E3"/>
    <w:rsid w:val="003E1F57"/>
    <w:rsid w:val="003E22B9"/>
    <w:rsid w:val="003E22D2"/>
    <w:rsid w:val="003E2F7D"/>
    <w:rsid w:val="003E3D5F"/>
    <w:rsid w:val="003E3DD7"/>
    <w:rsid w:val="003E3EA2"/>
    <w:rsid w:val="003E6799"/>
    <w:rsid w:val="003E6935"/>
    <w:rsid w:val="003E6D9E"/>
    <w:rsid w:val="003E7490"/>
    <w:rsid w:val="003E79B0"/>
    <w:rsid w:val="003F04EB"/>
    <w:rsid w:val="003F14A4"/>
    <w:rsid w:val="003F4751"/>
    <w:rsid w:val="003F5CD1"/>
    <w:rsid w:val="003F5CE9"/>
    <w:rsid w:val="003F659A"/>
    <w:rsid w:val="00402A4F"/>
    <w:rsid w:val="00403162"/>
    <w:rsid w:val="0040388E"/>
    <w:rsid w:val="00403D33"/>
    <w:rsid w:val="0040428F"/>
    <w:rsid w:val="00405E80"/>
    <w:rsid w:val="00406B96"/>
    <w:rsid w:val="0040731C"/>
    <w:rsid w:val="0040748F"/>
    <w:rsid w:val="00410126"/>
    <w:rsid w:val="004105DE"/>
    <w:rsid w:val="00411554"/>
    <w:rsid w:val="0041171A"/>
    <w:rsid w:val="00412AD8"/>
    <w:rsid w:val="004132A1"/>
    <w:rsid w:val="00413D09"/>
    <w:rsid w:val="00413F31"/>
    <w:rsid w:val="00416CC1"/>
    <w:rsid w:val="00417147"/>
    <w:rsid w:val="004200E1"/>
    <w:rsid w:val="00420807"/>
    <w:rsid w:val="00420B52"/>
    <w:rsid w:val="004219DA"/>
    <w:rsid w:val="00421E41"/>
    <w:rsid w:val="00423260"/>
    <w:rsid w:val="004251BA"/>
    <w:rsid w:val="00425F98"/>
    <w:rsid w:val="004263B9"/>
    <w:rsid w:val="00430A36"/>
    <w:rsid w:val="004322DC"/>
    <w:rsid w:val="00432823"/>
    <w:rsid w:val="00433E3F"/>
    <w:rsid w:val="004341C1"/>
    <w:rsid w:val="004347B9"/>
    <w:rsid w:val="00434FA4"/>
    <w:rsid w:val="00435098"/>
    <w:rsid w:val="00436D0F"/>
    <w:rsid w:val="004375B4"/>
    <w:rsid w:val="0043786C"/>
    <w:rsid w:val="0044011C"/>
    <w:rsid w:val="00440F88"/>
    <w:rsid w:val="0044151F"/>
    <w:rsid w:val="00441534"/>
    <w:rsid w:val="00443960"/>
    <w:rsid w:val="00444505"/>
    <w:rsid w:val="00444527"/>
    <w:rsid w:val="00445879"/>
    <w:rsid w:val="00445900"/>
    <w:rsid w:val="00445C97"/>
    <w:rsid w:val="0045029D"/>
    <w:rsid w:val="00450926"/>
    <w:rsid w:val="00450DC5"/>
    <w:rsid w:val="00451338"/>
    <w:rsid w:val="0045245D"/>
    <w:rsid w:val="00452FCC"/>
    <w:rsid w:val="0045362B"/>
    <w:rsid w:val="00453A5F"/>
    <w:rsid w:val="0045428F"/>
    <w:rsid w:val="00454311"/>
    <w:rsid w:val="00454867"/>
    <w:rsid w:val="004550FB"/>
    <w:rsid w:val="00455471"/>
    <w:rsid w:val="004554B2"/>
    <w:rsid w:val="00455C0B"/>
    <w:rsid w:val="00455D11"/>
    <w:rsid w:val="00457A54"/>
    <w:rsid w:val="00457B3B"/>
    <w:rsid w:val="00460213"/>
    <w:rsid w:val="00460CC3"/>
    <w:rsid w:val="00461619"/>
    <w:rsid w:val="00461848"/>
    <w:rsid w:val="00461D2F"/>
    <w:rsid w:val="0046427E"/>
    <w:rsid w:val="004649C9"/>
    <w:rsid w:val="00465CD7"/>
    <w:rsid w:val="004672D8"/>
    <w:rsid w:val="00467813"/>
    <w:rsid w:val="00467C2C"/>
    <w:rsid w:val="00470C58"/>
    <w:rsid w:val="00471F75"/>
    <w:rsid w:val="00472869"/>
    <w:rsid w:val="004746B7"/>
    <w:rsid w:val="00474BDE"/>
    <w:rsid w:val="00474CFD"/>
    <w:rsid w:val="00475A73"/>
    <w:rsid w:val="00475D92"/>
    <w:rsid w:val="00475F6D"/>
    <w:rsid w:val="00477345"/>
    <w:rsid w:val="00477552"/>
    <w:rsid w:val="00477C08"/>
    <w:rsid w:val="00477FB3"/>
    <w:rsid w:val="0048072F"/>
    <w:rsid w:val="00481015"/>
    <w:rsid w:val="00481C3C"/>
    <w:rsid w:val="00481FA1"/>
    <w:rsid w:val="00482111"/>
    <w:rsid w:val="004829C1"/>
    <w:rsid w:val="004858D1"/>
    <w:rsid w:val="0049014C"/>
    <w:rsid w:val="004902C1"/>
    <w:rsid w:val="00490CC4"/>
    <w:rsid w:val="004934C8"/>
    <w:rsid w:val="00494208"/>
    <w:rsid w:val="00494CD1"/>
    <w:rsid w:val="004968B1"/>
    <w:rsid w:val="0049690E"/>
    <w:rsid w:val="00497D27"/>
    <w:rsid w:val="004A0494"/>
    <w:rsid w:val="004A07F0"/>
    <w:rsid w:val="004A086F"/>
    <w:rsid w:val="004A44B6"/>
    <w:rsid w:val="004A487C"/>
    <w:rsid w:val="004A7B5A"/>
    <w:rsid w:val="004A7C50"/>
    <w:rsid w:val="004B03F6"/>
    <w:rsid w:val="004B1CEF"/>
    <w:rsid w:val="004B1D0E"/>
    <w:rsid w:val="004B2542"/>
    <w:rsid w:val="004B336D"/>
    <w:rsid w:val="004B42B9"/>
    <w:rsid w:val="004B6ADF"/>
    <w:rsid w:val="004C0B85"/>
    <w:rsid w:val="004C11DB"/>
    <w:rsid w:val="004C2518"/>
    <w:rsid w:val="004C432C"/>
    <w:rsid w:val="004C449A"/>
    <w:rsid w:val="004C5769"/>
    <w:rsid w:val="004C5799"/>
    <w:rsid w:val="004C5E71"/>
    <w:rsid w:val="004C6476"/>
    <w:rsid w:val="004C78C1"/>
    <w:rsid w:val="004C7F2A"/>
    <w:rsid w:val="004D0E89"/>
    <w:rsid w:val="004D1E8F"/>
    <w:rsid w:val="004D228A"/>
    <w:rsid w:val="004D3E70"/>
    <w:rsid w:val="004D3E74"/>
    <w:rsid w:val="004D5658"/>
    <w:rsid w:val="004D5F9F"/>
    <w:rsid w:val="004D668C"/>
    <w:rsid w:val="004E0FD3"/>
    <w:rsid w:val="004E11D9"/>
    <w:rsid w:val="004E1850"/>
    <w:rsid w:val="004E1CE4"/>
    <w:rsid w:val="004E2D13"/>
    <w:rsid w:val="004E3AA8"/>
    <w:rsid w:val="004E5762"/>
    <w:rsid w:val="004E63CA"/>
    <w:rsid w:val="004E7B60"/>
    <w:rsid w:val="004E7CC0"/>
    <w:rsid w:val="004E7D91"/>
    <w:rsid w:val="004E7F3A"/>
    <w:rsid w:val="004F0921"/>
    <w:rsid w:val="004F1779"/>
    <w:rsid w:val="004F1CD0"/>
    <w:rsid w:val="004F33C9"/>
    <w:rsid w:val="004F46B4"/>
    <w:rsid w:val="004F4D3D"/>
    <w:rsid w:val="004F53F2"/>
    <w:rsid w:val="004F5852"/>
    <w:rsid w:val="004F5C47"/>
    <w:rsid w:val="004F62E5"/>
    <w:rsid w:val="0050040C"/>
    <w:rsid w:val="00501642"/>
    <w:rsid w:val="00501C8C"/>
    <w:rsid w:val="0051054F"/>
    <w:rsid w:val="00511144"/>
    <w:rsid w:val="00511A02"/>
    <w:rsid w:val="00512F92"/>
    <w:rsid w:val="00514A0D"/>
    <w:rsid w:val="005159E6"/>
    <w:rsid w:val="00516858"/>
    <w:rsid w:val="00520286"/>
    <w:rsid w:val="00520602"/>
    <w:rsid w:val="00521219"/>
    <w:rsid w:val="00521A03"/>
    <w:rsid w:val="00521F8F"/>
    <w:rsid w:val="00523742"/>
    <w:rsid w:val="00524EFF"/>
    <w:rsid w:val="00525A68"/>
    <w:rsid w:val="00525AA0"/>
    <w:rsid w:val="005265B9"/>
    <w:rsid w:val="005300C8"/>
    <w:rsid w:val="00530D3C"/>
    <w:rsid w:val="005312FB"/>
    <w:rsid w:val="00531F10"/>
    <w:rsid w:val="00532182"/>
    <w:rsid w:val="00533BDD"/>
    <w:rsid w:val="005345F7"/>
    <w:rsid w:val="00534F65"/>
    <w:rsid w:val="0053538B"/>
    <w:rsid w:val="00536F8A"/>
    <w:rsid w:val="00537A18"/>
    <w:rsid w:val="005402D0"/>
    <w:rsid w:val="0054038D"/>
    <w:rsid w:val="005406AB"/>
    <w:rsid w:val="00540C02"/>
    <w:rsid w:val="0054253C"/>
    <w:rsid w:val="00542619"/>
    <w:rsid w:val="0054270F"/>
    <w:rsid w:val="00542D07"/>
    <w:rsid w:val="00544F06"/>
    <w:rsid w:val="00550001"/>
    <w:rsid w:val="005506C7"/>
    <w:rsid w:val="0055151F"/>
    <w:rsid w:val="00552CD4"/>
    <w:rsid w:val="005535CE"/>
    <w:rsid w:val="0055451C"/>
    <w:rsid w:val="00555AD6"/>
    <w:rsid w:val="00555CF6"/>
    <w:rsid w:val="005617D7"/>
    <w:rsid w:val="0056213A"/>
    <w:rsid w:val="0056215A"/>
    <w:rsid w:val="00562C48"/>
    <w:rsid w:val="0056325D"/>
    <w:rsid w:val="0056402E"/>
    <w:rsid w:val="00564429"/>
    <w:rsid w:val="00565228"/>
    <w:rsid w:val="005667D5"/>
    <w:rsid w:val="00566DCC"/>
    <w:rsid w:val="00566FB6"/>
    <w:rsid w:val="00567D7D"/>
    <w:rsid w:val="00570A3C"/>
    <w:rsid w:val="005710F3"/>
    <w:rsid w:val="005721A8"/>
    <w:rsid w:val="0057261B"/>
    <w:rsid w:val="00573748"/>
    <w:rsid w:val="0057628A"/>
    <w:rsid w:val="00576DC4"/>
    <w:rsid w:val="00576FC2"/>
    <w:rsid w:val="005805C8"/>
    <w:rsid w:val="00581EA1"/>
    <w:rsid w:val="00582C43"/>
    <w:rsid w:val="0058422E"/>
    <w:rsid w:val="00584401"/>
    <w:rsid w:val="00585591"/>
    <w:rsid w:val="005856BB"/>
    <w:rsid w:val="0058632F"/>
    <w:rsid w:val="00586712"/>
    <w:rsid w:val="0058684C"/>
    <w:rsid w:val="005872AF"/>
    <w:rsid w:val="00587D8C"/>
    <w:rsid w:val="00590E7B"/>
    <w:rsid w:val="00591961"/>
    <w:rsid w:val="005919D4"/>
    <w:rsid w:val="0059542E"/>
    <w:rsid w:val="00595ED8"/>
    <w:rsid w:val="00597021"/>
    <w:rsid w:val="00597A18"/>
    <w:rsid w:val="00597EF8"/>
    <w:rsid w:val="005A0B58"/>
    <w:rsid w:val="005A0F11"/>
    <w:rsid w:val="005A17F4"/>
    <w:rsid w:val="005A3693"/>
    <w:rsid w:val="005A51DB"/>
    <w:rsid w:val="005A5866"/>
    <w:rsid w:val="005A68B4"/>
    <w:rsid w:val="005A789C"/>
    <w:rsid w:val="005B0CBC"/>
    <w:rsid w:val="005B0DA5"/>
    <w:rsid w:val="005B1568"/>
    <w:rsid w:val="005B1940"/>
    <w:rsid w:val="005B257C"/>
    <w:rsid w:val="005B2704"/>
    <w:rsid w:val="005B6E26"/>
    <w:rsid w:val="005B6F45"/>
    <w:rsid w:val="005B797E"/>
    <w:rsid w:val="005C0964"/>
    <w:rsid w:val="005C1397"/>
    <w:rsid w:val="005C2B42"/>
    <w:rsid w:val="005C3B4D"/>
    <w:rsid w:val="005C3D60"/>
    <w:rsid w:val="005C4BD5"/>
    <w:rsid w:val="005C5F6F"/>
    <w:rsid w:val="005D1A5E"/>
    <w:rsid w:val="005D1B12"/>
    <w:rsid w:val="005D2F38"/>
    <w:rsid w:val="005D3515"/>
    <w:rsid w:val="005D45B5"/>
    <w:rsid w:val="005D4A42"/>
    <w:rsid w:val="005D4A8C"/>
    <w:rsid w:val="005D7785"/>
    <w:rsid w:val="005E046F"/>
    <w:rsid w:val="005E18CE"/>
    <w:rsid w:val="005E2B78"/>
    <w:rsid w:val="005E6319"/>
    <w:rsid w:val="005E7278"/>
    <w:rsid w:val="005E76BF"/>
    <w:rsid w:val="005F08AB"/>
    <w:rsid w:val="005F1504"/>
    <w:rsid w:val="005F35A9"/>
    <w:rsid w:val="005F494A"/>
    <w:rsid w:val="005F5BAD"/>
    <w:rsid w:val="005F728B"/>
    <w:rsid w:val="006003F0"/>
    <w:rsid w:val="0060087E"/>
    <w:rsid w:val="00600FDB"/>
    <w:rsid w:val="0060146E"/>
    <w:rsid w:val="0060283A"/>
    <w:rsid w:val="006028FF"/>
    <w:rsid w:val="006058AD"/>
    <w:rsid w:val="00611DD4"/>
    <w:rsid w:val="00611F7E"/>
    <w:rsid w:val="006135D6"/>
    <w:rsid w:val="00613643"/>
    <w:rsid w:val="006139AE"/>
    <w:rsid w:val="00613F74"/>
    <w:rsid w:val="0061672D"/>
    <w:rsid w:val="006177F3"/>
    <w:rsid w:val="006208D9"/>
    <w:rsid w:val="00620FAA"/>
    <w:rsid w:val="00621397"/>
    <w:rsid w:val="00622360"/>
    <w:rsid w:val="0062283B"/>
    <w:rsid w:val="00626803"/>
    <w:rsid w:val="006268E3"/>
    <w:rsid w:val="00627890"/>
    <w:rsid w:val="00633F0F"/>
    <w:rsid w:val="00634411"/>
    <w:rsid w:val="006354A3"/>
    <w:rsid w:val="0063615A"/>
    <w:rsid w:val="00636662"/>
    <w:rsid w:val="00636C0F"/>
    <w:rsid w:val="00640175"/>
    <w:rsid w:val="00640256"/>
    <w:rsid w:val="00641CB5"/>
    <w:rsid w:val="00642241"/>
    <w:rsid w:val="006427EA"/>
    <w:rsid w:val="00643D1B"/>
    <w:rsid w:val="0064593A"/>
    <w:rsid w:val="00645A47"/>
    <w:rsid w:val="00645B83"/>
    <w:rsid w:val="00645D4C"/>
    <w:rsid w:val="00646956"/>
    <w:rsid w:val="0064719A"/>
    <w:rsid w:val="0064726C"/>
    <w:rsid w:val="00652114"/>
    <w:rsid w:val="00652A0F"/>
    <w:rsid w:val="00652B8D"/>
    <w:rsid w:val="00652CEB"/>
    <w:rsid w:val="006536A8"/>
    <w:rsid w:val="0065423B"/>
    <w:rsid w:val="00654516"/>
    <w:rsid w:val="00654CAC"/>
    <w:rsid w:val="00655FB0"/>
    <w:rsid w:val="00656CFB"/>
    <w:rsid w:val="00656EF4"/>
    <w:rsid w:val="0066049F"/>
    <w:rsid w:val="006613CF"/>
    <w:rsid w:val="00661F93"/>
    <w:rsid w:val="0066206E"/>
    <w:rsid w:val="0066207C"/>
    <w:rsid w:val="00662C71"/>
    <w:rsid w:val="00663FBB"/>
    <w:rsid w:val="00664127"/>
    <w:rsid w:val="00664308"/>
    <w:rsid w:val="00664616"/>
    <w:rsid w:val="00664C92"/>
    <w:rsid w:val="00665F2C"/>
    <w:rsid w:val="00670F07"/>
    <w:rsid w:val="0067240B"/>
    <w:rsid w:val="00672E18"/>
    <w:rsid w:val="00673A6F"/>
    <w:rsid w:val="0067604A"/>
    <w:rsid w:val="0067682C"/>
    <w:rsid w:val="00676DCD"/>
    <w:rsid w:val="0068056A"/>
    <w:rsid w:val="0068177B"/>
    <w:rsid w:val="00681F79"/>
    <w:rsid w:val="00682555"/>
    <w:rsid w:val="006827E5"/>
    <w:rsid w:val="0068356A"/>
    <w:rsid w:val="006835A1"/>
    <w:rsid w:val="00683C82"/>
    <w:rsid w:val="00684B45"/>
    <w:rsid w:val="006859F1"/>
    <w:rsid w:val="00687297"/>
    <w:rsid w:val="006872A0"/>
    <w:rsid w:val="00687B9D"/>
    <w:rsid w:val="00687C27"/>
    <w:rsid w:val="006908A2"/>
    <w:rsid w:val="00690C1C"/>
    <w:rsid w:val="006922E7"/>
    <w:rsid w:val="00693D0A"/>
    <w:rsid w:val="006941AD"/>
    <w:rsid w:val="006956C0"/>
    <w:rsid w:val="00695860"/>
    <w:rsid w:val="0069670F"/>
    <w:rsid w:val="00696A43"/>
    <w:rsid w:val="00697A0E"/>
    <w:rsid w:val="006A0062"/>
    <w:rsid w:val="006A05AD"/>
    <w:rsid w:val="006A0A3D"/>
    <w:rsid w:val="006A19AC"/>
    <w:rsid w:val="006A1FB9"/>
    <w:rsid w:val="006A39A8"/>
    <w:rsid w:val="006A46D8"/>
    <w:rsid w:val="006A5989"/>
    <w:rsid w:val="006A664F"/>
    <w:rsid w:val="006A75E3"/>
    <w:rsid w:val="006B039C"/>
    <w:rsid w:val="006B0CCA"/>
    <w:rsid w:val="006B0EEE"/>
    <w:rsid w:val="006B28D5"/>
    <w:rsid w:val="006B4927"/>
    <w:rsid w:val="006B4AD5"/>
    <w:rsid w:val="006B539B"/>
    <w:rsid w:val="006B53A4"/>
    <w:rsid w:val="006B5437"/>
    <w:rsid w:val="006C0F1D"/>
    <w:rsid w:val="006C1249"/>
    <w:rsid w:val="006C38EE"/>
    <w:rsid w:val="006C510E"/>
    <w:rsid w:val="006C57B2"/>
    <w:rsid w:val="006C668E"/>
    <w:rsid w:val="006C6B0F"/>
    <w:rsid w:val="006D1D4F"/>
    <w:rsid w:val="006D3303"/>
    <w:rsid w:val="006D340F"/>
    <w:rsid w:val="006D3BAD"/>
    <w:rsid w:val="006D3BFC"/>
    <w:rsid w:val="006D3F22"/>
    <w:rsid w:val="006D4385"/>
    <w:rsid w:val="006D43BF"/>
    <w:rsid w:val="006D4E5C"/>
    <w:rsid w:val="006D5396"/>
    <w:rsid w:val="006D5C7B"/>
    <w:rsid w:val="006D6507"/>
    <w:rsid w:val="006D6DC6"/>
    <w:rsid w:val="006D7227"/>
    <w:rsid w:val="006D7FE0"/>
    <w:rsid w:val="006E0331"/>
    <w:rsid w:val="006E103B"/>
    <w:rsid w:val="006E23BA"/>
    <w:rsid w:val="006E4D57"/>
    <w:rsid w:val="006E4F0F"/>
    <w:rsid w:val="006E4FB8"/>
    <w:rsid w:val="006E778C"/>
    <w:rsid w:val="006F0520"/>
    <w:rsid w:val="006F1C7E"/>
    <w:rsid w:val="006F544E"/>
    <w:rsid w:val="006F60E8"/>
    <w:rsid w:val="006F69EC"/>
    <w:rsid w:val="0070010A"/>
    <w:rsid w:val="0070718E"/>
    <w:rsid w:val="0070738B"/>
    <w:rsid w:val="00707D5D"/>
    <w:rsid w:val="007100F4"/>
    <w:rsid w:val="00710B82"/>
    <w:rsid w:val="00715744"/>
    <w:rsid w:val="0071670E"/>
    <w:rsid w:val="00717821"/>
    <w:rsid w:val="0072163E"/>
    <w:rsid w:val="007223CF"/>
    <w:rsid w:val="00722A0C"/>
    <w:rsid w:val="00722C6F"/>
    <w:rsid w:val="007237FE"/>
    <w:rsid w:val="00724B6A"/>
    <w:rsid w:val="007263B7"/>
    <w:rsid w:val="00726C92"/>
    <w:rsid w:val="007270B8"/>
    <w:rsid w:val="00731914"/>
    <w:rsid w:val="007319B5"/>
    <w:rsid w:val="007319B6"/>
    <w:rsid w:val="00732609"/>
    <w:rsid w:val="00735386"/>
    <w:rsid w:val="00735732"/>
    <w:rsid w:val="0073656C"/>
    <w:rsid w:val="00736722"/>
    <w:rsid w:val="00736814"/>
    <w:rsid w:val="007377D1"/>
    <w:rsid w:val="00740BED"/>
    <w:rsid w:val="007423DC"/>
    <w:rsid w:val="00743588"/>
    <w:rsid w:val="007439E3"/>
    <w:rsid w:val="00745B2F"/>
    <w:rsid w:val="007468DF"/>
    <w:rsid w:val="00746BC5"/>
    <w:rsid w:val="00747CE4"/>
    <w:rsid w:val="00747D5F"/>
    <w:rsid w:val="0075031F"/>
    <w:rsid w:val="0075052B"/>
    <w:rsid w:val="007511BC"/>
    <w:rsid w:val="007514FA"/>
    <w:rsid w:val="0075153E"/>
    <w:rsid w:val="00751947"/>
    <w:rsid w:val="0075323E"/>
    <w:rsid w:val="00754874"/>
    <w:rsid w:val="00756FF0"/>
    <w:rsid w:val="0075713B"/>
    <w:rsid w:val="00760D62"/>
    <w:rsid w:val="00760FF3"/>
    <w:rsid w:val="00763417"/>
    <w:rsid w:val="007635CB"/>
    <w:rsid w:val="00764610"/>
    <w:rsid w:val="0076487D"/>
    <w:rsid w:val="00765722"/>
    <w:rsid w:val="00765CAC"/>
    <w:rsid w:val="00766E56"/>
    <w:rsid w:val="007673BE"/>
    <w:rsid w:val="00771183"/>
    <w:rsid w:val="00771AAB"/>
    <w:rsid w:val="00771C8A"/>
    <w:rsid w:val="00771F4B"/>
    <w:rsid w:val="00772B6F"/>
    <w:rsid w:val="00774C78"/>
    <w:rsid w:val="00774EB6"/>
    <w:rsid w:val="00774EF3"/>
    <w:rsid w:val="007751E8"/>
    <w:rsid w:val="0077540B"/>
    <w:rsid w:val="007754B8"/>
    <w:rsid w:val="0077589A"/>
    <w:rsid w:val="00775A08"/>
    <w:rsid w:val="00776BD3"/>
    <w:rsid w:val="0077746C"/>
    <w:rsid w:val="00777994"/>
    <w:rsid w:val="00780A73"/>
    <w:rsid w:val="007812FE"/>
    <w:rsid w:val="00781880"/>
    <w:rsid w:val="00782490"/>
    <w:rsid w:val="00782B72"/>
    <w:rsid w:val="00785B1A"/>
    <w:rsid w:val="007864FA"/>
    <w:rsid w:val="00790184"/>
    <w:rsid w:val="00790620"/>
    <w:rsid w:val="007925F5"/>
    <w:rsid w:val="007931D5"/>
    <w:rsid w:val="0079446C"/>
    <w:rsid w:val="0079468B"/>
    <w:rsid w:val="0079523D"/>
    <w:rsid w:val="007956F5"/>
    <w:rsid w:val="00795CBD"/>
    <w:rsid w:val="00796198"/>
    <w:rsid w:val="007966A5"/>
    <w:rsid w:val="00797243"/>
    <w:rsid w:val="00797AB6"/>
    <w:rsid w:val="007A0523"/>
    <w:rsid w:val="007A0ADC"/>
    <w:rsid w:val="007A39D2"/>
    <w:rsid w:val="007A4097"/>
    <w:rsid w:val="007A4AE0"/>
    <w:rsid w:val="007A4BDA"/>
    <w:rsid w:val="007A7623"/>
    <w:rsid w:val="007B072F"/>
    <w:rsid w:val="007B1A1C"/>
    <w:rsid w:val="007B2C8B"/>
    <w:rsid w:val="007B2D1D"/>
    <w:rsid w:val="007B430B"/>
    <w:rsid w:val="007B4464"/>
    <w:rsid w:val="007B4D2B"/>
    <w:rsid w:val="007B5E2D"/>
    <w:rsid w:val="007B73DB"/>
    <w:rsid w:val="007B75AE"/>
    <w:rsid w:val="007C31EA"/>
    <w:rsid w:val="007C3806"/>
    <w:rsid w:val="007C3BDB"/>
    <w:rsid w:val="007C4568"/>
    <w:rsid w:val="007C477D"/>
    <w:rsid w:val="007C5A91"/>
    <w:rsid w:val="007C67D5"/>
    <w:rsid w:val="007C756E"/>
    <w:rsid w:val="007D10DE"/>
    <w:rsid w:val="007D141C"/>
    <w:rsid w:val="007D1A41"/>
    <w:rsid w:val="007D1AE3"/>
    <w:rsid w:val="007D1B5B"/>
    <w:rsid w:val="007D1D62"/>
    <w:rsid w:val="007D431F"/>
    <w:rsid w:val="007D44EB"/>
    <w:rsid w:val="007D46B3"/>
    <w:rsid w:val="007D4DDC"/>
    <w:rsid w:val="007D567D"/>
    <w:rsid w:val="007D57DF"/>
    <w:rsid w:val="007D5DAC"/>
    <w:rsid w:val="007D61EC"/>
    <w:rsid w:val="007D670A"/>
    <w:rsid w:val="007D7D3F"/>
    <w:rsid w:val="007E1109"/>
    <w:rsid w:val="007E3E8B"/>
    <w:rsid w:val="007E6384"/>
    <w:rsid w:val="007E6A52"/>
    <w:rsid w:val="007E70A1"/>
    <w:rsid w:val="007E7905"/>
    <w:rsid w:val="007F0656"/>
    <w:rsid w:val="007F06F4"/>
    <w:rsid w:val="007F18FA"/>
    <w:rsid w:val="007F1EBE"/>
    <w:rsid w:val="007F29CA"/>
    <w:rsid w:val="007F2D7F"/>
    <w:rsid w:val="007F489E"/>
    <w:rsid w:val="007F49B3"/>
    <w:rsid w:val="007F6042"/>
    <w:rsid w:val="007F7574"/>
    <w:rsid w:val="00800162"/>
    <w:rsid w:val="008001BA"/>
    <w:rsid w:val="0080086C"/>
    <w:rsid w:val="00801BF1"/>
    <w:rsid w:val="00801EED"/>
    <w:rsid w:val="00802847"/>
    <w:rsid w:val="00803008"/>
    <w:rsid w:val="008039A0"/>
    <w:rsid w:val="0080575B"/>
    <w:rsid w:val="00810395"/>
    <w:rsid w:val="00811255"/>
    <w:rsid w:val="0081147F"/>
    <w:rsid w:val="00811627"/>
    <w:rsid w:val="008116A4"/>
    <w:rsid w:val="00811C98"/>
    <w:rsid w:val="00812CF3"/>
    <w:rsid w:val="00813001"/>
    <w:rsid w:val="00813087"/>
    <w:rsid w:val="008134C9"/>
    <w:rsid w:val="00813657"/>
    <w:rsid w:val="008158F2"/>
    <w:rsid w:val="00815BDC"/>
    <w:rsid w:val="0081601D"/>
    <w:rsid w:val="008166A1"/>
    <w:rsid w:val="008169BD"/>
    <w:rsid w:val="008170A0"/>
    <w:rsid w:val="00820C96"/>
    <w:rsid w:val="008221D7"/>
    <w:rsid w:val="00823495"/>
    <w:rsid w:val="00824241"/>
    <w:rsid w:val="008247AB"/>
    <w:rsid w:val="0082512E"/>
    <w:rsid w:val="008262F5"/>
    <w:rsid w:val="00826A3B"/>
    <w:rsid w:val="008279D7"/>
    <w:rsid w:val="00827D86"/>
    <w:rsid w:val="00831030"/>
    <w:rsid w:val="008315F8"/>
    <w:rsid w:val="00832427"/>
    <w:rsid w:val="00832819"/>
    <w:rsid w:val="008334FA"/>
    <w:rsid w:val="008335E2"/>
    <w:rsid w:val="0083434B"/>
    <w:rsid w:val="0083601B"/>
    <w:rsid w:val="00837B05"/>
    <w:rsid w:val="00841552"/>
    <w:rsid w:val="0084259F"/>
    <w:rsid w:val="008426AD"/>
    <w:rsid w:val="008439EC"/>
    <w:rsid w:val="008445F8"/>
    <w:rsid w:val="0084463B"/>
    <w:rsid w:val="00846944"/>
    <w:rsid w:val="00846CD6"/>
    <w:rsid w:val="008505BD"/>
    <w:rsid w:val="00850B7A"/>
    <w:rsid w:val="00850B8C"/>
    <w:rsid w:val="008510F6"/>
    <w:rsid w:val="0085208D"/>
    <w:rsid w:val="00852991"/>
    <w:rsid w:val="00853660"/>
    <w:rsid w:val="00853C31"/>
    <w:rsid w:val="00854056"/>
    <w:rsid w:val="00854807"/>
    <w:rsid w:val="00855017"/>
    <w:rsid w:val="008554FA"/>
    <w:rsid w:val="00855FB2"/>
    <w:rsid w:val="008564CC"/>
    <w:rsid w:val="00860FA9"/>
    <w:rsid w:val="0086122F"/>
    <w:rsid w:val="00861705"/>
    <w:rsid w:val="00863D67"/>
    <w:rsid w:val="008642AE"/>
    <w:rsid w:val="00864A41"/>
    <w:rsid w:val="0086600A"/>
    <w:rsid w:val="00867B98"/>
    <w:rsid w:val="008710DE"/>
    <w:rsid w:val="00871409"/>
    <w:rsid w:val="008728F8"/>
    <w:rsid w:val="00877258"/>
    <w:rsid w:val="0087732A"/>
    <w:rsid w:val="00877B1A"/>
    <w:rsid w:val="00882D35"/>
    <w:rsid w:val="00883590"/>
    <w:rsid w:val="0088380A"/>
    <w:rsid w:val="00883A73"/>
    <w:rsid w:val="00883AD6"/>
    <w:rsid w:val="00884352"/>
    <w:rsid w:val="00884D30"/>
    <w:rsid w:val="00884F5B"/>
    <w:rsid w:val="008854BE"/>
    <w:rsid w:val="008859C6"/>
    <w:rsid w:val="00885A8D"/>
    <w:rsid w:val="008866D7"/>
    <w:rsid w:val="00891477"/>
    <w:rsid w:val="00891A2A"/>
    <w:rsid w:val="00891C89"/>
    <w:rsid w:val="00897CC8"/>
    <w:rsid w:val="008A01EE"/>
    <w:rsid w:val="008A0470"/>
    <w:rsid w:val="008A0650"/>
    <w:rsid w:val="008A0717"/>
    <w:rsid w:val="008A0A32"/>
    <w:rsid w:val="008A1344"/>
    <w:rsid w:val="008A1961"/>
    <w:rsid w:val="008A22E0"/>
    <w:rsid w:val="008A238A"/>
    <w:rsid w:val="008A2600"/>
    <w:rsid w:val="008A32C0"/>
    <w:rsid w:val="008A340F"/>
    <w:rsid w:val="008A3570"/>
    <w:rsid w:val="008A3BE5"/>
    <w:rsid w:val="008A6D21"/>
    <w:rsid w:val="008A7B55"/>
    <w:rsid w:val="008B05C4"/>
    <w:rsid w:val="008B0BA8"/>
    <w:rsid w:val="008B2708"/>
    <w:rsid w:val="008B2D3C"/>
    <w:rsid w:val="008B380F"/>
    <w:rsid w:val="008B4488"/>
    <w:rsid w:val="008B4D10"/>
    <w:rsid w:val="008B57F0"/>
    <w:rsid w:val="008B5B8D"/>
    <w:rsid w:val="008B635B"/>
    <w:rsid w:val="008B68F5"/>
    <w:rsid w:val="008B7B83"/>
    <w:rsid w:val="008C1FE3"/>
    <w:rsid w:val="008C280F"/>
    <w:rsid w:val="008C37ED"/>
    <w:rsid w:val="008C4338"/>
    <w:rsid w:val="008C500B"/>
    <w:rsid w:val="008C56AB"/>
    <w:rsid w:val="008C66C6"/>
    <w:rsid w:val="008D0041"/>
    <w:rsid w:val="008E234F"/>
    <w:rsid w:val="008E2891"/>
    <w:rsid w:val="008E2A33"/>
    <w:rsid w:val="008E3650"/>
    <w:rsid w:val="008E3883"/>
    <w:rsid w:val="008E3C5E"/>
    <w:rsid w:val="008E5B64"/>
    <w:rsid w:val="008E5F27"/>
    <w:rsid w:val="008E6335"/>
    <w:rsid w:val="008F0291"/>
    <w:rsid w:val="008F0753"/>
    <w:rsid w:val="008F2962"/>
    <w:rsid w:val="008F2DDB"/>
    <w:rsid w:val="008F3ACB"/>
    <w:rsid w:val="008F4AD2"/>
    <w:rsid w:val="008F7035"/>
    <w:rsid w:val="008F7129"/>
    <w:rsid w:val="008F7F39"/>
    <w:rsid w:val="00900304"/>
    <w:rsid w:val="00900F98"/>
    <w:rsid w:val="00901425"/>
    <w:rsid w:val="00902315"/>
    <w:rsid w:val="00905C22"/>
    <w:rsid w:val="00906088"/>
    <w:rsid w:val="00911224"/>
    <w:rsid w:val="00911772"/>
    <w:rsid w:val="0091371A"/>
    <w:rsid w:val="0091372D"/>
    <w:rsid w:val="009137FA"/>
    <w:rsid w:val="0091721D"/>
    <w:rsid w:val="009172B6"/>
    <w:rsid w:val="0092043F"/>
    <w:rsid w:val="009204C3"/>
    <w:rsid w:val="00920698"/>
    <w:rsid w:val="00922163"/>
    <w:rsid w:val="009221CD"/>
    <w:rsid w:val="00924949"/>
    <w:rsid w:val="00926AED"/>
    <w:rsid w:val="009278C9"/>
    <w:rsid w:val="0093005F"/>
    <w:rsid w:val="00931C45"/>
    <w:rsid w:val="00932A65"/>
    <w:rsid w:val="009335CB"/>
    <w:rsid w:val="00933A3E"/>
    <w:rsid w:val="00933AC1"/>
    <w:rsid w:val="0093431F"/>
    <w:rsid w:val="009344CF"/>
    <w:rsid w:val="009353F8"/>
    <w:rsid w:val="00935DAE"/>
    <w:rsid w:val="00936AC0"/>
    <w:rsid w:val="00937722"/>
    <w:rsid w:val="00937A39"/>
    <w:rsid w:val="00940A21"/>
    <w:rsid w:val="00941BD4"/>
    <w:rsid w:val="00941FD4"/>
    <w:rsid w:val="00942CFD"/>
    <w:rsid w:val="009435E0"/>
    <w:rsid w:val="00943A24"/>
    <w:rsid w:val="00943EB6"/>
    <w:rsid w:val="00944601"/>
    <w:rsid w:val="00945A75"/>
    <w:rsid w:val="00945F01"/>
    <w:rsid w:val="00945FD2"/>
    <w:rsid w:val="00946929"/>
    <w:rsid w:val="00947145"/>
    <w:rsid w:val="009505CA"/>
    <w:rsid w:val="00952177"/>
    <w:rsid w:val="00952550"/>
    <w:rsid w:val="00952623"/>
    <w:rsid w:val="009536F2"/>
    <w:rsid w:val="00954A00"/>
    <w:rsid w:val="009564E1"/>
    <w:rsid w:val="00956869"/>
    <w:rsid w:val="0095752C"/>
    <w:rsid w:val="00960574"/>
    <w:rsid w:val="00960A82"/>
    <w:rsid w:val="00960C2B"/>
    <w:rsid w:val="00960FD8"/>
    <w:rsid w:val="0096194A"/>
    <w:rsid w:val="00963524"/>
    <w:rsid w:val="00963565"/>
    <w:rsid w:val="00964FED"/>
    <w:rsid w:val="00966DA2"/>
    <w:rsid w:val="009673D9"/>
    <w:rsid w:val="00967A8D"/>
    <w:rsid w:val="00970274"/>
    <w:rsid w:val="0097101D"/>
    <w:rsid w:val="009711C5"/>
    <w:rsid w:val="009722AE"/>
    <w:rsid w:val="009738B7"/>
    <w:rsid w:val="0097432B"/>
    <w:rsid w:val="009753A2"/>
    <w:rsid w:val="009754D2"/>
    <w:rsid w:val="00976B6E"/>
    <w:rsid w:val="00976F2E"/>
    <w:rsid w:val="009774C9"/>
    <w:rsid w:val="00980243"/>
    <w:rsid w:val="0098078C"/>
    <w:rsid w:val="009807C6"/>
    <w:rsid w:val="009810C0"/>
    <w:rsid w:val="00981543"/>
    <w:rsid w:val="00981D16"/>
    <w:rsid w:val="00984B14"/>
    <w:rsid w:val="00986303"/>
    <w:rsid w:val="00991430"/>
    <w:rsid w:val="009931B2"/>
    <w:rsid w:val="00994011"/>
    <w:rsid w:val="00994031"/>
    <w:rsid w:val="00994DA8"/>
    <w:rsid w:val="00995ED3"/>
    <w:rsid w:val="00996C5E"/>
    <w:rsid w:val="00996D42"/>
    <w:rsid w:val="009A0732"/>
    <w:rsid w:val="009A0E7E"/>
    <w:rsid w:val="009A0F4A"/>
    <w:rsid w:val="009A1F7A"/>
    <w:rsid w:val="009A31A6"/>
    <w:rsid w:val="009A3D4A"/>
    <w:rsid w:val="009A3FA3"/>
    <w:rsid w:val="009A43A7"/>
    <w:rsid w:val="009A59A2"/>
    <w:rsid w:val="009A5B73"/>
    <w:rsid w:val="009A648C"/>
    <w:rsid w:val="009A657F"/>
    <w:rsid w:val="009A6CB5"/>
    <w:rsid w:val="009A6F2F"/>
    <w:rsid w:val="009A7302"/>
    <w:rsid w:val="009A734A"/>
    <w:rsid w:val="009A77E6"/>
    <w:rsid w:val="009B0DAF"/>
    <w:rsid w:val="009B25FA"/>
    <w:rsid w:val="009B4548"/>
    <w:rsid w:val="009B4B29"/>
    <w:rsid w:val="009B534E"/>
    <w:rsid w:val="009B5ED7"/>
    <w:rsid w:val="009B6E12"/>
    <w:rsid w:val="009C0D98"/>
    <w:rsid w:val="009C2E69"/>
    <w:rsid w:val="009C4EB6"/>
    <w:rsid w:val="009C542F"/>
    <w:rsid w:val="009C5C1C"/>
    <w:rsid w:val="009C6A6B"/>
    <w:rsid w:val="009D019F"/>
    <w:rsid w:val="009D0307"/>
    <w:rsid w:val="009D10AE"/>
    <w:rsid w:val="009D22CC"/>
    <w:rsid w:val="009D2610"/>
    <w:rsid w:val="009D2D55"/>
    <w:rsid w:val="009D42AE"/>
    <w:rsid w:val="009D5287"/>
    <w:rsid w:val="009D631C"/>
    <w:rsid w:val="009D66A8"/>
    <w:rsid w:val="009E044E"/>
    <w:rsid w:val="009E104E"/>
    <w:rsid w:val="009E20C9"/>
    <w:rsid w:val="009E2161"/>
    <w:rsid w:val="009E52E9"/>
    <w:rsid w:val="009E5F6D"/>
    <w:rsid w:val="009E5F7F"/>
    <w:rsid w:val="009E64BC"/>
    <w:rsid w:val="009F0999"/>
    <w:rsid w:val="009F45A5"/>
    <w:rsid w:val="009F5036"/>
    <w:rsid w:val="009F5206"/>
    <w:rsid w:val="009F53E9"/>
    <w:rsid w:val="009F6FF9"/>
    <w:rsid w:val="009F7074"/>
    <w:rsid w:val="009F749C"/>
    <w:rsid w:val="00A0113B"/>
    <w:rsid w:val="00A0127B"/>
    <w:rsid w:val="00A017A2"/>
    <w:rsid w:val="00A01920"/>
    <w:rsid w:val="00A01E96"/>
    <w:rsid w:val="00A04C1A"/>
    <w:rsid w:val="00A062B4"/>
    <w:rsid w:val="00A10E5E"/>
    <w:rsid w:val="00A12ACC"/>
    <w:rsid w:val="00A13924"/>
    <w:rsid w:val="00A13A92"/>
    <w:rsid w:val="00A152DB"/>
    <w:rsid w:val="00A171FD"/>
    <w:rsid w:val="00A20275"/>
    <w:rsid w:val="00A20E64"/>
    <w:rsid w:val="00A239DB"/>
    <w:rsid w:val="00A25253"/>
    <w:rsid w:val="00A2770F"/>
    <w:rsid w:val="00A27840"/>
    <w:rsid w:val="00A27A0C"/>
    <w:rsid w:val="00A30A11"/>
    <w:rsid w:val="00A3100B"/>
    <w:rsid w:val="00A3125F"/>
    <w:rsid w:val="00A31964"/>
    <w:rsid w:val="00A31A75"/>
    <w:rsid w:val="00A3277C"/>
    <w:rsid w:val="00A33814"/>
    <w:rsid w:val="00A341E5"/>
    <w:rsid w:val="00A347D6"/>
    <w:rsid w:val="00A3490C"/>
    <w:rsid w:val="00A3587C"/>
    <w:rsid w:val="00A35B24"/>
    <w:rsid w:val="00A36028"/>
    <w:rsid w:val="00A369AD"/>
    <w:rsid w:val="00A414FE"/>
    <w:rsid w:val="00A427F0"/>
    <w:rsid w:val="00A42FB2"/>
    <w:rsid w:val="00A4343D"/>
    <w:rsid w:val="00A43AC3"/>
    <w:rsid w:val="00A44F42"/>
    <w:rsid w:val="00A45385"/>
    <w:rsid w:val="00A45C1B"/>
    <w:rsid w:val="00A46437"/>
    <w:rsid w:val="00A4645B"/>
    <w:rsid w:val="00A46858"/>
    <w:rsid w:val="00A46FBE"/>
    <w:rsid w:val="00A474B6"/>
    <w:rsid w:val="00A5192F"/>
    <w:rsid w:val="00A51C96"/>
    <w:rsid w:val="00A52060"/>
    <w:rsid w:val="00A53248"/>
    <w:rsid w:val="00A53BF1"/>
    <w:rsid w:val="00A542FA"/>
    <w:rsid w:val="00A56120"/>
    <w:rsid w:val="00A56E12"/>
    <w:rsid w:val="00A571D8"/>
    <w:rsid w:val="00A60544"/>
    <w:rsid w:val="00A60B6D"/>
    <w:rsid w:val="00A61728"/>
    <w:rsid w:val="00A61756"/>
    <w:rsid w:val="00A63559"/>
    <w:rsid w:val="00A656BC"/>
    <w:rsid w:val="00A66CA7"/>
    <w:rsid w:val="00A67912"/>
    <w:rsid w:val="00A70533"/>
    <w:rsid w:val="00A723BE"/>
    <w:rsid w:val="00A724E2"/>
    <w:rsid w:val="00A725D6"/>
    <w:rsid w:val="00A732F5"/>
    <w:rsid w:val="00A73EF1"/>
    <w:rsid w:val="00A74B4C"/>
    <w:rsid w:val="00A7722A"/>
    <w:rsid w:val="00A77C2E"/>
    <w:rsid w:val="00A8064B"/>
    <w:rsid w:val="00A80C7E"/>
    <w:rsid w:val="00A816DC"/>
    <w:rsid w:val="00A81A67"/>
    <w:rsid w:val="00A83CE3"/>
    <w:rsid w:val="00A83FF1"/>
    <w:rsid w:val="00A8459D"/>
    <w:rsid w:val="00A8641F"/>
    <w:rsid w:val="00A867CE"/>
    <w:rsid w:val="00A92E00"/>
    <w:rsid w:val="00A93243"/>
    <w:rsid w:val="00A935EF"/>
    <w:rsid w:val="00A94926"/>
    <w:rsid w:val="00A963DC"/>
    <w:rsid w:val="00A96595"/>
    <w:rsid w:val="00AA1CCD"/>
    <w:rsid w:val="00AA2D67"/>
    <w:rsid w:val="00AA34CC"/>
    <w:rsid w:val="00AA3824"/>
    <w:rsid w:val="00AA4A4F"/>
    <w:rsid w:val="00AA4D79"/>
    <w:rsid w:val="00AB1A7E"/>
    <w:rsid w:val="00AB4BFC"/>
    <w:rsid w:val="00AB4CEE"/>
    <w:rsid w:val="00AB4F11"/>
    <w:rsid w:val="00AB51F7"/>
    <w:rsid w:val="00AB6266"/>
    <w:rsid w:val="00AB778A"/>
    <w:rsid w:val="00AB7901"/>
    <w:rsid w:val="00AC0845"/>
    <w:rsid w:val="00AC4293"/>
    <w:rsid w:val="00AC581D"/>
    <w:rsid w:val="00AD2421"/>
    <w:rsid w:val="00AD3156"/>
    <w:rsid w:val="00AD382F"/>
    <w:rsid w:val="00AD3F21"/>
    <w:rsid w:val="00AD6712"/>
    <w:rsid w:val="00AD6863"/>
    <w:rsid w:val="00AD7E9E"/>
    <w:rsid w:val="00AE092F"/>
    <w:rsid w:val="00AE2078"/>
    <w:rsid w:val="00AE2A5C"/>
    <w:rsid w:val="00AE32C5"/>
    <w:rsid w:val="00AE3366"/>
    <w:rsid w:val="00AE3971"/>
    <w:rsid w:val="00AE40F3"/>
    <w:rsid w:val="00AE5DBC"/>
    <w:rsid w:val="00AE7170"/>
    <w:rsid w:val="00AE71A2"/>
    <w:rsid w:val="00AF1F13"/>
    <w:rsid w:val="00AF2990"/>
    <w:rsid w:val="00AF333E"/>
    <w:rsid w:val="00AF3BA4"/>
    <w:rsid w:val="00AF40A3"/>
    <w:rsid w:val="00AF4159"/>
    <w:rsid w:val="00AF5839"/>
    <w:rsid w:val="00AF70E8"/>
    <w:rsid w:val="00AF7B90"/>
    <w:rsid w:val="00B02BA2"/>
    <w:rsid w:val="00B04AE2"/>
    <w:rsid w:val="00B04E2E"/>
    <w:rsid w:val="00B06B70"/>
    <w:rsid w:val="00B10D59"/>
    <w:rsid w:val="00B11179"/>
    <w:rsid w:val="00B11D4A"/>
    <w:rsid w:val="00B12A7E"/>
    <w:rsid w:val="00B13848"/>
    <w:rsid w:val="00B13CCA"/>
    <w:rsid w:val="00B13F1C"/>
    <w:rsid w:val="00B148F0"/>
    <w:rsid w:val="00B14CC4"/>
    <w:rsid w:val="00B152FC"/>
    <w:rsid w:val="00B1558C"/>
    <w:rsid w:val="00B17366"/>
    <w:rsid w:val="00B21B32"/>
    <w:rsid w:val="00B22404"/>
    <w:rsid w:val="00B22681"/>
    <w:rsid w:val="00B228CE"/>
    <w:rsid w:val="00B22C61"/>
    <w:rsid w:val="00B23DEC"/>
    <w:rsid w:val="00B243BB"/>
    <w:rsid w:val="00B245CA"/>
    <w:rsid w:val="00B2498F"/>
    <w:rsid w:val="00B26204"/>
    <w:rsid w:val="00B26729"/>
    <w:rsid w:val="00B26909"/>
    <w:rsid w:val="00B26D46"/>
    <w:rsid w:val="00B27F43"/>
    <w:rsid w:val="00B301DD"/>
    <w:rsid w:val="00B30DE1"/>
    <w:rsid w:val="00B32B60"/>
    <w:rsid w:val="00B3313E"/>
    <w:rsid w:val="00B33B19"/>
    <w:rsid w:val="00B340C8"/>
    <w:rsid w:val="00B35661"/>
    <w:rsid w:val="00B358F3"/>
    <w:rsid w:val="00B35B77"/>
    <w:rsid w:val="00B35E83"/>
    <w:rsid w:val="00B36876"/>
    <w:rsid w:val="00B3756D"/>
    <w:rsid w:val="00B376F2"/>
    <w:rsid w:val="00B3796B"/>
    <w:rsid w:val="00B405AC"/>
    <w:rsid w:val="00B41D09"/>
    <w:rsid w:val="00B42266"/>
    <w:rsid w:val="00B42716"/>
    <w:rsid w:val="00B43FB8"/>
    <w:rsid w:val="00B444D3"/>
    <w:rsid w:val="00B4480A"/>
    <w:rsid w:val="00B44DC6"/>
    <w:rsid w:val="00B459D9"/>
    <w:rsid w:val="00B45DEF"/>
    <w:rsid w:val="00B45E0C"/>
    <w:rsid w:val="00B4782A"/>
    <w:rsid w:val="00B50AB0"/>
    <w:rsid w:val="00B51116"/>
    <w:rsid w:val="00B5252B"/>
    <w:rsid w:val="00B533DF"/>
    <w:rsid w:val="00B53E95"/>
    <w:rsid w:val="00B53FBE"/>
    <w:rsid w:val="00B5490C"/>
    <w:rsid w:val="00B55CC6"/>
    <w:rsid w:val="00B57689"/>
    <w:rsid w:val="00B57BD5"/>
    <w:rsid w:val="00B57E6D"/>
    <w:rsid w:val="00B60573"/>
    <w:rsid w:val="00B61244"/>
    <w:rsid w:val="00B62629"/>
    <w:rsid w:val="00B62916"/>
    <w:rsid w:val="00B62A55"/>
    <w:rsid w:val="00B657B8"/>
    <w:rsid w:val="00B669D0"/>
    <w:rsid w:val="00B7087B"/>
    <w:rsid w:val="00B71196"/>
    <w:rsid w:val="00B71AA2"/>
    <w:rsid w:val="00B722C9"/>
    <w:rsid w:val="00B72844"/>
    <w:rsid w:val="00B73976"/>
    <w:rsid w:val="00B73FCF"/>
    <w:rsid w:val="00B75AA8"/>
    <w:rsid w:val="00B75E34"/>
    <w:rsid w:val="00B76F9E"/>
    <w:rsid w:val="00B77503"/>
    <w:rsid w:val="00B77FD3"/>
    <w:rsid w:val="00B832D5"/>
    <w:rsid w:val="00B866FD"/>
    <w:rsid w:val="00B86BE8"/>
    <w:rsid w:val="00B8732D"/>
    <w:rsid w:val="00B8738C"/>
    <w:rsid w:val="00B91BB6"/>
    <w:rsid w:val="00B929C1"/>
    <w:rsid w:val="00B929C5"/>
    <w:rsid w:val="00B92C15"/>
    <w:rsid w:val="00B92CDE"/>
    <w:rsid w:val="00B931F4"/>
    <w:rsid w:val="00B939E7"/>
    <w:rsid w:val="00B941DE"/>
    <w:rsid w:val="00B9556F"/>
    <w:rsid w:val="00B955D2"/>
    <w:rsid w:val="00B9580A"/>
    <w:rsid w:val="00B95D34"/>
    <w:rsid w:val="00B96DB8"/>
    <w:rsid w:val="00B97370"/>
    <w:rsid w:val="00B975E7"/>
    <w:rsid w:val="00BA052D"/>
    <w:rsid w:val="00BA0D1F"/>
    <w:rsid w:val="00BA2015"/>
    <w:rsid w:val="00BA4D03"/>
    <w:rsid w:val="00BA5797"/>
    <w:rsid w:val="00BA660D"/>
    <w:rsid w:val="00BB00F6"/>
    <w:rsid w:val="00BB0529"/>
    <w:rsid w:val="00BB0EC6"/>
    <w:rsid w:val="00BB0F70"/>
    <w:rsid w:val="00BB2B75"/>
    <w:rsid w:val="00BB306B"/>
    <w:rsid w:val="00BB4A00"/>
    <w:rsid w:val="00BB6EC7"/>
    <w:rsid w:val="00BC0439"/>
    <w:rsid w:val="00BC2820"/>
    <w:rsid w:val="00BC2B2A"/>
    <w:rsid w:val="00BC42D0"/>
    <w:rsid w:val="00BC4C70"/>
    <w:rsid w:val="00BC4D3F"/>
    <w:rsid w:val="00BC5740"/>
    <w:rsid w:val="00BC636F"/>
    <w:rsid w:val="00BC78F5"/>
    <w:rsid w:val="00BD05F4"/>
    <w:rsid w:val="00BD0E68"/>
    <w:rsid w:val="00BD2AE4"/>
    <w:rsid w:val="00BD2B46"/>
    <w:rsid w:val="00BD3357"/>
    <w:rsid w:val="00BD57FF"/>
    <w:rsid w:val="00BD6345"/>
    <w:rsid w:val="00BD665F"/>
    <w:rsid w:val="00BE1BB1"/>
    <w:rsid w:val="00BE2014"/>
    <w:rsid w:val="00BE21BB"/>
    <w:rsid w:val="00BE37D3"/>
    <w:rsid w:val="00BE3EE5"/>
    <w:rsid w:val="00BE4C6A"/>
    <w:rsid w:val="00BE5ECD"/>
    <w:rsid w:val="00BF198D"/>
    <w:rsid w:val="00BF1E42"/>
    <w:rsid w:val="00BF1FF9"/>
    <w:rsid w:val="00BF4321"/>
    <w:rsid w:val="00BF5AD1"/>
    <w:rsid w:val="00BF6174"/>
    <w:rsid w:val="00BF6CC4"/>
    <w:rsid w:val="00BF6F78"/>
    <w:rsid w:val="00BF779A"/>
    <w:rsid w:val="00BF77B6"/>
    <w:rsid w:val="00BF7B78"/>
    <w:rsid w:val="00C00B0B"/>
    <w:rsid w:val="00C01779"/>
    <w:rsid w:val="00C01D53"/>
    <w:rsid w:val="00C02407"/>
    <w:rsid w:val="00C03F79"/>
    <w:rsid w:val="00C04326"/>
    <w:rsid w:val="00C0475F"/>
    <w:rsid w:val="00C04E53"/>
    <w:rsid w:val="00C052A1"/>
    <w:rsid w:val="00C05483"/>
    <w:rsid w:val="00C06325"/>
    <w:rsid w:val="00C07EBA"/>
    <w:rsid w:val="00C07FD3"/>
    <w:rsid w:val="00C106CF"/>
    <w:rsid w:val="00C10BCE"/>
    <w:rsid w:val="00C10FD2"/>
    <w:rsid w:val="00C11D26"/>
    <w:rsid w:val="00C1234A"/>
    <w:rsid w:val="00C12F36"/>
    <w:rsid w:val="00C143B5"/>
    <w:rsid w:val="00C1500B"/>
    <w:rsid w:val="00C15C50"/>
    <w:rsid w:val="00C1627A"/>
    <w:rsid w:val="00C16EE0"/>
    <w:rsid w:val="00C17C7C"/>
    <w:rsid w:val="00C2028F"/>
    <w:rsid w:val="00C2111E"/>
    <w:rsid w:val="00C22AB2"/>
    <w:rsid w:val="00C22D44"/>
    <w:rsid w:val="00C25B71"/>
    <w:rsid w:val="00C25C96"/>
    <w:rsid w:val="00C25DC1"/>
    <w:rsid w:val="00C260F5"/>
    <w:rsid w:val="00C266BB"/>
    <w:rsid w:val="00C27860"/>
    <w:rsid w:val="00C312E8"/>
    <w:rsid w:val="00C3230A"/>
    <w:rsid w:val="00C32865"/>
    <w:rsid w:val="00C328B9"/>
    <w:rsid w:val="00C3332B"/>
    <w:rsid w:val="00C33946"/>
    <w:rsid w:val="00C341FB"/>
    <w:rsid w:val="00C344E2"/>
    <w:rsid w:val="00C34654"/>
    <w:rsid w:val="00C34AAD"/>
    <w:rsid w:val="00C34F90"/>
    <w:rsid w:val="00C415B0"/>
    <w:rsid w:val="00C41839"/>
    <w:rsid w:val="00C41B2E"/>
    <w:rsid w:val="00C43133"/>
    <w:rsid w:val="00C43415"/>
    <w:rsid w:val="00C43527"/>
    <w:rsid w:val="00C449A6"/>
    <w:rsid w:val="00C44B0C"/>
    <w:rsid w:val="00C4624B"/>
    <w:rsid w:val="00C47004"/>
    <w:rsid w:val="00C50116"/>
    <w:rsid w:val="00C50277"/>
    <w:rsid w:val="00C5036A"/>
    <w:rsid w:val="00C5093E"/>
    <w:rsid w:val="00C509FE"/>
    <w:rsid w:val="00C51ACE"/>
    <w:rsid w:val="00C56521"/>
    <w:rsid w:val="00C56E07"/>
    <w:rsid w:val="00C60071"/>
    <w:rsid w:val="00C601E8"/>
    <w:rsid w:val="00C601F4"/>
    <w:rsid w:val="00C60E74"/>
    <w:rsid w:val="00C61799"/>
    <w:rsid w:val="00C63E2E"/>
    <w:rsid w:val="00C65169"/>
    <w:rsid w:val="00C6621C"/>
    <w:rsid w:val="00C66726"/>
    <w:rsid w:val="00C6714B"/>
    <w:rsid w:val="00C678BB"/>
    <w:rsid w:val="00C70AC3"/>
    <w:rsid w:val="00C713EE"/>
    <w:rsid w:val="00C733D7"/>
    <w:rsid w:val="00C737E8"/>
    <w:rsid w:val="00C7413E"/>
    <w:rsid w:val="00C74803"/>
    <w:rsid w:val="00C75B8C"/>
    <w:rsid w:val="00C76EE4"/>
    <w:rsid w:val="00C80C52"/>
    <w:rsid w:val="00C81501"/>
    <w:rsid w:val="00C830D6"/>
    <w:rsid w:val="00C84218"/>
    <w:rsid w:val="00C8564A"/>
    <w:rsid w:val="00C8577D"/>
    <w:rsid w:val="00C85CBD"/>
    <w:rsid w:val="00C86E85"/>
    <w:rsid w:val="00C8749F"/>
    <w:rsid w:val="00C90123"/>
    <w:rsid w:val="00C9127A"/>
    <w:rsid w:val="00C922A4"/>
    <w:rsid w:val="00C92766"/>
    <w:rsid w:val="00C94B03"/>
    <w:rsid w:val="00C95990"/>
    <w:rsid w:val="00C963A1"/>
    <w:rsid w:val="00C96A88"/>
    <w:rsid w:val="00C97CBB"/>
    <w:rsid w:val="00CA0B0E"/>
    <w:rsid w:val="00CA1811"/>
    <w:rsid w:val="00CA25C2"/>
    <w:rsid w:val="00CA28D8"/>
    <w:rsid w:val="00CA3255"/>
    <w:rsid w:val="00CA4B72"/>
    <w:rsid w:val="00CA4E62"/>
    <w:rsid w:val="00CB0A0E"/>
    <w:rsid w:val="00CB0DB9"/>
    <w:rsid w:val="00CB1218"/>
    <w:rsid w:val="00CB1B2C"/>
    <w:rsid w:val="00CB30E6"/>
    <w:rsid w:val="00CB35F1"/>
    <w:rsid w:val="00CB43DD"/>
    <w:rsid w:val="00CB450F"/>
    <w:rsid w:val="00CB4C15"/>
    <w:rsid w:val="00CB682A"/>
    <w:rsid w:val="00CB6E38"/>
    <w:rsid w:val="00CB76E2"/>
    <w:rsid w:val="00CB7A9B"/>
    <w:rsid w:val="00CC023E"/>
    <w:rsid w:val="00CC070B"/>
    <w:rsid w:val="00CC277F"/>
    <w:rsid w:val="00CC35AF"/>
    <w:rsid w:val="00CC3B57"/>
    <w:rsid w:val="00CC3F14"/>
    <w:rsid w:val="00CC4417"/>
    <w:rsid w:val="00CC4E0B"/>
    <w:rsid w:val="00CC6641"/>
    <w:rsid w:val="00CC67FD"/>
    <w:rsid w:val="00CD33F6"/>
    <w:rsid w:val="00CD35DF"/>
    <w:rsid w:val="00CD39CB"/>
    <w:rsid w:val="00CD4371"/>
    <w:rsid w:val="00CD477E"/>
    <w:rsid w:val="00CD7576"/>
    <w:rsid w:val="00CD7BC4"/>
    <w:rsid w:val="00CE07B4"/>
    <w:rsid w:val="00CE1AD5"/>
    <w:rsid w:val="00CE1E31"/>
    <w:rsid w:val="00CE1E7E"/>
    <w:rsid w:val="00CE2033"/>
    <w:rsid w:val="00CE219F"/>
    <w:rsid w:val="00CE5D3C"/>
    <w:rsid w:val="00CE6A7D"/>
    <w:rsid w:val="00CE6D3E"/>
    <w:rsid w:val="00CE715E"/>
    <w:rsid w:val="00CE7A07"/>
    <w:rsid w:val="00CF0242"/>
    <w:rsid w:val="00CF2C32"/>
    <w:rsid w:val="00CF3297"/>
    <w:rsid w:val="00CF37EC"/>
    <w:rsid w:val="00CF5DA4"/>
    <w:rsid w:val="00CF5E0E"/>
    <w:rsid w:val="00CF71D3"/>
    <w:rsid w:val="00CF7A61"/>
    <w:rsid w:val="00D00A09"/>
    <w:rsid w:val="00D01B3C"/>
    <w:rsid w:val="00D01B45"/>
    <w:rsid w:val="00D03F68"/>
    <w:rsid w:val="00D046B2"/>
    <w:rsid w:val="00D04F1C"/>
    <w:rsid w:val="00D062B9"/>
    <w:rsid w:val="00D0697E"/>
    <w:rsid w:val="00D1004F"/>
    <w:rsid w:val="00D10862"/>
    <w:rsid w:val="00D11EC9"/>
    <w:rsid w:val="00D12D80"/>
    <w:rsid w:val="00D141B7"/>
    <w:rsid w:val="00D143A2"/>
    <w:rsid w:val="00D1469F"/>
    <w:rsid w:val="00D15CC1"/>
    <w:rsid w:val="00D16E15"/>
    <w:rsid w:val="00D17EF5"/>
    <w:rsid w:val="00D2109B"/>
    <w:rsid w:val="00D21BB3"/>
    <w:rsid w:val="00D21C30"/>
    <w:rsid w:val="00D227D7"/>
    <w:rsid w:val="00D24016"/>
    <w:rsid w:val="00D24ADC"/>
    <w:rsid w:val="00D25112"/>
    <w:rsid w:val="00D257CC"/>
    <w:rsid w:val="00D27623"/>
    <w:rsid w:val="00D303B6"/>
    <w:rsid w:val="00D303D8"/>
    <w:rsid w:val="00D31D49"/>
    <w:rsid w:val="00D31D9B"/>
    <w:rsid w:val="00D32425"/>
    <w:rsid w:val="00D333DC"/>
    <w:rsid w:val="00D33BC5"/>
    <w:rsid w:val="00D34508"/>
    <w:rsid w:val="00D352CD"/>
    <w:rsid w:val="00D3654F"/>
    <w:rsid w:val="00D40B31"/>
    <w:rsid w:val="00D4126C"/>
    <w:rsid w:val="00D42C4D"/>
    <w:rsid w:val="00D43734"/>
    <w:rsid w:val="00D4542C"/>
    <w:rsid w:val="00D50AEF"/>
    <w:rsid w:val="00D50FE7"/>
    <w:rsid w:val="00D51E0C"/>
    <w:rsid w:val="00D53D56"/>
    <w:rsid w:val="00D547F1"/>
    <w:rsid w:val="00D54C09"/>
    <w:rsid w:val="00D55027"/>
    <w:rsid w:val="00D55B4D"/>
    <w:rsid w:val="00D55FA3"/>
    <w:rsid w:val="00D56DF3"/>
    <w:rsid w:val="00D5744F"/>
    <w:rsid w:val="00D607CB"/>
    <w:rsid w:val="00D62996"/>
    <w:rsid w:val="00D62A24"/>
    <w:rsid w:val="00D64B92"/>
    <w:rsid w:val="00D64EF2"/>
    <w:rsid w:val="00D65851"/>
    <w:rsid w:val="00D658DF"/>
    <w:rsid w:val="00D65EE1"/>
    <w:rsid w:val="00D66566"/>
    <w:rsid w:val="00D6694C"/>
    <w:rsid w:val="00D6695A"/>
    <w:rsid w:val="00D6706C"/>
    <w:rsid w:val="00D6749C"/>
    <w:rsid w:val="00D67D49"/>
    <w:rsid w:val="00D709B1"/>
    <w:rsid w:val="00D7120C"/>
    <w:rsid w:val="00D725DF"/>
    <w:rsid w:val="00D72AC9"/>
    <w:rsid w:val="00D7345D"/>
    <w:rsid w:val="00D7348D"/>
    <w:rsid w:val="00D73977"/>
    <w:rsid w:val="00D73B7F"/>
    <w:rsid w:val="00D7475E"/>
    <w:rsid w:val="00D74A18"/>
    <w:rsid w:val="00D75AA5"/>
    <w:rsid w:val="00D76FF1"/>
    <w:rsid w:val="00D7796A"/>
    <w:rsid w:val="00D80AC1"/>
    <w:rsid w:val="00D8159B"/>
    <w:rsid w:val="00D8320F"/>
    <w:rsid w:val="00D83942"/>
    <w:rsid w:val="00D84516"/>
    <w:rsid w:val="00D86B18"/>
    <w:rsid w:val="00D87C3B"/>
    <w:rsid w:val="00D90373"/>
    <w:rsid w:val="00D9083D"/>
    <w:rsid w:val="00D91053"/>
    <w:rsid w:val="00D9188F"/>
    <w:rsid w:val="00D92587"/>
    <w:rsid w:val="00D941B1"/>
    <w:rsid w:val="00D94662"/>
    <w:rsid w:val="00D94B90"/>
    <w:rsid w:val="00D950F0"/>
    <w:rsid w:val="00D96D2E"/>
    <w:rsid w:val="00D97507"/>
    <w:rsid w:val="00DA1A57"/>
    <w:rsid w:val="00DA221D"/>
    <w:rsid w:val="00DA2596"/>
    <w:rsid w:val="00DA34E7"/>
    <w:rsid w:val="00DA3A27"/>
    <w:rsid w:val="00DA406F"/>
    <w:rsid w:val="00DA4090"/>
    <w:rsid w:val="00DA482F"/>
    <w:rsid w:val="00DA4CEE"/>
    <w:rsid w:val="00DA5197"/>
    <w:rsid w:val="00DA5313"/>
    <w:rsid w:val="00DA59B3"/>
    <w:rsid w:val="00DA5B3A"/>
    <w:rsid w:val="00DB0DFB"/>
    <w:rsid w:val="00DB1544"/>
    <w:rsid w:val="00DB22D5"/>
    <w:rsid w:val="00DB26E4"/>
    <w:rsid w:val="00DB37A5"/>
    <w:rsid w:val="00DB3A67"/>
    <w:rsid w:val="00DB3ACE"/>
    <w:rsid w:val="00DB3D91"/>
    <w:rsid w:val="00DB64D7"/>
    <w:rsid w:val="00DB64FD"/>
    <w:rsid w:val="00DB71AD"/>
    <w:rsid w:val="00DB7381"/>
    <w:rsid w:val="00DB7B5B"/>
    <w:rsid w:val="00DC0470"/>
    <w:rsid w:val="00DC0537"/>
    <w:rsid w:val="00DC0840"/>
    <w:rsid w:val="00DC29BE"/>
    <w:rsid w:val="00DC3CEA"/>
    <w:rsid w:val="00DC64D6"/>
    <w:rsid w:val="00DD045A"/>
    <w:rsid w:val="00DD1048"/>
    <w:rsid w:val="00DD19FE"/>
    <w:rsid w:val="00DD53F0"/>
    <w:rsid w:val="00DD6DC0"/>
    <w:rsid w:val="00DE0025"/>
    <w:rsid w:val="00DE1722"/>
    <w:rsid w:val="00DE1BB0"/>
    <w:rsid w:val="00DE2F94"/>
    <w:rsid w:val="00DE35FD"/>
    <w:rsid w:val="00DE44C6"/>
    <w:rsid w:val="00DE4637"/>
    <w:rsid w:val="00DE48DC"/>
    <w:rsid w:val="00DE611D"/>
    <w:rsid w:val="00DE61D5"/>
    <w:rsid w:val="00DE7B88"/>
    <w:rsid w:val="00DE7DE6"/>
    <w:rsid w:val="00DE7F87"/>
    <w:rsid w:val="00DF0956"/>
    <w:rsid w:val="00DF1409"/>
    <w:rsid w:val="00DF1E4D"/>
    <w:rsid w:val="00DF1E7E"/>
    <w:rsid w:val="00DF1ED6"/>
    <w:rsid w:val="00DF3DC0"/>
    <w:rsid w:val="00DF45C6"/>
    <w:rsid w:val="00DF4F5A"/>
    <w:rsid w:val="00DF5324"/>
    <w:rsid w:val="00DF615A"/>
    <w:rsid w:val="00DF791A"/>
    <w:rsid w:val="00DF7F3E"/>
    <w:rsid w:val="00E015A9"/>
    <w:rsid w:val="00E01DF9"/>
    <w:rsid w:val="00E02096"/>
    <w:rsid w:val="00E02796"/>
    <w:rsid w:val="00E0478F"/>
    <w:rsid w:val="00E04F19"/>
    <w:rsid w:val="00E063AD"/>
    <w:rsid w:val="00E067B5"/>
    <w:rsid w:val="00E0794E"/>
    <w:rsid w:val="00E1171F"/>
    <w:rsid w:val="00E1207C"/>
    <w:rsid w:val="00E12337"/>
    <w:rsid w:val="00E13A44"/>
    <w:rsid w:val="00E13DCF"/>
    <w:rsid w:val="00E157ED"/>
    <w:rsid w:val="00E15BC3"/>
    <w:rsid w:val="00E16C65"/>
    <w:rsid w:val="00E1797F"/>
    <w:rsid w:val="00E20240"/>
    <w:rsid w:val="00E2030C"/>
    <w:rsid w:val="00E20487"/>
    <w:rsid w:val="00E2236E"/>
    <w:rsid w:val="00E22C46"/>
    <w:rsid w:val="00E23481"/>
    <w:rsid w:val="00E26CE3"/>
    <w:rsid w:val="00E27957"/>
    <w:rsid w:val="00E3023C"/>
    <w:rsid w:val="00E31780"/>
    <w:rsid w:val="00E3222C"/>
    <w:rsid w:val="00E324B2"/>
    <w:rsid w:val="00E33BE7"/>
    <w:rsid w:val="00E36017"/>
    <w:rsid w:val="00E36A6E"/>
    <w:rsid w:val="00E36A8A"/>
    <w:rsid w:val="00E37E6A"/>
    <w:rsid w:val="00E40676"/>
    <w:rsid w:val="00E4087F"/>
    <w:rsid w:val="00E42A92"/>
    <w:rsid w:val="00E42AAB"/>
    <w:rsid w:val="00E44759"/>
    <w:rsid w:val="00E44A1A"/>
    <w:rsid w:val="00E452FA"/>
    <w:rsid w:val="00E45B39"/>
    <w:rsid w:val="00E46506"/>
    <w:rsid w:val="00E46A7C"/>
    <w:rsid w:val="00E47B59"/>
    <w:rsid w:val="00E47FFB"/>
    <w:rsid w:val="00E50564"/>
    <w:rsid w:val="00E52CD6"/>
    <w:rsid w:val="00E54298"/>
    <w:rsid w:val="00E57410"/>
    <w:rsid w:val="00E602B5"/>
    <w:rsid w:val="00E60443"/>
    <w:rsid w:val="00E61B49"/>
    <w:rsid w:val="00E64D51"/>
    <w:rsid w:val="00E64DD7"/>
    <w:rsid w:val="00E6544B"/>
    <w:rsid w:val="00E65E0F"/>
    <w:rsid w:val="00E66D80"/>
    <w:rsid w:val="00E66E28"/>
    <w:rsid w:val="00E678D4"/>
    <w:rsid w:val="00E71785"/>
    <w:rsid w:val="00E71E9F"/>
    <w:rsid w:val="00E73233"/>
    <w:rsid w:val="00E73DCB"/>
    <w:rsid w:val="00E75909"/>
    <w:rsid w:val="00E75C3C"/>
    <w:rsid w:val="00E762E0"/>
    <w:rsid w:val="00E7645E"/>
    <w:rsid w:val="00E766F6"/>
    <w:rsid w:val="00E76779"/>
    <w:rsid w:val="00E77112"/>
    <w:rsid w:val="00E77174"/>
    <w:rsid w:val="00E80359"/>
    <w:rsid w:val="00E80DC4"/>
    <w:rsid w:val="00E816C0"/>
    <w:rsid w:val="00E8181C"/>
    <w:rsid w:val="00E81F4A"/>
    <w:rsid w:val="00E83637"/>
    <w:rsid w:val="00E83B28"/>
    <w:rsid w:val="00E85277"/>
    <w:rsid w:val="00E85798"/>
    <w:rsid w:val="00E9240D"/>
    <w:rsid w:val="00E938A6"/>
    <w:rsid w:val="00E94915"/>
    <w:rsid w:val="00E96D8B"/>
    <w:rsid w:val="00E9723D"/>
    <w:rsid w:val="00E97D3E"/>
    <w:rsid w:val="00EA094B"/>
    <w:rsid w:val="00EA1426"/>
    <w:rsid w:val="00EA1AF8"/>
    <w:rsid w:val="00EA1F60"/>
    <w:rsid w:val="00EA37AF"/>
    <w:rsid w:val="00EA5A41"/>
    <w:rsid w:val="00EA5CC1"/>
    <w:rsid w:val="00EA61E8"/>
    <w:rsid w:val="00EA6F08"/>
    <w:rsid w:val="00EA76BB"/>
    <w:rsid w:val="00EB0DD3"/>
    <w:rsid w:val="00EB101D"/>
    <w:rsid w:val="00EB2B0B"/>
    <w:rsid w:val="00EB32BA"/>
    <w:rsid w:val="00EB44BD"/>
    <w:rsid w:val="00EB4706"/>
    <w:rsid w:val="00EB57BB"/>
    <w:rsid w:val="00EB62A8"/>
    <w:rsid w:val="00EB66EC"/>
    <w:rsid w:val="00EB7158"/>
    <w:rsid w:val="00EC02E6"/>
    <w:rsid w:val="00EC0B02"/>
    <w:rsid w:val="00EC0F02"/>
    <w:rsid w:val="00EC1067"/>
    <w:rsid w:val="00EC2B16"/>
    <w:rsid w:val="00EC2C28"/>
    <w:rsid w:val="00EC394B"/>
    <w:rsid w:val="00EC3C75"/>
    <w:rsid w:val="00EC4320"/>
    <w:rsid w:val="00EC5B0D"/>
    <w:rsid w:val="00EC5ECB"/>
    <w:rsid w:val="00EC6776"/>
    <w:rsid w:val="00EC696D"/>
    <w:rsid w:val="00ED0645"/>
    <w:rsid w:val="00ED075E"/>
    <w:rsid w:val="00ED2729"/>
    <w:rsid w:val="00ED410A"/>
    <w:rsid w:val="00ED465F"/>
    <w:rsid w:val="00ED5921"/>
    <w:rsid w:val="00ED7144"/>
    <w:rsid w:val="00EE036D"/>
    <w:rsid w:val="00EE0AB1"/>
    <w:rsid w:val="00EE0F45"/>
    <w:rsid w:val="00EE4F3E"/>
    <w:rsid w:val="00EE505B"/>
    <w:rsid w:val="00EE564E"/>
    <w:rsid w:val="00EE5BA4"/>
    <w:rsid w:val="00EE6814"/>
    <w:rsid w:val="00EE6E2D"/>
    <w:rsid w:val="00EE706C"/>
    <w:rsid w:val="00EF00AB"/>
    <w:rsid w:val="00EF263B"/>
    <w:rsid w:val="00EF2D08"/>
    <w:rsid w:val="00EF2F3A"/>
    <w:rsid w:val="00EF32D2"/>
    <w:rsid w:val="00EF4072"/>
    <w:rsid w:val="00EF488B"/>
    <w:rsid w:val="00EF524C"/>
    <w:rsid w:val="00EF56F3"/>
    <w:rsid w:val="00EF59E7"/>
    <w:rsid w:val="00EF7162"/>
    <w:rsid w:val="00EF7F24"/>
    <w:rsid w:val="00F01EA0"/>
    <w:rsid w:val="00F01EF0"/>
    <w:rsid w:val="00F039BF"/>
    <w:rsid w:val="00F03AEB"/>
    <w:rsid w:val="00F04283"/>
    <w:rsid w:val="00F049AC"/>
    <w:rsid w:val="00F05554"/>
    <w:rsid w:val="00F05F38"/>
    <w:rsid w:val="00F066CE"/>
    <w:rsid w:val="00F07B96"/>
    <w:rsid w:val="00F108C1"/>
    <w:rsid w:val="00F11D30"/>
    <w:rsid w:val="00F12004"/>
    <w:rsid w:val="00F128DE"/>
    <w:rsid w:val="00F12A29"/>
    <w:rsid w:val="00F12DD6"/>
    <w:rsid w:val="00F149DE"/>
    <w:rsid w:val="00F14A81"/>
    <w:rsid w:val="00F1728D"/>
    <w:rsid w:val="00F1772A"/>
    <w:rsid w:val="00F20D32"/>
    <w:rsid w:val="00F21695"/>
    <w:rsid w:val="00F22164"/>
    <w:rsid w:val="00F22D06"/>
    <w:rsid w:val="00F23BAF"/>
    <w:rsid w:val="00F26044"/>
    <w:rsid w:val="00F27D0D"/>
    <w:rsid w:val="00F27E3A"/>
    <w:rsid w:val="00F318B9"/>
    <w:rsid w:val="00F3283C"/>
    <w:rsid w:val="00F3288F"/>
    <w:rsid w:val="00F3388E"/>
    <w:rsid w:val="00F34725"/>
    <w:rsid w:val="00F35111"/>
    <w:rsid w:val="00F36F29"/>
    <w:rsid w:val="00F3727A"/>
    <w:rsid w:val="00F4404F"/>
    <w:rsid w:val="00F45514"/>
    <w:rsid w:val="00F45AFD"/>
    <w:rsid w:val="00F46D0C"/>
    <w:rsid w:val="00F50FBF"/>
    <w:rsid w:val="00F5116A"/>
    <w:rsid w:val="00F5203A"/>
    <w:rsid w:val="00F53069"/>
    <w:rsid w:val="00F54067"/>
    <w:rsid w:val="00F54623"/>
    <w:rsid w:val="00F550A3"/>
    <w:rsid w:val="00F55821"/>
    <w:rsid w:val="00F56573"/>
    <w:rsid w:val="00F5683B"/>
    <w:rsid w:val="00F57392"/>
    <w:rsid w:val="00F576E8"/>
    <w:rsid w:val="00F5787A"/>
    <w:rsid w:val="00F57951"/>
    <w:rsid w:val="00F61CA5"/>
    <w:rsid w:val="00F63E50"/>
    <w:rsid w:val="00F64160"/>
    <w:rsid w:val="00F641C0"/>
    <w:rsid w:val="00F6594F"/>
    <w:rsid w:val="00F6596E"/>
    <w:rsid w:val="00F65D88"/>
    <w:rsid w:val="00F70843"/>
    <w:rsid w:val="00F71266"/>
    <w:rsid w:val="00F724F8"/>
    <w:rsid w:val="00F734FB"/>
    <w:rsid w:val="00F73F19"/>
    <w:rsid w:val="00F74E06"/>
    <w:rsid w:val="00F750CF"/>
    <w:rsid w:val="00F76236"/>
    <w:rsid w:val="00F7789F"/>
    <w:rsid w:val="00F77AAC"/>
    <w:rsid w:val="00F77B17"/>
    <w:rsid w:val="00F80920"/>
    <w:rsid w:val="00F81827"/>
    <w:rsid w:val="00F81ACF"/>
    <w:rsid w:val="00F83423"/>
    <w:rsid w:val="00F83BD6"/>
    <w:rsid w:val="00F8575E"/>
    <w:rsid w:val="00F862FB"/>
    <w:rsid w:val="00F877B8"/>
    <w:rsid w:val="00F87C03"/>
    <w:rsid w:val="00F908D1"/>
    <w:rsid w:val="00F91FC3"/>
    <w:rsid w:val="00F92C50"/>
    <w:rsid w:val="00F937B5"/>
    <w:rsid w:val="00F93C10"/>
    <w:rsid w:val="00F940F1"/>
    <w:rsid w:val="00F95035"/>
    <w:rsid w:val="00F95C40"/>
    <w:rsid w:val="00F96754"/>
    <w:rsid w:val="00F96A51"/>
    <w:rsid w:val="00F96CFE"/>
    <w:rsid w:val="00F9761C"/>
    <w:rsid w:val="00FA139D"/>
    <w:rsid w:val="00FA1D91"/>
    <w:rsid w:val="00FA31C9"/>
    <w:rsid w:val="00FA339D"/>
    <w:rsid w:val="00FA48F5"/>
    <w:rsid w:val="00FA5626"/>
    <w:rsid w:val="00FA6CE7"/>
    <w:rsid w:val="00FA72F9"/>
    <w:rsid w:val="00FB0401"/>
    <w:rsid w:val="00FB071A"/>
    <w:rsid w:val="00FB0AC3"/>
    <w:rsid w:val="00FB22DF"/>
    <w:rsid w:val="00FB282F"/>
    <w:rsid w:val="00FB44E7"/>
    <w:rsid w:val="00FB5F14"/>
    <w:rsid w:val="00FB7E8E"/>
    <w:rsid w:val="00FC0F4A"/>
    <w:rsid w:val="00FC153A"/>
    <w:rsid w:val="00FC2D08"/>
    <w:rsid w:val="00FC40B6"/>
    <w:rsid w:val="00FC5E39"/>
    <w:rsid w:val="00FC70C6"/>
    <w:rsid w:val="00FC71B4"/>
    <w:rsid w:val="00FC73EC"/>
    <w:rsid w:val="00FC74ED"/>
    <w:rsid w:val="00FD0362"/>
    <w:rsid w:val="00FD042A"/>
    <w:rsid w:val="00FD1F5A"/>
    <w:rsid w:val="00FD2309"/>
    <w:rsid w:val="00FD30C1"/>
    <w:rsid w:val="00FD421F"/>
    <w:rsid w:val="00FD4D08"/>
    <w:rsid w:val="00FD5530"/>
    <w:rsid w:val="00FD58F9"/>
    <w:rsid w:val="00FD665D"/>
    <w:rsid w:val="00FD6681"/>
    <w:rsid w:val="00FD6C3F"/>
    <w:rsid w:val="00FD7AA6"/>
    <w:rsid w:val="00FE0B2A"/>
    <w:rsid w:val="00FE10C9"/>
    <w:rsid w:val="00FE1FD0"/>
    <w:rsid w:val="00FE477F"/>
    <w:rsid w:val="00FE4C1D"/>
    <w:rsid w:val="00FE4C2C"/>
    <w:rsid w:val="00FE54F7"/>
    <w:rsid w:val="00FE6169"/>
    <w:rsid w:val="00FE73C5"/>
    <w:rsid w:val="00FF00DF"/>
    <w:rsid w:val="00FF00E7"/>
    <w:rsid w:val="00FF19AF"/>
    <w:rsid w:val="00FF440E"/>
    <w:rsid w:val="00FF4916"/>
    <w:rsid w:val="00FF4D8A"/>
    <w:rsid w:val="00FF5269"/>
    <w:rsid w:val="00FF5929"/>
    <w:rsid w:val="00FF6044"/>
    <w:rsid w:val="00FF63D6"/>
    <w:rsid w:val="00FF6FE1"/>
    <w:rsid w:val="00FF730B"/>
    <w:rsid w:val="00FF7423"/>
    <w:rsid w:val="016BA665"/>
    <w:rsid w:val="0176C93B"/>
    <w:rsid w:val="01C8C624"/>
    <w:rsid w:val="027A6F00"/>
    <w:rsid w:val="0286F3E2"/>
    <w:rsid w:val="02875BFC"/>
    <w:rsid w:val="038F49D0"/>
    <w:rsid w:val="03F15877"/>
    <w:rsid w:val="04563687"/>
    <w:rsid w:val="050EA834"/>
    <w:rsid w:val="054D4DA9"/>
    <w:rsid w:val="055F760E"/>
    <w:rsid w:val="05A7D7AD"/>
    <w:rsid w:val="05C3255F"/>
    <w:rsid w:val="065E8524"/>
    <w:rsid w:val="078EB58A"/>
    <w:rsid w:val="07BB8777"/>
    <w:rsid w:val="07C0EE99"/>
    <w:rsid w:val="07C80383"/>
    <w:rsid w:val="08019746"/>
    <w:rsid w:val="080BE433"/>
    <w:rsid w:val="0811071F"/>
    <w:rsid w:val="08415163"/>
    <w:rsid w:val="08909687"/>
    <w:rsid w:val="09379F85"/>
    <w:rsid w:val="0A3A1074"/>
    <w:rsid w:val="0A4BB959"/>
    <w:rsid w:val="0A6393DD"/>
    <w:rsid w:val="0A90D24E"/>
    <w:rsid w:val="0AAB7385"/>
    <w:rsid w:val="0ABA0799"/>
    <w:rsid w:val="0ABEDE37"/>
    <w:rsid w:val="0B36F592"/>
    <w:rsid w:val="0B83ED6D"/>
    <w:rsid w:val="0CC359EF"/>
    <w:rsid w:val="0CFAA782"/>
    <w:rsid w:val="0CFFBD54"/>
    <w:rsid w:val="0D0351E3"/>
    <w:rsid w:val="0D545A42"/>
    <w:rsid w:val="0D652328"/>
    <w:rsid w:val="0DEA1BC5"/>
    <w:rsid w:val="0E03F000"/>
    <w:rsid w:val="0E51075E"/>
    <w:rsid w:val="0F7B90AE"/>
    <w:rsid w:val="0FC8335A"/>
    <w:rsid w:val="10111A63"/>
    <w:rsid w:val="1037D495"/>
    <w:rsid w:val="10494CB0"/>
    <w:rsid w:val="10B33E7A"/>
    <w:rsid w:val="10FA81F7"/>
    <w:rsid w:val="117372C3"/>
    <w:rsid w:val="11BA425E"/>
    <w:rsid w:val="12222657"/>
    <w:rsid w:val="122BC177"/>
    <w:rsid w:val="128116AB"/>
    <w:rsid w:val="1298B66D"/>
    <w:rsid w:val="134FD3A3"/>
    <w:rsid w:val="138DC6FB"/>
    <w:rsid w:val="139A2425"/>
    <w:rsid w:val="139FA426"/>
    <w:rsid w:val="13D1FFDD"/>
    <w:rsid w:val="13EEFDFC"/>
    <w:rsid w:val="14D683D0"/>
    <w:rsid w:val="158E8498"/>
    <w:rsid w:val="15B534C5"/>
    <w:rsid w:val="15D24F3C"/>
    <w:rsid w:val="15E08D9F"/>
    <w:rsid w:val="15F272B9"/>
    <w:rsid w:val="1609FC75"/>
    <w:rsid w:val="1639DE38"/>
    <w:rsid w:val="163A9A84"/>
    <w:rsid w:val="16901360"/>
    <w:rsid w:val="1693A1F1"/>
    <w:rsid w:val="16D10736"/>
    <w:rsid w:val="16E60760"/>
    <w:rsid w:val="16EA492C"/>
    <w:rsid w:val="174E44F7"/>
    <w:rsid w:val="177E6D11"/>
    <w:rsid w:val="17B070AE"/>
    <w:rsid w:val="19003940"/>
    <w:rsid w:val="19387E00"/>
    <w:rsid w:val="19AE3C56"/>
    <w:rsid w:val="1A0ED5BF"/>
    <w:rsid w:val="1A398D2D"/>
    <w:rsid w:val="1A58ECE8"/>
    <w:rsid w:val="1AFC0461"/>
    <w:rsid w:val="1B6894DD"/>
    <w:rsid w:val="1C4685BC"/>
    <w:rsid w:val="1C849AC3"/>
    <w:rsid w:val="1C882F87"/>
    <w:rsid w:val="1DAD9A7A"/>
    <w:rsid w:val="1DD2E20B"/>
    <w:rsid w:val="1DD31735"/>
    <w:rsid w:val="1E0E7DFA"/>
    <w:rsid w:val="1E4B4A18"/>
    <w:rsid w:val="1E57704E"/>
    <w:rsid w:val="1E7AC6A4"/>
    <w:rsid w:val="1E8A0D68"/>
    <w:rsid w:val="1ED2CF06"/>
    <w:rsid w:val="1F56EDDB"/>
    <w:rsid w:val="1F5FC384"/>
    <w:rsid w:val="1F7DA0F4"/>
    <w:rsid w:val="1F8E1CD0"/>
    <w:rsid w:val="1FC4F259"/>
    <w:rsid w:val="201295BC"/>
    <w:rsid w:val="20577784"/>
    <w:rsid w:val="20B46271"/>
    <w:rsid w:val="21116FEE"/>
    <w:rsid w:val="2199CA49"/>
    <w:rsid w:val="219DFEB6"/>
    <w:rsid w:val="22156769"/>
    <w:rsid w:val="2266A8F7"/>
    <w:rsid w:val="228B9427"/>
    <w:rsid w:val="22E95ACF"/>
    <w:rsid w:val="22F669F9"/>
    <w:rsid w:val="23D69271"/>
    <w:rsid w:val="23F06F16"/>
    <w:rsid w:val="245E8FE7"/>
    <w:rsid w:val="2460A020"/>
    <w:rsid w:val="248E0DDF"/>
    <w:rsid w:val="249875F1"/>
    <w:rsid w:val="24D0F761"/>
    <w:rsid w:val="24E176DE"/>
    <w:rsid w:val="2515E2BD"/>
    <w:rsid w:val="2578F2EC"/>
    <w:rsid w:val="258F07C1"/>
    <w:rsid w:val="25A8C273"/>
    <w:rsid w:val="25D268BF"/>
    <w:rsid w:val="2608BB52"/>
    <w:rsid w:val="264DDC3E"/>
    <w:rsid w:val="266E97A7"/>
    <w:rsid w:val="269A5829"/>
    <w:rsid w:val="272CA986"/>
    <w:rsid w:val="27492C45"/>
    <w:rsid w:val="275FE33C"/>
    <w:rsid w:val="27775652"/>
    <w:rsid w:val="27788EEE"/>
    <w:rsid w:val="27D15373"/>
    <w:rsid w:val="2891EAC8"/>
    <w:rsid w:val="28B06EA1"/>
    <w:rsid w:val="28B8410B"/>
    <w:rsid w:val="2907C6D5"/>
    <w:rsid w:val="290F1066"/>
    <w:rsid w:val="29140D0A"/>
    <w:rsid w:val="29884473"/>
    <w:rsid w:val="29911D6B"/>
    <w:rsid w:val="29ADC874"/>
    <w:rsid w:val="29F9C0AB"/>
    <w:rsid w:val="2A44C571"/>
    <w:rsid w:val="2ABF9DDB"/>
    <w:rsid w:val="2B141F75"/>
    <w:rsid w:val="2B96B88C"/>
    <w:rsid w:val="2BE46FB0"/>
    <w:rsid w:val="2C09370E"/>
    <w:rsid w:val="2C1727A2"/>
    <w:rsid w:val="2C2400F8"/>
    <w:rsid w:val="2C26A148"/>
    <w:rsid w:val="2CDD8A41"/>
    <w:rsid w:val="2CE54B7E"/>
    <w:rsid w:val="2CF7AA86"/>
    <w:rsid w:val="2CFFE08A"/>
    <w:rsid w:val="2D380A65"/>
    <w:rsid w:val="2D4A8A37"/>
    <w:rsid w:val="2D714F05"/>
    <w:rsid w:val="2DE77449"/>
    <w:rsid w:val="2E07665D"/>
    <w:rsid w:val="2EC19123"/>
    <w:rsid w:val="2F2AB066"/>
    <w:rsid w:val="2F3CEA54"/>
    <w:rsid w:val="2F8344AA"/>
    <w:rsid w:val="308F6E26"/>
    <w:rsid w:val="30A53EF8"/>
    <w:rsid w:val="30E87321"/>
    <w:rsid w:val="310A5A13"/>
    <w:rsid w:val="310D42BC"/>
    <w:rsid w:val="31322CFE"/>
    <w:rsid w:val="3162F1DF"/>
    <w:rsid w:val="319E00B3"/>
    <w:rsid w:val="31B77A0C"/>
    <w:rsid w:val="32396EE7"/>
    <w:rsid w:val="32427DF7"/>
    <w:rsid w:val="32C74E82"/>
    <w:rsid w:val="32C80DAD"/>
    <w:rsid w:val="32FEEEC7"/>
    <w:rsid w:val="334ED6EA"/>
    <w:rsid w:val="342B23CD"/>
    <w:rsid w:val="3495B79F"/>
    <w:rsid w:val="350F6AEA"/>
    <w:rsid w:val="35A31323"/>
    <w:rsid w:val="36121458"/>
    <w:rsid w:val="363DB190"/>
    <w:rsid w:val="371F592E"/>
    <w:rsid w:val="3775120C"/>
    <w:rsid w:val="379FBAA4"/>
    <w:rsid w:val="37C106F7"/>
    <w:rsid w:val="37C20C56"/>
    <w:rsid w:val="37CEC970"/>
    <w:rsid w:val="385EBE82"/>
    <w:rsid w:val="38A86803"/>
    <w:rsid w:val="3924B3B3"/>
    <w:rsid w:val="396D015B"/>
    <w:rsid w:val="39908C95"/>
    <w:rsid w:val="39FEF399"/>
    <w:rsid w:val="39FF19A5"/>
    <w:rsid w:val="3A6423EE"/>
    <w:rsid w:val="3A9F6249"/>
    <w:rsid w:val="3ABC07E6"/>
    <w:rsid w:val="3AF4271F"/>
    <w:rsid w:val="3AFA596C"/>
    <w:rsid w:val="3AFB885C"/>
    <w:rsid w:val="3B1E253C"/>
    <w:rsid w:val="3B6B82F9"/>
    <w:rsid w:val="3C436C76"/>
    <w:rsid w:val="3C9521A6"/>
    <w:rsid w:val="3C9583CA"/>
    <w:rsid w:val="3CB8AC8B"/>
    <w:rsid w:val="3CF1EB39"/>
    <w:rsid w:val="3D323931"/>
    <w:rsid w:val="3E2A56E2"/>
    <w:rsid w:val="3ED8A025"/>
    <w:rsid w:val="3F9EADB9"/>
    <w:rsid w:val="401B1A15"/>
    <w:rsid w:val="402E6FC4"/>
    <w:rsid w:val="4073C6BD"/>
    <w:rsid w:val="40AAC65D"/>
    <w:rsid w:val="4153B01F"/>
    <w:rsid w:val="416D2EEE"/>
    <w:rsid w:val="417282B0"/>
    <w:rsid w:val="425BD510"/>
    <w:rsid w:val="426A37AB"/>
    <w:rsid w:val="426C6F99"/>
    <w:rsid w:val="42824D73"/>
    <w:rsid w:val="42ACC30A"/>
    <w:rsid w:val="42C97BF6"/>
    <w:rsid w:val="4307635B"/>
    <w:rsid w:val="43179C26"/>
    <w:rsid w:val="4376EE49"/>
    <w:rsid w:val="43C60222"/>
    <w:rsid w:val="4414BDF6"/>
    <w:rsid w:val="44A4C829"/>
    <w:rsid w:val="44DAFABE"/>
    <w:rsid w:val="4539153F"/>
    <w:rsid w:val="453F76BE"/>
    <w:rsid w:val="455BBED8"/>
    <w:rsid w:val="4594A133"/>
    <w:rsid w:val="45B46AAE"/>
    <w:rsid w:val="45CF4A02"/>
    <w:rsid w:val="4610977E"/>
    <w:rsid w:val="465C46B2"/>
    <w:rsid w:val="46907C81"/>
    <w:rsid w:val="4692393E"/>
    <w:rsid w:val="46CC3A9F"/>
    <w:rsid w:val="471B3F5F"/>
    <w:rsid w:val="472BD029"/>
    <w:rsid w:val="479CB7FD"/>
    <w:rsid w:val="47B69821"/>
    <w:rsid w:val="47CB060B"/>
    <w:rsid w:val="48874E0D"/>
    <w:rsid w:val="49375F6F"/>
    <w:rsid w:val="498A9076"/>
    <w:rsid w:val="4993DFDB"/>
    <w:rsid w:val="49A41C8B"/>
    <w:rsid w:val="49A5CC71"/>
    <w:rsid w:val="49F900CF"/>
    <w:rsid w:val="4A065568"/>
    <w:rsid w:val="4A553C7B"/>
    <w:rsid w:val="4AF70C9A"/>
    <w:rsid w:val="4B66DDA2"/>
    <w:rsid w:val="4BA56A77"/>
    <w:rsid w:val="4BA5A9B8"/>
    <w:rsid w:val="4C6FFC63"/>
    <w:rsid w:val="4C91FD17"/>
    <w:rsid w:val="4CE79927"/>
    <w:rsid w:val="4D7F162D"/>
    <w:rsid w:val="4D94963B"/>
    <w:rsid w:val="4DE73C0D"/>
    <w:rsid w:val="4EC8B653"/>
    <w:rsid w:val="4EFD3B23"/>
    <w:rsid w:val="4F8C7F18"/>
    <w:rsid w:val="4FE21966"/>
    <w:rsid w:val="4FEA8C9C"/>
    <w:rsid w:val="5049E65B"/>
    <w:rsid w:val="50D69F17"/>
    <w:rsid w:val="50FA2F92"/>
    <w:rsid w:val="5123E3A0"/>
    <w:rsid w:val="516F874C"/>
    <w:rsid w:val="518F906E"/>
    <w:rsid w:val="51CE3340"/>
    <w:rsid w:val="51D356B6"/>
    <w:rsid w:val="51F75F95"/>
    <w:rsid w:val="5243B032"/>
    <w:rsid w:val="52B81606"/>
    <w:rsid w:val="52FE31AF"/>
    <w:rsid w:val="5383B1B3"/>
    <w:rsid w:val="53A9D8D8"/>
    <w:rsid w:val="53CD30EB"/>
    <w:rsid w:val="541D6591"/>
    <w:rsid w:val="54339CEB"/>
    <w:rsid w:val="5435AFD3"/>
    <w:rsid w:val="545EF1C1"/>
    <w:rsid w:val="54ED149E"/>
    <w:rsid w:val="5516F1E6"/>
    <w:rsid w:val="5532C82C"/>
    <w:rsid w:val="557E1289"/>
    <w:rsid w:val="55931A77"/>
    <w:rsid w:val="559CC12E"/>
    <w:rsid w:val="55AECEE1"/>
    <w:rsid w:val="55D63632"/>
    <w:rsid w:val="5608AB93"/>
    <w:rsid w:val="56D1FA7C"/>
    <w:rsid w:val="57446052"/>
    <w:rsid w:val="57683042"/>
    <w:rsid w:val="5771F657"/>
    <w:rsid w:val="57AB1CC7"/>
    <w:rsid w:val="57D9C3D7"/>
    <w:rsid w:val="58544C6B"/>
    <w:rsid w:val="58F34ACD"/>
    <w:rsid w:val="58F63EC3"/>
    <w:rsid w:val="59835990"/>
    <w:rsid w:val="59C6289B"/>
    <w:rsid w:val="59CD1F27"/>
    <w:rsid w:val="59E2151F"/>
    <w:rsid w:val="5A6BBF0D"/>
    <w:rsid w:val="5AB5E05D"/>
    <w:rsid w:val="5AFB6505"/>
    <w:rsid w:val="5AFE1F3B"/>
    <w:rsid w:val="5AFE8486"/>
    <w:rsid w:val="5B382AD7"/>
    <w:rsid w:val="5B4A0DBF"/>
    <w:rsid w:val="5B5B8C9A"/>
    <w:rsid w:val="5B77AE25"/>
    <w:rsid w:val="5BB44340"/>
    <w:rsid w:val="5BB5E5DE"/>
    <w:rsid w:val="5BDE9AA6"/>
    <w:rsid w:val="5BF4F0E8"/>
    <w:rsid w:val="5C04CF94"/>
    <w:rsid w:val="5C44DC29"/>
    <w:rsid w:val="5CD477F4"/>
    <w:rsid w:val="5D737E90"/>
    <w:rsid w:val="5D8F129B"/>
    <w:rsid w:val="5DF29C1B"/>
    <w:rsid w:val="5E36080D"/>
    <w:rsid w:val="5E79BCD7"/>
    <w:rsid w:val="5E938E07"/>
    <w:rsid w:val="5FA3FE52"/>
    <w:rsid w:val="603E6E30"/>
    <w:rsid w:val="60440140"/>
    <w:rsid w:val="609849BC"/>
    <w:rsid w:val="60F68FD8"/>
    <w:rsid w:val="613CCC09"/>
    <w:rsid w:val="6152EA1D"/>
    <w:rsid w:val="6173C2F2"/>
    <w:rsid w:val="617D96A4"/>
    <w:rsid w:val="61AC564D"/>
    <w:rsid w:val="61AE28BE"/>
    <w:rsid w:val="61D5CBA0"/>
    <w:rsid w:val="627292AD"/>
    <w:rsid w:val="6295D88E"/>
    <w:rsid w:val="629C5B0C"/>
    <w:rsid w:val="630F9353"/>
    <w:rsid w:val="63C6B089"/>
    <w:rsid w:val="641CA47E"/>
    <w:rsid w:val="6466E2D6"/>
    <w:rsid w:val="64A6F09F"/>
    <w:rsid w:val="64B5E49E"/>
    <w:rsid w:val="65564EA7"/>
    <w:rsid w:val="656B3466"/>
    <w:rsid w:val="657CA58C"/>
    <w:rsid w:val="65A3F625"/>
    <w:rsid w:val="65CB38C0"/>
    <w:rsid w:val="65D42FC8"/>
    <w:rsid w:val="663E84B0"/>
    <w:rsid w:val="66A8FE00"/>
    <w:rsid w:val="66D29E8C"/>
    <w:rsid w:val="67285148"/>
    <w:rsid w:val="67B0A78F"/>
    <w:rsid w:val="67B5A24D"/>
    <w:rsid w:val="67C521DD"/>
    <w:rsid w:val="67C9ECFB"/>
    <w:rsid w:val="687B3479"/>
    <w:rsid w:val="68D08BD8"/>
    <w:rsid w:val="69472D29"/>
    <w:rsid w:val="6975EB32"/>
    <w:rsid w:val="69798323"/>
    <w:rsid w:val="697CDD28"/>
    <w:rsid w:val="69CCC08C"/>
    <w:rsid w:val="69D75814"/>
    <w:rsid w:val="6A0C4E95"/>
    <w:rsid w:val="6A26CA07"/>
    <w:rsid w:val="6A3C4315"/>
    <w:rsid w:val="6A945711"/>
    <w:rsid w:val="6AF4AF4D"/>
    <w:rsid w:val="6B0C5B31"/>
    <w:rsid w:val="6B276D5C"/>
    <w:rsid w:val="6BD3EB3D"/>
    <w:rsid w:val="6C303DA6"/>
    <w:rsid w:val="6C985368"/>
    <w:rsid w:val="6CB461B9"/>
    <w:rsid w:val="6D26EB9E"/>
    <w:rsid w:val="6D6D92CF"/>
    <w:rsid w:val="6D8DC4F9"/>
    <w:rsid w:val="6E527760"/>
    <w:rsid w:val="6E63039A"/>
    <w:rsid w:val="6E7D821B"/>
    <w:rsid w:val="6F0400A6"/>
    <w:rsid w:val="6F529AD3"/>
    <w:rsid w:val="6F91582F"/>
    <w:rsid w:val="6F9C0DAD"/>
    <w:rsid w:val="6FB6CE6E"/>
    <w:rsid w:val="6FCAEEFE"/>
    <w:rsid w:val="70590F2A"/>
    <w:rsid w:val="719513F4"/>
    <w:rsid w:val="71A3E77D"/>
    <w:rsid w:val="71FD8FD4"/>
    <w:rsid w:val="723F0610"/>
    <w:rsid w:val="728312CC"/>
    <w:rsid w:val="72BF4AD7"/>
    <w:rsid w:val="72F2309C"/>
    <w:rsid w:val="7307FB1D"/>
    <w:rsid w:val="737A1D25"/>
    <w:rsid w:val="7382E470"/>
    <w:rsid w:val="74275EED"/>
    <w:rsid w:val="74664864"/>
    <w:rsid w:val="749BFC2C"/>
    <w:rsid w:val="74FDAC50"/>
    <w:rsid w:val="75324766"/>
    <w:rsid w:val="75330037"/>
    <w:rsid w:val="75656D62"/>
    <w:rsid w:val="76A5B4B8"/>
    <w:rsid w:val="76F8441C"/>
    <w:rsid w:val="7711F82E"/>
    <w:rsid w:val="77485F67"/>
    <w:rsid w:val="774E97F5"/>
    <w:rsid w:val="7759C4DC"/>
    <w:rsid w:val="77821116"/>
    <w:rsid w:val="77BD609F"/>
    <w:rsid w:val="77C1C361"/>
    <w:rsid w:val="7865E4A2"/>
    <w:rsid w:val="78C893F2"/>
    <w:rsid w:val="7932D5B7"/>
    <w:rsid w:val="7A4A75D1"/>
    <w:rsid w:val="7B2FCCE3"/>
    <w:rsid w:val="7B34AF4B"/>
    <w:rsid w:val="7BC8C32F"/>
    <w:rsid w:val="7CE47ED1"/>
    <w:rsid w:val="7D43A1EF"/>
    <w:rsid w:val="7D5E1A46"/>
    <w:rsid w:val="7DA21C11"/>
    <w:rsid w:val="7EB08F77"/>
    <w:rsid w:val="7EB207B5"/>
    <w:rsid w:val="7EEAEBDF"/>
    <w:rsid w:val="7F473B0A"/>
    <w:rsid w:val="7F50D0E1"/>
    <w:rsid w:val="7FF9AB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3C272"/>
  <w15:chartTrackingRefBased/>
  <w15:docId w15:val="{8E25E8E6-0AD8-430B-B82F-DE17607D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EF"/>
    <w:pPr>
      <w:spacing w:before="120" w:after="200" w:line="240" w:lineRule="auto"/>
    </w:pPr>
    <w:rPr>
      <w:rFonts w:ascii="Arial" w:eastAsia="Times New Roman" w:hAnsi="Arial" w:cs="Times New Roman"/>
      <w:color w:val="ED7D31" w:themeColor="accent2"/>
      <w:sz w:val="18"/>
      <w:szCs w:val="20"/>
    </w:rPr>
  </w:style>
  <w:style w:type="paragraph" w:styleId="Heading1">
    <w:name w:val="heading 1"/>
    <w:basedOn w:val="Normal"/>
    <w:next w:val="Normal"/>
    <w:link w:val="Heading1Char"/>
    <w:uiPriority w:val="9"/>
    <w:qFormat/>
    <w:rsid w:val="004D5F9F"/>
    <w:pPr>
      <w:keepNext/>
      <w:keepLines/>
      <w:pageBreakBefore/>
      <w:numPr>
        <w:numId w:val="1"/>
      </w:numPr>
      <w:spacing w:before="520" w:after="480"/>
      <w:outlineLvl w:val="0"/>
    </w:pPr>
    <w:rPr>
      <w:b/>
      <w:bCs/>
      <w:color w:val="FFC000" w:themeColor="accent4"/>
      <w:sz w:val="36"/>
      <w:szCs w:val="32"/>
    </w:rPr>
  </w:style>
  <w:style w:type="paragraph" w:styleId="Heading2">
    <w:name w:val="heading 2"/>
    <w:basedOn w:val="Normal"/>
    <w:next w:val="Normal"/>
    <w:link w:val="Heading2Char"/>
    <w:uiPriority w:val="9"/>
    <w:qFormat/>
    <w:rsid w:val="004D5F9F"/>
    <w:pPr>
      <w:keepNext/>
      <w:keepLines/>
      <w:numPr>
        <w:ilvl w:val="1"/>
        <w:numId w:val="1"/>
      </w:numPr>
      <w:spacing w:before="400"/>
      <w:outlineLvl w:val="1"/>
    </w:pPr>
    <w:rPr>
      <w:bCs/>
      <w:color w:val="A5A5A5" w:themeColor="accent3"/>
      <w:sz w:val="28"/>
      <w:szCs w:val="26"/>
    </w:rPr>
  </w:style>
  <w:style w:type="paragraph" w:styleId="Heading3">
    <w:name w:val="heading 3"/>
    <w:basedOn w:val="Normal"/>
    <w:next w:val="Normal"/>
    <w:link w:val="Heading3Char"/>
    <w:uiPriority w:val="9"/>
    <w:qFormat/>
    <w:rsid w:val="004D5F9F"/>
    <w:pPr>
      <w:keepNext/>
      <w:keepLines/>
      <w:numPr>
        <w:ilvl w:val="2"/>
        <w:numId w:val="1"/>
      </w:numPr>
      <w:spacing w:before="320" w:after="160"/>
      <w:outlineLvl w:val="2"/>
    </w:pPr>
    <w:rPr>
      <w:b/>
      <w:bCs/>
      <w:color w:val="FFC000" w:themeColor="accent4"/>
      <w:sz w:val="22"/>
    </w:rPr>
  </w:style>
  <w:style w:type="paragraph" w:styleId="Heading4">
    <w:name w:val="heading 4"/>
    <w:basedOn w:val="Normal"/>
    <w:next w:val="Normal"/>
    <w:link w:val="Heading4Char"/>
    <w:uiPriority w:val="9"/>
    <w:unhideWhenUsed/>
    <w:rsid w:val="004D5F9F"/>
    <w:pPr>
      <w:keepNext/>
      <w:keepLines/>
      <w:numPr>
        <w:ilvl w:val="3"/>
        <w:numId w:val="1"/>
      </w:numPr>
      <w:spacing w:before="280" w:after="0"/>
      <w:ind w:left="862" w:hanging="862"/>
      <w:outlineLvl w:val="3"/>
    </w:pPr>
    <w:rPr>
      <w:rFonts w:eastAsiaTheme="majorEastAsia" w:cstheme="majorBidi"/>
      <w:b/>
      <w:bCs/>
      <w:iCs/>
      <w:color w:val="FFC000" w:themeColor="accent4"/>
    </w:rPr>
  </w:style>
  <w:style w:type="paragraph" w:styleId="Heading5">
    <w:name w:val="heading 5"/>
    <w:basedOn w:val="Normal"/>
    <w:next w:val="Normal"/>
    <w:link w:val="Heading5Char"/>
    <w:uiPriority w:val="9"/>
    <w:unhideWhenUsed/>
    <w:rsid w:val="004D5F9F"/>
    <w:pPr>
      <w:keepNext/>
      <w:keepLines/>
      <w:numPr>
        <w:ilvl w:val="4"/>
        <w:numId w:val="1"/>
      </w:numPr>
      <w:spacing w:before="280" w:after="0"/>
      <w:ind w:left="1009" w:hanging="1009"/>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4D5F9F"/>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D5F9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5F9F"/>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D5F9F"/>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9F"/>
    <w:rPr>
      <w:rFonts w:ascii="Arial" w:eastAsia="Times New Roman" w:hAnsi="Arial" w:cs="Times New Roman"/>
      <w:b/>
      <w:bCs/>
      <w:color w:val="FFC000" w:themeColor="accent4"/>
      <w:sz w:val="36"/>
      <w:szCs w:val="32"/>
    </w:rPr>
  </w:style>
  <w:style w:type="character" w:customStyle="1" w:styleId="Heading2Char">
    <w:name w:val="Heading 2 Char"/>
    <w:basedOn w:val="DefaultParagraphFont"/>
    <w:link w:val="Heading2"/>
    <w:uiPriority w:val="9"/>
    <w:rsid w:val="004D5F9F"/>
    <w:rPr>
      <w:rFonts w:ascii="Arial" w:eastAsia="Times New Roman" w:hAnsi="Arial" w:cs="Times New Roman"/>
      <w:bCs/>
      <w:color w:val="A5A5A5" w:themeColor="accent3"/>
      <w:sz w:val="28"/>
      <w:szCs w:val="26"/>
    </w:rPr>
  </w:style>
  <w:style w:type="character" w:customStyle="1" w:styleId="Heading3Char">
    <w:name w:val="Heading 3 Char"/>
    <w:basedOn w:val="DefaultParagraphFont"/>
    <w:link w:val="Heading3"/>
    <w:uiPriority w:val="9"/>
    <w:rsid w:val="004D5F9F"/>
    <w:rPr>
      <w:rFonts w:ascii="Arial" w:eastAsia="Times New Roman" w:hAnsi="Arial" w:cs="Times New Roman"/>
      <w:b/>
      <w:bCs/>
      <w:color w:val="FFC000" w:themeColor="accent4"/>
      <w:szCs w:val="20"/>
    </w:rPr>
  </w:style>
  <w:style w:type="character" w:customStyle="1" w:styleId="Heading4Char">
    <w:name w:val="Heading 4 Char"/>
    <w:basedOn w:val="DefaultParagraphFont"/>
    <w:link w:val="Heading4"/>
    <w:uiPriority w:val="9"/>
    <w:rsid w:val="004D5F9F"/>
    <w:rPr>
      <w:rFonts w:ascii="Arial" w:eastAsiaTheme="majorEastAsia" w:hAnsi="Arial" w:cstheme="majorBidi"/>
      <w:b/>
      <w:bCs/>
      <w:iCs/>
      <w:color w:val="FFC000" w:themeColor="accent4"/>
      <w:sz w:val="18"/>
      <w:szCs w:val="20"/>
    </w:rPr>
  </w:style>
  <w:style w:type="character" w:customStyle="1" w:styleId="Heading5Char">
    <w:name w:val="Heading 5 Char"/>
    <w:basedOn w:val="DefaultParagraphFont"/>
    <w:link w:val="Heading5"/>
    <w:uiPriority w:val="9"/>
    <w:rsid w:val="004D5F9F"/>
    <w:rPr>
      <w:rFonts w:ascii="Arial" w:eastAsiaTheme="majorEastAsia" w:hAnsi="Arial" w:cstheme="majorBidi"/>
      <w:color w:val="000000" w:themeColor="text1"/>
      <w:sz w:val="18"/>
      <w:szCs w:val="20"/>
    </w:rPr>
  </w:style>
  <w:style w:type="character" w:customStyle="1" w:styleId="Heading6Char">
    <w:name w:val="Heading 6 Char"/>
    <w:basedOn w:val="DefaultParagraphFont"/>
    <w:link w:val="Heading6"/>
    <w:uiPriority w:val="9"/>
    <w:semiHidden/>
    <w:rsid w:val="004D5F9F"/>
    <w:rPr>
      <w:rFonts w:asciiTheme="majorHAnsi" w:eastAsiaTheme="majorEastAsia" w:hAnsiTheme="majorHAnsi" w:cstheme="majorBidi"/>
      <w:i/>
      <w:iCs/>
      <w:color w:val="1F3763" w:themeColor="accent1" w:themeShade="7F"/>
      <w:sz w:val="18"/>
      <w:szCs w:val="20"/>
    </w:rPr>
  </w:style>
  <w:style w:type="character" w:customStyle="1" w:styleId="Heading7Char">
    <w:name w:val="Heading 7 Char"/>
    <w:basedOn w:val="DefaultParagraphFont"/>
    <w:link w:val="Heading7"/>
    <w:uiPriority w:val="9"/>
    <w:semiHidden/>
    <w:rsid w:val="004D5F9F"/>
    <w:rPr>
      <w:rFonts w:asciiTheme="majorHAnsi" w:eastAsiaTheme="majorEastAsia" w:hAnsiTheme="majorHAnsi" w:cstheme="majorBidi"/>
      <w:i/>
      <w:iCs/>
      <w:color w:val="404040" w:themeColor="text1" w:themeTint="BF"/>
      <w:sz w:val="18"/>
      <w:szCs w:val="20"/>
    </w:rPr>
  </w:style>
  <w:style w:type="character" w:customStyle="1" w:styleId="Heading8Char">
    <w:name w:val="Heading 8 Char"/>
    <w:basedOn w:val="DefaultParagraphFont"/>
    <w:link w:val="Heading8"/>
    <w:uiPriority w:val="9"/>
    <w:semiHidden/>
    <w:rsid w:val="004D5F9F"/>
    <w:rPr>
      <w:rFonts w:asciiTheme="majorHAnsi" w:eastAsiaTheme="majorEastAsia" w:hAnsiTheme="majorHAnsi" w:cstheme="majorBidi"/>
      <w:color w:val="404040" w:themeColor="text1" w:themeTint="BF"/>
      <w:sz w:val="18"/>
      <w:szCs w:val="20"/>
    </w:rPr>
  </w:style>
  <w:style w:type="character" w:customStyle="1" w:styleId="Heading9Char">
    <w:name w:val="Heading 9 Char"/>
    <w:basedOn w:val="DefaultParagraphFont"/>
    <w:link w:val="Heading9"/>
    <w:uiPriority w:val="9"/>
    <w:semiHidden/>
    <w:rsid w:val="004D5F9F"/>
    <w:rPr>
      <w:rFonts w:asciiTheme="majorHAnsi" w:eastAsiaTheme="majorEastAsia" w:hAnsiTheme="majorHAnsi" w:cstheme="majorBidi"/>
      <w:i/>
      <w:iCs/>
      <w:color w:val="404040" w:themeColor="text1" w:themeTint="BF"/>
      <w:sz w:val="18"/>
      <w:szCs w:val="20"/>
    </w:rPr>
  </w:style>
  <w:style w:type="paragraph" w:styleId="Header">
    <w:name w:val="header"/>
    <w:basedOn w:val="Normal"/>
    <w:link w:val="HeaderChar"/>
    <w:uiPriority w:val="99"/>
    <w:unhideWhenUsed/>
    <w:rsid w:val="004D5F9F"/>
    <w:pPr>
      <w:tabs>
        <w:tab w:val="center" w:pos="4320"/>
        <w:tab w:val="right" w:pos="8640"/>
      </w:tabs>
      <w:spacing w:before="0" w:after="0"/>
    </w:pPr>
  </w:style>
  <w:style w:type="character" w:customStyle="1" w:styleId="HeaderChar">
    <w:name w:val="Header Char"/>
    <w:basedOn w:val="DefaultParagraphFont"/>
    <w:link w:val="Header"/>
    <w:uiPriority w:val="99"/>
    <w:rsid w:val="004D5F9F"/>
    <w:rPr>
      <w:rFonts w:ascii="Arial" w:eastAsia="Times New Roman" w:hAnsi="Arial" w:cs="Times New Roman"/>
      <w:color w:val="ED7D31" w:themeColor="accent2"/>
      <w:sz w:val="18"/>
      <w:szCs w:val="20"/>
    </w:rPr>
  </w:style>
  <w:style w:type="character" w:styleId="Hyperlink">
    <w:name w:val="Hyperlink"/>
    <w:basedOn w:val="DefaultParagraphFont"/>
    <w:uiPriority w:val="99"/>
    <w:unhideWhenUsed/>
    <w:rsid w:val="004D5F9F"/>
    <w:rPr>
      <w:color w:val="44546A" w:themeColor="text2"/>
      <w:u w:val="single"/>
    </w:rPr>
  </w:style>
  <w:style w:type="table" w:styleId="TableGrid">
    <w:name w:val="Table Grid"/>
    <w:basedOn w:val="TableNormal"/>
    <w:uiPriority w:val="59"/>
    <w:rsid w:val="004D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F9F"/>
    <w:rPr>
      <w:sz w:val="16"/>
      <w:szCs w:val="16"/>
    </w:rPr>
  </w:style>
  <w:style w:type="paragraph" w:styleId="CommentText">
    <w:name w:val="annotation text"/>
    <w:basedOn w:val="Normal"/>
    <w:link w:val="CommentTextChar"/>
    <w:uiPriority w:val="99"/>
    <w:unhideWhenUsed/>
    <w:rsid w:val="004D5F9F"/>
    <w:rPr>
      <w:sz w:val="20"/>
    </w:rPr>
  </w:style>
  <w:style w:type="character" w:customStyle="1" w:styleId="CommentTextChar">
    <w:name w:val="Comment Text Char"/>
    <w:basedOn w:val="DefaultParagraphFont"/>
    <w:link w:val="CommentText"/>
    <w:uiPriority w:val="99"/>
    <w:rsid w:val="004D5F9F"/>
    <w:rPr>
      <w:rFonts w:ascii="Arial" w:eastAsia="Times New Roman" w:hAnsi="Arial" w:cs="Times New Roman"/>
      <w:color w:val="ED7D31" w:themeColor="accent2"/>
      <w:sz w:val="20"/>
      <w:szCs w:val="20"/>
    </w:rPr>
  </w:style>
  <w:style w:type="paragraph" w:styleId="ListParagraph">
    <w:name w:val="List Paragraph"/>
    <w:aliases w:val="DdeM List Paragraph"/>
    <w:basedOn w:val="Normal"/>
    <w:link w:val="ListParagraphChar"/>
    <w:uiPriority w:val="34"/>
    <w:qFormat/>
    <w:rsid w:val="004D5F9F"/>
    <w:pPr>
      <w:ind w:left="720"/>
      <w:contextualSpacing/>
    </w:pPr>
  </w:style>
  <w:style w:type="character" w:customStyle="1" w:styleId="ListParagraphChar">
    <w:name w:val="List Paragraph Char"/>
    <w:aliases w:val="DdeM List Paragraph Char"/>
    <w:basedOn w:val="DefaultParagraphFont"/>
    <w:link w:val="ListParagraph"/>
    <w:uiPriority w:val="34"/>
    <w:rsid w:val="004D5F9F"/>
    <w:rPr>
      <w:rFonts w:ascii="Arial" w:eastAsia="Times New Roman" w:hAnsi="Arial" w:cs="Times New Roman"/>
      <w:color w:val="ED7D31" w:themeColor="accent2"/>
      <w:sz w:val="18"/>
      <w:szCs w:val="20"/>
    </w:rPr>
  </w:style>
  <w:style w:type="table" w:customStyle="1" w:styleId="TableGrid1">
    <w:name w:val="Table Grid1"/>
    <w:basedOn w:val="TableNormal"/>
    <w:next w:val="TableGrid"/>
    <w:uiPriority w:val="59"/>
    <w:rsid w:val="004D5F9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F9F"/>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4D5F9F"/>
    <w:rPr>
      <w:rFonts w:ascii="Segoe UI" w:eastAsia="Times New Roman" w:hAnsi="Segoe UI" w:cs="Segoe UI"/>
      <w:color w:val="ED7D31" w:themeColor="accent2"/>
      <w:sz w:val="18"/>
      <w:szCs w:val="18"/>
    </w:rPr>
  </w:style>
  <w:style w:type="paragraph" w:styleId="CommentSubject">
    <w:name w:val="annotation subject"/>
    <w:basedOn w:val="CommentText"/>
    <w:next w:val="CommentText"/>
    <w:link w:val="CommentSubjectChar"/>
    <w:uiPriority w:val="99"/>
    <w:semiHidden/>
    <w:unhideWhenUsed/>
    <w:rsid w:val="00EC1067"/>
    <w:rPr>
      <w:b/>
      <w:bCs/>
    </w:rPr>
  </w:style>
  <w:style w:type="character" w:customStyle="1" w:styleId="CommentSubjectChar">
    <w:name w:val="Comment Subject Char"/>
    <w:basedOn w:val="CommentTextChar"/>
    <w:link w:val="CommentSubject"/>
    <w:uiPriority w:val="99"/>
    <w:semiHidden/>
    <w:rsid w:val="00EC1067"/>
    <w:rPr>
      <w:rFonts w:ascii="Arial" w:eastAsia="Times New Roman" w:hAnsi="Arial" w:cs="Times New Roman"/>
      <w:b/>
      <w:bCs/>
      <w:color w:val="ED7D31" w:themeColor="accent2"/>
      <w:sz w:val="20"/>
      <w:szCs w:val="20"/>
    </w:rPr>
  </w:style>
  <w:style w:type="paragraph" w:styleId="Revision">
    <w:name w:val="Revision"/>
    <w:hidden/>
    <w:uiPriority w:val="99"/>
    <w:semiHidden/>
    <w:rsid w:val="00D67D49"/>
    <w:pPr>
      <w:spacing w:after="0" w:line="240" w:lineRule="auto"/>
    </w:pPr>
    <w:rPr>
      <w:rFonts w:ascii="Arial" w:eastAsia="Times New Roman" w:hAnsi="Arial" w:cs="Times New Roman"/>
      <w:color w:val="ED7D31" w:themeColor="accent2"/>
      <w:sz w:val="18"/>
      <w:szCs w:val="20"/>
    </w:rPr>
  </w:style>
  <w:style w:type="paragraph" w:customStyle="1" w:styleId="Default">
    <w:name w:val="Default"/>
    <w:rsid w:val="00D67D49"/>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924949"/>
    <w:pPr>
      <w:tabs>
        <w:tab w:val="center" w:pos="4513"/>
        <w:tab w:val="right" w:pos="9026"/>
      </w:tabs>
      <w:spacing w:before="0" w:after="0"/>
    </w:pPr>
  </w:style>
  <w:style w:type="character" w:customStyle="1" w:styleId="FooterChar">
    <w:name w:val="Footer Char"/>
    <w:basedOn w:val="DefaultParagraphFont"/>
    <w:link w:val="Footer"/>
    <w:uiPriority w:val="99"/>
    <w:rsid w:val="00924949"/>
    <w:rPr>
      <w:rFonts w:ascii="Arial" w:eastAsia="Times New Roman" w:hAnsi="Arial" w:cs="Times New Roman"/>
      <w:color w:val="ED7D31" w:themeColor="accent2"/>
      <w:sz w:val="18"/>
      <w:szCs w:val="20"/>
    </w:rPr>
  </w:style>
  <w:style w:type="paragraph" w:customStyle="1" w:styleId="MOUNormal">
    <w:name w:val="MOU Normal"/>
    <w:basedOn w:val="Normal"/>
    <w:rsid w:val="006B539B"/>
    <w:pPr>
      <w:spacing w:before="80" w:after="80"/>
    </w:pPr>
    <w:rPr>
      <w:rFonts w:ascii="Calibri" w:hAnsi="Calibri"/>
      <w:color w:val="auto"/>
      <w:sz w:val="24"/>
      <w:szCs w:val="22"/>
      <w:lang w:eastAsia="en-AU"/>
    </w:rPr>
  </w:style>
  <w:style w:type="character" w:customStyle="1" w:styleId="A10">
    <w:name w:val="A10"/>
    <w:uiPriority w:val="99"/>
    <w:rsid w:val="00AB4BFC"/>
    <w:rPr>
      <w:rFonts w:cs="VIC ExtraLight"/>
      <w:color w:val="000000"/>
      <w:sz w:val="18"/>
      <w:szCs w:val="18"/>
    </w:rPr>
  </w:style>
  <w:style w:type="paragraph" w:customStyle="1" w:styleId="Body">
    <w:name w:val="Body"/>
    <w:rsid w:val="00B23DEC"/>
    <w:pPr>
      <w:spacing w:line="256" w:lineRule="auto"/>
    </w:pPr>
    <w:rPr>
      <w:rFonts w:ascii="Calibri" w:eastAsia="Arial Unicode MS" w:hAnsi="Calibri" w:cs="Arial Unicode MS"/>
      <w:color w:val="000000"/>
      <w:u w:color="000000"/>
      <w:lang w:val="en-US" w:eastAsia="en-AU"/>
    </w:rPr>
  </w:style>
  <w:style w:type="character" w:styleId="UnresolvedMention">
    <w:name w:val="Unresolved Mention"/>
    <w:basedOn w:val="DefaultParagraphFont"/>
    <w:uiPriority w:val="99"/>
    <w:semiHidden/>
    <w:unhideWhenUsed/>
    <w:rsid w:val="000D02B1"/>
    <w:rPr>
      <w:color w:val="605E5C"/>
      <w:shd w:val="clear" w:color="auto" w:fill="E1DFDD"/>
    </w:rPr>
  </w:style>
  <w:style w:type="character" w:customStyle="1" w:styleId="ui-provider">
    <w:name w:val="ui-provider"/>
    <w:basedOn w:val="DefaultParagraphFont"/>
    <w:rsid w:val="007A0ADC"/>
  </w:style>
  <w:style w:type="character" w:styleId="FollowedHyperlink">
    <w:name w:val="FollowedHyperlink"/>
    <w:basedOn w:val="DefaultParagraphFont"/>
    <w:uiPriority w:val="99"/>
    <w:semiHidden/>
    <w:unhideWhenUsed/>
    <w:rsid w:val="00F11D30"/>
    <w:rPr>
      <w:color w:val="954F72" w:themeColor="followedHyperlink"/>
      <w:u w:val="single"/>
    </w:rPr>
  </w:style>
  <w:style w:type="paragraph" w:customStyle="1" w:styleId="pf0">
    <w:name w:val="pf0"/>
    <w:basedOn w:val="Normal"/>
    <w:rsid w:val="003F5CE9"/>
    <w:pPr>
      <w:spacing w:before="100" w:beforeAutospacing="1" w:after="100" w:afterAutospacing="1"/>
    </w:pPr>
    <w:rPr>
      <w:rFonts w:ascii="Times New Roman" w:hAnsi="Times New Roman"/>
      <w:color w:val="auto"/>
      <w:sz w:val="24"/>
      <w:szCs w:val="24"/>
      <w:lang w:eastAsia="en-AU"/>
    </w:rPr>
  </w:style>
  <w:style w:type="character" w:customStyle="1" w:styleId="cf01">
    <w:name w:val="cf01"/>
    <w:basedOn w:val="DefaultParagraphFont"/>
    <w:rsid w:val="003F5CE9"/>
    <w:rPr>
      <w:rFonts w:ascii="Segoe UI" w:hAnsi="Segoe UI" w:cs="Segoe UI" w:hint="default"/>
      <w:b/>
      <w:bCs/>
      <w:i/>
      <w:iCs/>
      <w:color w:val="ED7D31"/>
      <w:sz w:val="18"/>
      <w:szCs w:val="18"/>
    </w:rPr>
  </w:style>
  <w:style w:type="character" w:customStyle="1" w:styleId="cf11">
    <w:name w:val="cf11"/>
    <w:basedOn w:val="DefaultParagraphFont"/>
    <w:rsid w:val="003F5CE9"/>
    <w:rPr>
      <w:rFonts w:ascii="Segoe UI" w:hAnsi="Segoe UI" w:cs="Segoe UI" w:hint="default"/>
      <w:i/>
      <w:iCs/>
      <w:color w:val="ED7D31"/>
      <w:sz w:val="18"/>
      <w:szCs w:val="18"/>
    </w:rPr>
  </w:style>
  <w:style w:type="paragraph" w:styleId="BodyText">
    <w:name w:val="Body Text"/>
    <w:basedOn w:val="Normal"/>
    <w:link w:val="BodyTextChar"/>
    <w:qFormat/>
    <w:rsid w:val="00F14A81"/>
    <w:pPr>
      <w:spacing w:before="60" w:after="120" w:line="280" w:lineRule="atLeast"/>
    </w:pPr>
    <w:rPr>
      <w:rFonts w:asciiTheme="minorHAnsi" w:hAnsiTheme="minorHAnsi"/>
      <w:color w:val="000000" w:themeColor="text1"/>
      <w:sz w:val="20"/>
    </w:rPr>
  </w:style>
  <w:style w:type="character" w:customStyle="1" w:styleId="BodyTextChar">
    <w:name w:val="Body Text Char"/>
    <w:basedOn w:val="DefaultParagraphFont"/>
    <w:link w:val="BodyText"/>
    <w:rsid w:val="00F14A81"/>
    <w:rPr>
      <w:rFonts w:eastAsia="Times New Roman" w:cs="Times New Roman"/>
      <w:color w:val="000000" w:themeColor="text1"/>
      <w:sz w:val="20"/>
      <w:szCs w:val="20"/>
    </w:rPr>
  </w:style>
  <w:style w:type="character" w:customStyle="1" w:styleId="normaltextrun">
    <w:name w:val="normaltextrun"/>
    <w:basedOn w:val="DefaultParagraphFont"/>
    <w:rsid w:val="007F06F4"/>
  </w:style>
  <w:style w:type="character" w:styleId="Mention">
    <w:name w:val="Mention"/>
    <w:basedOn w:val="DefaultParagraphFont"/>
    <w:uiPriority w:val="99"/>
    <w:unhideWhenUsed/>
    <w:rsid w:val="00FB071A"/>
    <w:rPr>
      <w:color w:val="2B579A"/>
      <w:shd w:val="clear" w:color="auto" w:fill="E1DFDD"/>
    </w:rPr>
  </w:style>
  <w:style w:type="character" w:customStyle="1" w:styleId="eop">
    <w:name w:val="eop"/>
    <w:basedOn w:val="DefaultParagraphFont"/>
    <w:uiPriority w:val="1"/>
    <w:rsid w:val="77821116"/>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61609">
      <w:bodyDiv w:val="1"/>
      <w:marLeft w:val="0"/>
      <w:marRight w:val="0"/>
      <w:marTop w:val="0"/>
      <w:marBottom w:val="0"/>
      <w:divBdr>
        <w:top w:val="none" w:sz="0" w:space="0" w:color="auto"/>
        <w:left w:val="none" w:sz="0" w:space="0" w:color="auto"/>
        <w:bottom w:val="none" w:sz="0" w:space="0" w:color="auto"/>
        <w:right w:val="none" w:sz="0" w:space="0" w:color="auto"/>
      </w:divBdr>
    </w:div>
    <w:div w:id="234559183">
      <w:bodyDiv w:val="1"/>
      <w:marLeft w:val="0"/>
      <w:marRight w:val="0"/>
      <w:marTop w:val="0"/>
      <w:marBottom w:val="0"/>
      <w:divBdr>
        <w:top w:val="none" w:sz="0" w:space="0" w:color="auto"/>
        <w:left w:val="none" w:sz="0" w:space="0" w:color="auto"/>
        <w:bottom w:val="none" w:sz="0" w:space="0" w:color="auto"/>
        <w:right w:val="none" w:sz="0" w:space="0" w:color="auto"/>
      </w:divBdr>
    </w:div>
    <w:div w:id="319892901">
      <w:bodyDiv w:val="1"/>
      <w:marLeft w:val="0"/>
      <w:marRight w:val="0"/>
      <w:marTop w:val="0"/>
      <w:marBottom w:val="0"/>
      <w:divBdr>
        <w:top w:val="none" w:sz="0" w:space="0" w:color="auto"/>
        <w:left w:val="none" w:sz="0" w:space="0" w:color="auto"/>
        <w:bottom w:val="none" w:sz="0" w:space="0" w:color="auto"/>
        <w:right w:val="none" w:sz="0" w:space="0" w:color="auto"/>
      </w:divBdr>
    </w:div>
    <w:div w:id="343555135">
      <w:bodyDiv w:val="1"/>
      <w:marLeft w:val="0"/>
      <w:marRight w:val="0"/>
      <w:marTop w:val="0"/>
      <w:marBottom w:val="0"/>
      <w:divBdr>
        <w:top w:val="none" w:sz="0" w:space="0" w:color="auto"/>
        <w:left w:val="none" w:sz="0" w:space="0" w:color="auto"/>
        <w:bottom w:val="none" w:sz="0" w:space="0" w:color="auto"/>
        <w:right w:val="none" w:sz="0" w:space="0" w:color="auto"/>
      </w:divBdr>
    </w:div>
    <w:div w:id="382171615">
      <w:bodyDiv w:val="1"/>
      <w:marLeft w:val="0"/>
      <w:marRight w:val="0"/>
      <w:marTop w:val="0"/>
      <w:marBottom w:val="0"/>
      <w:divBdr>
        <w:top w:val="none" w:sz="0" w:space="0" w:color="auto"/>
        <w:left w:val="none" w:sz="0" w:space="0" w:color="auto"/>
        <w:bottom w:val="none" w:sz="0" w:space="0" w:color="auto"/>
        <w:right w:val="none" w:sz="0" w:space="0" w:color="auto"/>
      </w:divBdr>
    </w:div>
    <w:div w:id="387609685">
      <w:bodyDiv w:val="1"/>
      <w:marLeft w:val="0"/>
      <w:marRight w:val="0"/>
      <w:marTop w:val="0"/>
      <w:marBottom w:val="0"/>
      <w:divBdr>
        <w:top w:val="none" w:sz="0" w:space="0" w:color="auto"/>
        <w:left w:val="none" w:sz="0" w:space="0" w:color="auto"/>
        <w:bottom w:val="none" w:sz="0" w:space="0" w:color="auto"/>
        <w:right w:val="none" w:sz="0" w:space="0" w:color="auto"/>
      </w:divBdr>
    </w:div>
    <w:div w:id="556674081">
      <w:bodyDiv w:val="1"/>
      <w:marLeft w:val="0"/>
      <w:marRight w:val="0"/>
      <w:marTop w:val="0"/>
      <w:marBottom w:val="0"/>
      <w:divBdr>
        <w:top w:val="none" w:sz="0" w:space="0" w:color="auto"/>
        <w:left w:val="none" w:sz="0" w:space="0" w:color="auto"/>
        <w:bottom w:val="none" w:sz="0" w:space="0" w:color="auto"/>
        <w:right w:val="none" w:sz="0" w:space="0" w:color="auto"/>
      </w:divBdr>
    </w:div>
    <w:div w:id="944773818">
      <w:bodyDiv w:val="1"/>
      <w:marLeft w:val="0"/>
      <w:marRight w:val="0"/>
      <w:marTop w:val="0"/>
      <w:marBottom w:val="0"/>
      <w:divBdr>
        <w:top w:val="none" w:sz="0" w:space="0" w:color="auto"/>
        <w:left w:val="none" w:sz="0" w:space="0" w:color="auto"/>
        <w:bottom w:val="none" w:sz="0" w:space="0" w:color="auto"/>
        <w:right w:val="none" w:sz="0" w:space="0" w:color="auto"/>
      </w:divBdr>
    </w:div>
    <w:div w:id="986863999">
      <w:bodyDiv w:val="1"/>
      <w:marLeft w:val="0"/>
      <w:marRight w:val="0"/>
      <w:marTop w:val="0"/>
      <w:marBottom w:val="0"/>
      <w:divBdr>
        <w:top w:val="none" w:sz="0" w:space="0" w:color="auto"/>
        <w:left w:val="none" w:sz="0" w:space="0" w:color="auto"/>
        <w:bottom w:val="none" w:sz="0" w:space="0" w:color="auto"/>
        <w:right w:val="none" w:sz="0" w:space="0" w:color="auto"/>
      </w:divBdr>
    </w:div>
    <w:div w:id="1012031098">
      <w:bodyDiv w:val="1"/>
      <w:marLeft w:val="0"/>
      <w:marRight w:val="0"/>
      <w:marTop w:val="0"/>
      <w:marBottom w:val="0"/>
      <w:divBdr>
        <w:top w:val="none" w:sz="0" w:space="0" w:color="auto"/>
        <w:left w:val="none" w:sz="0" w:space="0" w:color="auto"/>
        <w:bottom w:val="none" w:sz="0" w:space="0" w:color="auto"/>
        <w:right w:val="none" w:sz="0" w:space="0" w:color="auto"/>
      </w:divBdr>
    </w:div>
    <w:div w:id="1143038743">
      <w:bodyDiv w:val="1"/>
      <w:marLeft w:val="0"/>
      <w:marRight w:val="0"/>
      <w:marTop w:val="0"/>
      <w:marBottom w:val="0"/>
      <w:divBdr>
        <w:top w:val="none" w:sz="0" w:space="0" w:color="auto"/>
        <w:left w:val="none" w:sz="0" w:space="0" w:color="auto"/>
        <w:bottom w:val="none" w:sz="0" w:space="0" w:color="auto"/>
        <w:right w:val="none" w:sz="0" w:space="0" w:color="auto"/>
      </w:divBdr>
    </w:div>
    <w:div w:id="1230195610">
      <w:bodyDiv w:val="1"/>
      <w:marLeft w:val="0"/>
      <w:marRight w:val="0"/>
      <w:marTop w:val="0"/>
      <w:marBottom w:val="0"/>
      <w:divBdr>
        <w:top w:val="none" w:sz="0" w:space="0" w:color="auto"/>
        <w:left w:val="none" w:sz="0" w:space="0" w:color="auto"/>
        <w:bottom w:val="none" w:sz="0" w:space="0" w:color="auto"/>
        <w:right w:val="none" w:sz="0" w:space="0" w:color="auto"/>
      </w:divBdr>
    </w:div>
    <w:div w:id="1357537911">
      <w:bodyDiv w:val="1"/>
      <w:marLeft w:val="0"/>
      <w:marRight w:val="0"/>
      <w:marTop w:val="0"/>
      <w:marBottom w:val="0"/>
      <w:divBdr>
        <w:top w:val="none" w:sz="0" w:space="0" w:color="auto"/>
        <w:left w:val="none" w:sz="0" w:space="0" w:color="auto"/>
        <w:bottom w:val="none" w:sz="0" w:space="0" w:color="auto"/>
        <w:right w:val="none" w:sz="0" w:space="0" w:color="auto"/>
      </w:divBdr>
    </w:div>
    <w:div w:id="1549730946">
      <w:bodyDiv w:val="1"/>
      <w:marLeft w:val="0"/>
      <w:marRight w:val="0"/>
      <w:marTop w:val="0"/>
      <w:marBottom w:val="0"/>
      <w:divBdr>
        <w:top w:val="none" w:sz="0" w:space="0" w:color="auto"/>
        <w:left w:val="none" w:sz="0" w:space="0" w:color="auto"/>
        <w:bottom w:val="none" w:sz="0" w:space="0" w:color="auto"/>
        <w:right w:val="none" w:sz="0" w:space="0" w:color="auto"/>
      </w:divBdr>
    </w:div>
    <w:div w:id="1660117060">
      <w:bodyDiv w:val="1"/>
      <w:marLeft w:val="0"/>
      <w:marRight w:val="0"/>
      <w:marTop w:val="0"/>
      <w:marBottom w:val="0"/>
      <w:divBdr>
        <w:top w:val="none" w:sz="0" w:space="0" w:color="auto"/>
        <w:left w:val="none" w:sz="0" w:space="0" w:color="auto"/>
        <w:bottom w:val="none" w:sz="0" w:space="0" w:color="auto"/>
        <w:right w:val="none" w:sz="0" w:space="0" w:color="auto"/>
      </w:divBdr>
    </w:div>
    <w:div w:id="1728532989">
      <w:bodyDiv w:val="1"/>
      <w:marLeft w:val="0"/>
      <w:marRight w:val="0"/>
      <w:marTop w:val="0"/>
      <w:marBottom w:val="0"/>
      <w:divBdr>
        <w:top w:val="none" w:sz="0" w:space="0" w:color="auto"/>
        <w:left w:val="none" w:sz="0" w:space="0" w:color="auto"/>
        <w:bottom w:val="none" w:sz="0" w:space="0" w:color="auto"/>
        <w:right w:val="none" w:sz="0" w:space="0" w:color="auto"/>
      </w:divBdr>
    </w:div>
    <w:div w:id="1736975871">
      <w:bodyDiv w:val="1"/>
      <w:marLeft w:val="0"/>
      <w:marRight w:val="0"/>
      <w:marTop w:val="0"/>
      <w:marBottom w:val="0"/>
      <w:divBdr>
        <w:top w:val="none" w:sz="0" w:space="0" w:color="auto"/>
        <w:left w:val="none" w:sz="0" w:space="0" w:color="auto"/>
        <w:bottom w:val="none" w:sz="0" w:space="0" w:color="auto"/>
        <w:right w:val="none" w:sz="0" w:space="0" w:color="auto"/>
      </w:divBdr>
      <w:divsChild>
        <w:div w:id="622462918">
          <w:marLeft w:val="0"/>
          <w:marRight w:val="0"/>
          <w:marTop w:val="720"/>
          <w:marBottom w:val="720"/>
          <w:divBdr>
            <w:top w:val="none" w:sz="0" w:space="0" w:color="auto"/>
            <w:left w:val="none" w:sz="0" w:space="0" w:color="auto"/>
            <w:bottom w:val="none" w:sz="0" w:space="0" w:color="auto"/>
            <w:right w:val="none" w:sz="0" w:space="0" w:color="auto"/>
          </w:divBdr>
        </w:div>
      </w:divsChild>
    </w:div>
    <w:div w:id="1802265303">
      <w:bodyDiv w:val="1"/>
      <w:marLeft w:val="0"/>
      <w:marRight w:val="0"/>
      <w:marTop w:val="0"/>
      <w:marBottom w:val="0"/>
      <w:divBdr>
        <w:top w:val="none" w:sz="0" w:space="0" w:color="auto"/>
        <w:left w:val="none" w:sz="0" w:space="0" w:color="auto"/>
        <w:bottom w:val="none" w:sz="0" w:space="0" w:color="auto"/>
        <w:right w:val="none" w:sz="0" w:space="0" w:color="auto"/>
      </w:divBdr>
    </w:div>
    <w:div w:id="20942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griculture.vic.gov.au/about/our-role/our-regulatory-rol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griculture.vic.gov.au/biosecurity/protecting-victoria/strengthening-victorias-biosecurity-system-program/biosecurity-reference-group" TargetMode="External"/><Relationship Id="rId2" Type="http://schemas.openxmlformats.org/officeDocument/2006/relationships/customXml" Target="../customXml/item2.xml"/><Relationship Id="rId16" Type="http://schemas.openxmlformats.org/officeDocument/2006/relationships/hyperlink" Target="https://agriculture.vic.gov.au/__data/assets/pdf_file/0018/1011267/2021-Statistics-report8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agriculture.vic.gov.au/about/mediacentre/media-releas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griculture.vic.gov.au/__data/assets/pdf_file/0003/1024761/Agriculture_Victoria_regulatory_framework.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0B1BE433C847A9458CF630135863E949" ma:contentTypeVersion="14" ma:contentTypeDescription="Attachment Document" ma:contentTypeScope="" ma:versionID="ff7794c57023d3e80e1b7afb9c9cd4a2">
  <xsd:schema xmlns:xsd="http://www.w3.org/2001/XMLSchema" xmlns:xs="http://www.w3.org/2001/XMLSchema" xmlns:p="http://schemas.microsoft.com/office/2006/metadata/properties" xmlns:ns2="cae37ace-7a49-4147-b024-43561a7a3263" xmlns:ns3="a5f32de4-e402-4188-b034-e71ca7d22e54" xmlns:ns4="99d6ea87-3f49-41e9-8a8b-16ef2fed9dca" targetNamespace="http://schemas.microsoft.com/office/2006/metadata/properties" ma:root="true" ma:fieldsID="b78958fe9310b5d364790e48109dd16f" ns2:_="" ns3:_="" ns4:_="">
    <xsd:import namespace="cae37ace-7a49-4147-b024-43561a7a3263"/>
    <xsd:import namespace="a5f32de4-e402-4188-b034-e71ca7d22e54"/>
    <xsd:import namespace="99d6ea87-3f49-41e9-8a8b-16ef2fed9dca"/>
    <xsd:element name="properties">
      <xsd:complexType>
        <xsd:sequence>
          <xsd:element name="documentManagement">
            <xsd:complexType>
              <xsd:all>
                <xsd:element ref="ns2:ABCSignatureRequired" minOccurs="0"/>
                <xsd:element ref="ns2:ABCSignatureInstruction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37ace-7a49-4147-b024-43561a7a326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d6ea87-3f49-41e9-8a8b-16ef2fed9dca" elementFormDefault="qualified">
    <xsd:import namespace="http://schemas.microsoft.com/office/2006/documentManagement/types"/>
    <xsd:import namespace="http://schemas.microsoft.com/office/infopath/2007/PartnerControls"/>
    <xsd:element name="lcf76f155ced4ddcb4097134ff3c332f" ma:index="1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9d6ea87-3f49-41e9-8a8b-16ef2fed9dca" xsi:nil="true"/>
    <ABCSignatureRequired xmlns="cae37ace-7a49-4147-b024-43561a7a3263">false</ABCSignatureRequired>
    <ABCSignatureInstructions xmlns="cae37ace-7a49-4147-b024-43561a7a3263" xsi:nil="true"/>
  </documentManagement>
</p:properties>
</file>

<file path=customXml/itemProps1.xml><?xml version="1.0" encoding="utf-8"?>
<ds:datastoreItem xmlns:ds="http://schemas.openxmlformats.org/officeDocument/2006/customXml" ds:itemID="{08359586-BDCB-433E-9E9F-66B082905659}">
  <ds:schemaRefs>
    <ds:schemaRef ds:uri="http://schemas.microsoft.com/sharepoint/events"/>
  </ds:schemaRefs>
</ds:datastoreItem>
</file>

<file path=customXml/itemProps2.xml><?xml version="1.0" encoding="utf-8"?>
<ds:datastoreItem xmlns:ds="http://schemas.openxmlformats.org/officeDocument/2006/customXml" ds:itemID="{25FB358D-D632-4F84-B440-B2904B61D9AD}">
  <ds:schemaRefs>
    <ds:schemaRef ds:uri="http://schemas.openxmlformats.org/officeDocument/2006/bibliography"/>
  </ds:schemaRefs>
</ds:datastoreItem>
</file>

<file path=customXml/itemProps3.xml><?xml version="1.0" encoding="utf-8"?>
<ds:datastoreItem xmlns:ds="http://schemas.openxmlformats.org/officeDocument/2006/customXml" ds:itemID="{5151C2E7-5B00-471A-A1D2-1613CB4EBE63}">
  <ds:schemaRefs>
    <ds:schemaRef ds:uri="Microsoft.SharePoint.Taxonomy.ContentTypeSync"/>
  </ds:schemaRefs>
</ds:datastoreItem>
</file>

<file path=customXml/itemProps4.xml><?xml version="1.0" encoding="utf-8"?>
<ds:datastoreItem xmlns:ds="http://schemas.openxmlformats.org/officeDocument/2006/customXml" ds:itemID="{B0923328-6196-4DBB-95D8-E1E5C476A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37ace-7a49-4147-b024-43561a7a3263"/>
    <ds:schemaRef ds:uri="a5f32de4-e402-4188-b034-e71ca7d22e54"/>
    <ds:schemaRef ds:uri="99d6ea87-3f49-41e9-8a8b-16ef2fed9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B46F2A-D8A2-4BCB-8D61-3763479C8535}">
  <ds:schemaRefs>
    <ds:schemaRef ds:uri="http://schemas.microsoft.com/sharepoint/v3/contenttype/forms"/>
  </ds:schemaRefs>
</ds:datastoreItem>
</file>

<file path=customXml/itemProps6.xml><?xml version="1.0" encoding="utf-8"?>
<ds:datastoreItem xmlns:ds="http://schemas.openxmlformats.org/officeDocument/2006/customXml" ds:itemID="{50362866-6CA8-4138-BD66-A652B15F83EA}">
  <ds:schemaRefs>
    <ds:schemaRef ds:uri="http://schemas.microsoft.com/office/2006/metadata/properties"/>
    <ds:schemaRef ds:uri="http://schemas.microsoft.com/office/infopath/2007/PartnerControls"/>
    <ds:schemaRef ds:uri="99d6ea87-3f49-41e9-8a8b-16ef2fed9dca"/>
    <ds:schemaRef ds:uri="cae37ace-7a49-4147-b024-43561a7a326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5387</Words>
  <Characters>30710</Characters>
  <Application>Microsoft Office Word</Application>
  <DocSecurity>0</DocSecurity>
  <Lines>255</Lines>
  <Paragraphs>72</Paragraphs>
  <ScaleCrop>false</ScaleCrop>
  <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1_For approval_Agriculture Victoria SOE Final Progress Report for the period 1 July 2022 to 30 June 2024.docx</dc:title>
  <dc:subject/>
  <dc:creator>Anthea I Perrett (DJPR)</dc:creator>
  <cp:keywords/>
  <dc:description/>
  <cp:lastModifiedBy>Beth Jones (DEECA)</cp:lastModifiedBy>
  <cp:revision>62</cp:revision>
  <cp:lastPrinted>2024-05-29T10:17:00Z</cp:lastPrinted>
  <dcterms:created xsi:type="dcterms:W3CDTF">2024-07-24T19:49:00Z</dcterms:created>
  <dcterms:modified xsi:type="dcterms:W3CDTF">2024-08-18T10:47:00Z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2023-08-15T01:57:50Z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928012df-4817-4471-b2ce-53b3acdac2f3</vt:lpwstr>
  </property>
  <property fmtid="{D5CDD505-2E9C-101B-9397-08002B2CF9AE}" pid="8" name="MSIP_Label_d00a4df9-c942-4b09-b23a-6c1023f6de27_ContentBits">
    <vt:lpwstr>3</vt:lpwstr>
  </property>
  <property fmtid="{D5CDD505-2E9C-101B-9397-08002B2CF9AE}" pid="9" name="ContentTypeId">
    <vt:lpwstr>0x010100ADB6A493CB944449B507A6E62846B95F000B1BE433C847A9458CF630135863E949</vt:lpwstr>
  </property>
  <property fmtid="{D5CDD505-2E9C-101B-9397-08002B2CF9AE}" pid="10" name="Order">
    <vt:r8>37100</vt:r8>
  </property>
  <property fmtid="{D5CDD505-2E9C-101B-9397-08002B2CF9AE}" pid="11" name="MSIP_Label_b92b7feb-b287-442c-a072-f385b02ec972_Enabled">
    <vt:lpwstr>true</vt:lpwstr>
  </property>
  <property fmtid="{D5CDD505-2E9C-101B-9397-08002B2CF9AE}" pid="12" name="MSIP_Label_b92b7feb-b287-442c-a072-f385b02ec972_SetDate">
    <vt:lpwstr>2024-05-15T05:09:33Z</vt:lpwstr>
  </property>
  <property fmtid="{D5CDD505-2E9C-101B-9397-08002B2CF9AE}" pid="13" name="MSIP_Label_b92b7feb-b287-442c-a072-f385b02ec972_Method">
    <vt:lpwstr>Privileged</vt:lpwstr>
  </property>
  <property fmtid="{D5CDD505-2E9C-101B-9397-08002B2CF9AE}" pid="14" name="MSIP_Label_b92b7feb-b287-442c-a072-f385b02ec972_Name">
    <vt:lpwstr>Unofficial</vt:lpwstr>
  </property>
  <property fmtid="{D5CDD505-2E9C-101B-9397-08002B2CF9AE}" pid="15" name="MSIP_Label_b92b7feb-b287-442c-a072-f385b02ec972_SiteId">
    <vt:lpwstr>e8bdd6f7-fc18-4e48-a554-7f547927223b</vt:lpwstr>
  </property>
  <property fmtid="{D5CDD505-2E9C-101B-9397-08002B2CF9AE}" pid="16" name="MSIP_Label_b92b7feb-b287-442c-a072-f385b02ec972_ActionId">
    <vt:lpwstr>81c0d426-0c62-414d-a187-b33e2966aa30</vt:lpwstr>
  </property>
  <property fmtid="{D5CDD505-2E9C-101B-9397-08002B2CF9AE}" pid="17" name="MSIP_Label_b92b7feb-b287-442c-a072-f385b02ec972_ContentBits">
    <vt:lpwstr>2</vt:lpwstr>
  </property>
  <property fmtid="{D5CDD505-2E9C-101B-9397-08002B2CF9AE}" pid="18" name="GrammarlyDocumentId">
    <vt:lpwstr>8a5c1f9cc38e37c698aa4df01d673195a6ff542827188777dd98338c90a7bbe9</vt:lpwstr>
  </property>
  <property fmtid="{D5CDD505-2E9C-101B-9397-08002B2CF9AE}" pid="19" name="ABCBriefingType">
    <vt:lpwstr/>
  </property>
  <property fmtid="{D5CDD505-2E9C-101B-9397-08002B2CF9AE}" pid="20" name="ABCTimingTimeframe_0">
    <vt:lpwstr/>
  </property>
  <property fmtid="{D5CDD505-2E9C-101B-9397-08002B2CF9AE}" pid="21" name="ABCDecisionCategory">
    <vt:lpwstr/>
  </property>
  <property fmtid="{D5CDD505-2E9C-101B-9397-08002B2CF9AE}" pid="22" name="ABCRequestFrom_0">
    <vt:lpwstr/>
  </property>
  <property fmtid="{D5CDD505-2E9C-101B-9397-08002B2CF9AE}" pid="23" name="MediaServiceImageTags">
    <vt:lpwstr/>
  </property>
  <property fmtid="{D5CDD505-2E9C-101B-9397-08002B2CF9AE}" pid="24" name="ABCAccessCaveats_0">
    <vt:lpwstr/>
  </property>
  <property fmtid="{D5CDD505-2E9C-101B-9397-08002B2CF9AE}" pid="25" name="ABCSecurityClassification">
    <vt:lpwstr/>
  </property>
  <property fmtid="{D5CDD505-2E9C-101B-9397-08002B2CF9AE}" pid="26" name="ABCStage">
    <vt:lpwstr/>
  </property>
  <property fmtid="{D5CDD505-2E9C-101B-9397-08002B2CF9AE}" pid="27" name="ABCDecisionCategory_0">
    <vt:lpwstr/>
  </property>
  <property fmtid="{D5CDD505-2E9C-101B-9397-08002B2CF9AE}" pid="28" name="ABCRequestFrom">
    <vt:lpwstr/>
  </property>
  <property fmtid="{D5CDD505-2E9C-101B-9397-08002B2CF9AE}" pid="29" name="ABCTasks">
    <vt:lpwstr/>
  </property>
  <property fmtid="{D5CDD505-2E9C-101B-9397-08002B2CF9AE}" pid="30" name="ABCStage_0">
    <vt:lpwstr/>
  </property>
  <property fmtid="{D5CDD505-2E9C-101B-9397-08002B2CF9AE}" pid="31" name="ABCRecordFlags_0">
    <vt:lpwstr/>
  </property>
  <property fmtid="{D5CDD505-2E9C-101B-9397-08002B2CF9AE}" pid="32" name="ABCRecordFlags">
    <vt:lpwstr/>
  </property>
  <property fmtid="{D5CDD505-2E9C-101B-9397-08002B2CF9AE}" pid="33" name="ABCBriefingType_0">
    <vt:lpwstr/>
  </property>
  <property fmtid="{D5CDD505-2E9C-101B-9397-08002B2CF9AE}" pid="34" name="ABCTimeframe_0">
    <vt:lpwstr/>
  </property>
  <property fmtid="{D5CDD505-2E9C-101B-9397-08002B2CF9AE}" pid="35" name="ABCSecurityClassification_0">
    <vt:lpwstr/>
  </property>
  <property fmtid="{D5CDD505-2E9C-101B-9397-08002B2CF9AE}" pid="36" name="ABCTimeframe">
    <vt:lpwstr/>
  </property>
  <property fmtid="{D5CDD505-2E9C-101B-9397-08002B2CF9AE}" pid="37" name="ABCAccessCaveats">
    <vt:lpwstr/>
  </property>
  <property fmtid="{D5CDD505-2E9C-101B-9397-08002B2CF9AE}" pid="38" name="ABCTasks_0">
    <vt:lpwstr/>
  </property>
  <property fmtid="{D5CDD505-2E9C-101B-9397-08002B2CF9AE}" pid="39" name="TaxCatchAll">
    <vt:lpwstr/>
  </property>
  <property fmtid="{D5CDD505-2E9C-101B-9397-08002B2CF9AE}" pid="40" name="ABCTimingTimeframe">
    <vt:lpwstr/>
  </property>
</Properties>
</file>