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4E49C" w14:textId="57477DC8" w:rsidR="00EB5D19" w:rsidRPr="005D1081" w:rsidRDefault="005D1081" w:rsidP="005D1081">
      <w:pPr>
        <w:pStyle w:val="Title"/>
        <w:spacing w:after="3600"/>
      </w:pPr>
      <w:r w:rsidRPr="005D1081">
        <w:t>Agriculture Victoria Regulatory Capability Assessment</w:t>
      </w:r>
    </w:p>
    <w:p w14:paraId="5E97C603" w14:textId="2DDFB7C9" w:rsidR="005D1081" w:rsidRPr="00900353" w:rsidRDefault="005D1081" w:rsidP="005D1081">
      <w:pPr>
        <w:pStyle w:val="DHHSbody"/>
        <w:rPr>
          <w:rFonts w:ascii="Arial Nova Cond" w:hAnsi="Arial Nova Cond"/>
          <w:sz w:val="32"/>
          <w:szCs w:val="32"/>
        </w:rPr>
      </w:pPr>
      <w:r w:rsidRPr="00900353">
        <w:rPr>
          <w:rFonts w:ascii="Arial Nova Cond" w:hAnsi="Arial Nova Cond"/>
          <w:sz w:val="32"/>
          <w:szCs w:val="32"/>
        </w:rPr>
        <w:t>Summary Report</w:t>
      </w:r>
    </w:p>
    <w:p w14:paraId="7F944BA3" w14:textId="452039F7" w:rsidR="005D1081" w:rsidRPr="00900353" w:rsidRDefault="005D1081" w:rsidP="005D1081">
      <w:pPr>
        <w:pStyle w:val="DHHSbody"/>
        <w:rPr>
          <w:rFonts w:ascii="Arial Nova Cond" w:hAnsi="Arial Nova Cond"/>
          <w:sz w:val="32"/>
          <w:szCs w:val="32"/>
        </w:rPr>
      </w:pPr>
      <w:r w:rsidRPr="00900353">
        <w:rPr>
          <w:rFonts w:ascii="Arial Nova Cond" w:hAnsi="Arial Nova Cond"/>
          <w:sz w:val="32"/>
          <w:szCs w:val="32"/>
        </w:rPr>
        <w:t>Department of Jobs, Precincts and Regions</w:t>
      </w:r>
    </w:p>
    <w:p w14:paraId="3A5BB50A" w14:textId="77777777" w:rsidR="005D0CD4" w:rsidRDefault="005D1081" w:rsidP="005D1081">
      <w:pPr>
        <w:pStyle w:val="DHHSbody"/>
        <w:spacing w:before="3680"/>
        <w:rPr>
          <w:rFonts w:ascii="Arial Nova Cond" w:hAnsi="Arial Nova Cond"/>
          <w:sz w:val="32"/>
          <w:szCs w:val="32"/>
        </w:rPr>
      </w:pPr>
      <w:r w:rsidRPr="00900353">
        <w:rPr>
          <w:rFonts w:ascii="Arial Nova Cond" w:hAnsi="Arial Nova Cond"/>
          <w:sz w:val="32"/>
          <w:szCs w:val="32"/>
        </w:rPr>
        <w:t>August 2021</w:t>
      </w:r>
      <w:bookmarkStart w:id="0" w:name="_Toc78884808"/>
      <w:bookmarkStart w:id="1" w:name="_Toc78884834"/>
    </w:p>
    <w:p w14:paraId="208C9862" w14:textId="77777777" w:rsidR="005D0CD4" w:rsidRDefault="005D0CD4">
      <w:pPr>
        <w:rPr>
          <w:rFonts w:ascii="Arial Nova Cond" w:eastAsia="Times" w:hAnsi="Arial Nova Cond" w:cs="Arial"/>
          <w:sz w:val="32"/>
          <w:szCs w:val="32"/>
        </w:rPr>
      </w:pPr>
      <w:r>
        <w:rPr>
          <w:rFonts w:ascii="Arial Nova Cond" w:hAnsi="Arial Nova Cond"/>
          <w:sz w:val="32"/>
          <w:szCs w:val="32"/>
        </w:rPr>
        <w:br w:type="page"/>
      </w:r>
    </w:p>
    <w:p w14:paraId="58DF3153" w14:textId="1D15377C" w:rsidR="00EB5D19" w:rsidRPr="005D1081" w:rsidRDefault="002131E1" w:rsidP="005D0CD4">
      <w:pPr>
        <w:pStyle w:val="DHHSbody"/>
        <w:tabs>
          <w:tab w:val="left" w:pos="4050"/>
        </w:tabs>
        <w:spacing w:before="3680"/>
        <w:rPr>
          <w:bCs/>
          <w:color w:val="201547"/>
          <w:sz w:val="28"/>
          <w:szCs w:val="28"/>
        </w:rPr>
      </w:pPr>
      <w:r>
        <w:rPr>
          <w:noProof/>
          <w:sz w:val="28"/>
          <w:szCs w:val="28"/>
        </w:rPr>
        <w:lastRenderedPageBreak/>
        <w:drawing>
          <wp:inline distT="0" distB="0" distL="0" distR="0" wp14:anchorId="51FE5D60" wp14:editId="521A0181">
            <wp:extent cx="5904230" cy="8351520"/>
            <wp:effectExtent l="0" t="0" r="1270" b="0"/>
            <wp:docPr id="2" name="Picture 2" descr="Cover image of a close up of wheat sheaf with two ears of grain close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image of a close up of wheat sheaf with two ears of grain close up. "/>
                    <pic:cNvPicPr/>
                  </pic:nvPicPr>
                  <pic:blipFill>
                    <a:blip r:embed="rId8"/>
                    <a:stretch>
                      <a:fillRect/>
                    </a:stretch>
                  </pic:blipFill>
                  <pic:spPr>
                    <a:xfrm>
                      <a:off x="0" y="0"/>
                      <a:ext cx="5904230" cy="8351520"/>
                    </a:xfrm>
                    <a:prstGeom prst="rect">
                      <a:avLst/>
                    </a:prstGeom>
                  </pic:spPr>
                </pic:pic>
              </a:graphicData>
            </a:graphic>
          </wp:inline>
        </w:drawing>
      </w:r>
      <w:r w:rsidR="00EB5D19" w:rsidRPr="005D1081">
        <w:rPr>
          <w:sz w:val="28"/>
          <w:szCs w:val="28"/>
        </w:rPr>
        <w:br w:type="page"/>
      </w:r>
    </w:p>
    <w:bookmarkEnd w:id="1" w:displacedByCustomXml="next"/>
    <w:bookmarkEnd w:id="0" w:displacedByCustomXml="next"/>
    <w:bookmarkStart w:id="2" w:name="_Toc256778633" w:displacedByCustomXml="next"/>
    <w:sdt>
      <w:sdtPr>
        <w:rPr>
          <w:rFonts w:ascii="Cambria" w:eastAsia="Times New Roman" w:hAnsi="Cambria"/>
          <w:b w:val="0"/>
          <w:bCs w:val="0"/>
          <w:color w:val="auto"/>
          <w:sz w:val="20"/>
          <w:szCs w:val="20"/>
        </w:rPr>
        <w:id w:val="-1611740154"/>
        <w:docPartObj>
          <w:docPartGallery w:val="Table of Contents"/>
          <w:docPartUnique/>
        </w:docPartObj>
      </w:sdtPr>
      <w:sdtEndPr>
        <w:rPr>
          <w:noProof/>
        </w:rPr>
      </w:sdtEndPr>
      <w:sdtContent>
        <w:p w14:paraId="3FEEA240" w14:textId="144902A7" w:rsidR="00900353" w:rsidRPr="00694986" w:rsidRDefault="00900353">
          <w:pPr>
            <w:pStyle w:val="TOCHeading"/>
            <w:rPr>
              <w:rFonts w:ascii="Arial Nova Cond" w:hAnsi="Arial Nova Cond"/>
              <w:b w:val="0"/>
              <w:bCs w:val="0"/>
            </w:rPr>
          </w:pPr>
          <w:r w:rsidRPr="00694986">
            <w:rPr>
              <w:rFonts w:ascii="Arial Nova Cond" w:hAnsi="Arial Nova Cond"/>
              <w:b w:val="0"/>
              <w:bCs w:val="0"/>
            </w:rPr>
            <w:t>Contents</w:t>
          </w:r>
        </w:p>
        <w:p w14:paraId="32A0A956" w14:textId="3C24BFEA" w:rsidR="000474E0" w:rsidRDefault="00900353">
          <w:pPr>
            <w:pStyle w:val="TOC1"/>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86935144" w:history="1">
            <w:r w:rsidR="000474E0" w:rsidRPr="006B7894">
              <w:rPr>
                <w:rStyle w:val="Hyperlink"/>
              </w:rPr>
              <w:t>Summary</w:t>
            </w:r>
            <w:r w:rsidR="000474E0">
              <w:rPr>
                <w:webHidden/>
              </w:rPr>
              <w:tab/>
            </w:r>
            <w:r w:rsidR="000474E0">
              <w:rPr>
                <w:webHidden/>
              </w:rPr>
              <w:fldChar w:fldCharType="begin"/>
            </w:r>
            <w:r w:rsidR="000474E0">
              <w:rPr>
                <w:webHidden/>
              </w:rPr>
              <w:instrText xml:space="preserve"> PAGEREF _Toc86935144 \h </w:instrText>
            </w:r>
            <w:r w:rsidR="000474E0">
              <w:rPr>
                <w:webHidden/>
              </w:rPr>
            </w:r>
            <w:r w:rsidR="000474E0">
              <w:rPr>
                <w:webHidden/>
              </w:rPr>
              <w:fldChar w:fldCharType="separate"/>
            </w:r>
            <w:r w:rsidR="000474E0">
              <w:rPr>
                <w:webHidden/>
              </w:rPr>
              <w:t>5</w:t>
            </w:r>
            <w:r w:rsidR="000474E0">
              <w:rPr>
                <w:webHidden/>
              </w:rPr>
              <w:fldChar w:fldCharType="end"/>
            </w:r>
          </w:hyperlink>
        </w:p>
        <w:p w14:paraId="588D24C7" w14:textId="33A812B9" w:rsidR="000474E0" w:rsidRDefault="000474E0">
          <w:pPr>
            <w:pStyle w:val="TOC2"/>
            <w:rPr>
              <w:rFonts w:asciiTheme="minorHAnsi" w:eastAsiaTheme="minorEastAsia" w:hAnsiTheme="minorHAnsi" w:cstheme="minorBidi"/>
              <w:sz w:val="22"/>
              <w:szCs w:val="22"/>
              <w:lang w:eastAsia="en-AU"/>
            </w:rPr>
          </w:pPr>
          <w:hyperlink w:anchor="_Toc86935145" w:history="1">
            <w:r w:rsidRPr="006B7894">
              <w:rPr>
                <w:rStyle w:val="Hyperlink"/>
              </w:rPr>
              <w:t>Strategic Capabilities</w:t>
            </w:r>
            <w:r>
              <w:rPr>
                <w:webHidden/>
              </w:rPr>
              <w:tab/>
            </w:r>
            <w:r>
              <w:rPr>
                <w:webHidden/>
              </w:rPr>
              <w:fldChar w:fldCharType="begin"/>
            </w:r>
            <w:r>
              <w:rPr>
                <w:webHidden/>
              </w:rPr>
              <w:instrText xml:space="preserve"> PAGEREF _Toc86935145 \h </w:instrText>
            </w:r>
            <w:r>
              <w:rPr>
                <w:webHidden/>
              </w:rPr>
            </w:r>
            <w:r>
              <w:rPr>
                <w:webHidden/>
              </w:rPr>
              <w:fldChar w:fldCharType="separate"/>
            </w:r>
            <w:r>
              <w:rPr>
                <w:webHidden/>
              </w:rPr>
              <w:t>5</w:t>
            </w:r>
            <w:r>
              <w:rPr>
                <w:webHidden/>
              </w:rPr>
              <w:fldChar w:fldCharType="end"/>
            </w:r>
          </w:hyperlink>
        </w:p>
        <w:p w14:paraId="39C8CCA5" w14:textId="437E4DEB" w:rsidR="000474E0" w:rsidRDefault="000474E0">
          <w:pPr>
            <w:pStyle w:val="TOC2"/>
            <w:rPr>
              <w:rFonts w:asciiTheme="minorHAnsi" w:eastAsiaTheme="minorEastAsia" w:hAnsiTheme="minorHAnsi" w:cstheme="minorBidi"/>
              <w:sz w:val="22"/>
              <w:szCs w:val="22"/>
              <w:lang w:eastAsia="en-AU"/>
            </w:rPr>
          </w:pPr>
          <w:hyperlink w:anchor="_Toc86935146" w:history="1">
            <w:r w:rsidRPr="006B7894">
              <w:rPr>
                <w:rStyle w:val="Hyperlink"/>
              </w:rPr>
              <w:t>Technical Capabilities</w:t>
            </w:r>
            <w:r>
              <w:rPr>
                <w:webHidden/>
              </w:rPr>
              <w:tab/>
            </w:r>
            <w:r>
              <w:rPr>
                <w:webHidden/>
              </w:rPr>
              <w:fldChar w:fldCharType="begin"/>
            </w:r>
            <w:r>
              <w:rPr>
                <w:webHidden/>
              </w:rPr>
              <w:instrText xml:space="preserve"> PAGEREF _Toc86935146 \h </w:instrText>
            </w:r>
            <w:r>
              <w:rPr>
                <w:webHidden/>
              </w:rPr>
            </w:r>
            <w:r>
              <w:rPr>
                <w:webHidden/>
              </w:rPr>
              <w:fldChar w:fldCharType="separate"/>
            </w:r>
            <w:r>
              <w:rPr>
                <w:webHidden/>
              </w:rPr>
              <w:t>5</w:t>
            </w:r>
            <w:r>
              <w:rPr>
                <w:webHidden/>
              </w:rPr>
              <w:fldChar w:fldCharType="end"/>
            </w:r>
          </w:hyperlink>
        </w:p>
        <w:p w14:paraId="675FB46D" w14:textId="02F77F84" w:rsidR="000474E0" w:rsidRDefault="000474E0">
          <w:pPr>
            <w:pStyle w:val="TOC2"/>
            <w:rPr>
              <w:rFonts w:asciiTheme="minorHAnsi" w:eastAsiaTheme="minorEastAsia" w:hAnsiTheme="minorHAnsi" w:cstheme="minorBidi"/>
              <w:sz w:val="22"/>
              <w:szCs w:val="22"/>
              <w:lang w:eastAsia="en-AU"/>
            </w:rPr>
          </w:pPr>
          <w:hyperlink w:anchor="_Toc86935147" w:history="1">
            <w:r w:rsidRPr="006B7894">
              <w:rPr>
                <w:rStyle w:val="Hyperlink"/>
              </w:rPr>
              <w:t>Core Capabilities</w:t>
            </w:r>
            <w:r>
              <w:rPr>
                <w:webHidden/>
              </w:rPr>
              <w:tab/>
            </w:r>
            <w:r>
              <w:rPr>
                <w:webHidden/>
              </w:rPr>
              <w:fldChar w:fldCharType="begin"/>
            </w:r>
            <w:r>
              <w:rPr>
                <w:webHidden/>
              </w:rPr>
              <w:instrText xml:space="preserve"> PAGEREF _Toc86935147 \h </w:instrText>
            </w:r>
            <w:r>
              <w:rPr>
                <w:webHidden/>
              </w:rPr>
            </w:r>
            <w:r>
              <w:rPr>
                <w:webHidden/>
              </w:rPr>
              <w:fldChar w:fldCharType="separate"/>
            </w:r>
            <w:r>
              <w:rPr>
                <w:webHidden/>
              </w:rPr>
              <w:t>6</w:t>
            </w:r>
            <w:r>
              <w:rPr>
                <w:webHidden/>
              </w:rPr>
              <w:fldChar w:fldCharType="end"/>
            </w:r>
          </w:hyperlink>
        </w:p>
        <w:p w14:paraId="5D99954F" w14:textId="2A212DFA" w:rsidR="000474E0" w:rsidRDefault="000474E0">
          <w:pPr>
            <w:pStyle w:val="TOC1"/>
            <w:rPr>
              <w:rFonts w:asciiTheme="minorHAnsi" w:eastAsiaTheme="minorEastAsia" w:hAnsiTheme="minorHAnsi" w:cstheme="minorBidi"/>
              <w:b w:val="0"/>
              <w:sz w:val="22"/>
              <w:szCs w:val="22"/>
              <w:lang w:eastAsia="en-AU"/>
            </w:rPr>
          </w:pPr>
          <w:hyperlink w:anchor="_Toc86935148" w:history="1">
            <w:r w:rsidRPr="006B7894">
              <w:rPr>
                <w:rStyle w:val="Hyperlink"/>
              </w:rPr>
              <w:t>Capability Framework</w:t>
            </w:r>
            <w:r>
              <w:rPr>
                <w:webHidden/>
              </w:rPr>
              <w:tab/>
            </w:r>
            <w:r>
              <w:rPr>
                <w:webHidden/>
              </w:rPr>
              <w:fldChar w:fldCharType="begin"/>
            </w:r>
            <w:r>
              <w:rPr>
                <w:webHidden/>
              </w:rPr>
              <w:instrText xml:space="preserve"> PAGEREF _Toc86935148 \h </w:instrText>
            </w:r>
            <w:r>
              <w:rPr>
                <w:webHidden/>
              </w:rPr>
            </w:r>
            <w:r>
              <w:rPr>
                <w:webHidden/>
              </w:rPr>
              <w:fldChar w:fldCharType="separate"/>
            </w:r>
            <w:r>
              <w:rPr>
                <w:webHidden/>
              </w:rPr>
              <w:t>6</w:t>
            </w:r>
            <w:r>
              <w:rPr>
                <w:webHidden/>
              </w:rPr>
              <w:fldChar w:fldCharType="end"/>
            </w:r>
          </w:hyperlink>
        </w:p>
        <w:p w14:paraId="6801DE20" w14:textId="5D2BCEF1" w:rsidR="000474E0" w:rsidRDefault="000474E0">
          <w:pPr>
            <w:pStyle w:val="TOC1"/>
            <w:rPr>
              <w:rFonts w:asciiTheme="minorHAnsi" w:eastAsiaTheme="minorEastAsia" w:hAnsiTheme="minorHAnsi" w:cstheme="minorBidi"/>
              <w:b w:val="0"/>
              <w:sz w:val="22"/>
              <w:szCs w:val="22"/>
              <w:lang w:eastAsia="en-AU"/>
            </w:rPr>
          </w:pPr>
          <w:hyperlink w:anchor="_Toc86935149" w:history="1">
            <w:r w:rsidRPr="006B7894">
              <w:rPr>
                <w:rStyle w:val="Hyperlink"/>
              </w:rPr>
              <w:t>Agriculture Victoria as a regulator across five systems</w:t>
            </w:r>
            <w:r>
              <w:rPr>
                <w:webHidden/>
              </w:rPr>
              <w:tab/>
            </w:r>
            <w:r>
              <w:rPr>
                <w:webHidden/>
              </w:rPr>
              <w:fldChar w:fldCharType="begin"/>
            </w:r>
            <w:r>
              <w:rPr>
                <w:webHidden/>
              </w:rPr>
              <w:instrText xml:space="preserve"> PAGEREF _Toc86935149 \h </w:instrText>
            </w:r>
            <w:r>
              <w:rPr>
                <w:webHidden/>
              </w:rPr>
            </w:r>
            <w:r>
              <w:rPr>
                <w:webHidden/>
              </w:rPr>
              <w:fldChar w:fldCharType="separate"/>
            </w:r>
            <w:r>
              <w:rPr>
                <w:webHidden/>
              </w:rPr>
              <w:t>8</w:t>
            </w:r>
            <w:r>
              <w:rPr>
                <w:webHidden/>
              </w:rPr>
              <w:fldChar w:fldCharType="end"/>
            </w:r>
          </w:hyperlink>
        </w:p>
        <w:p w14:paraId="2AB35714" w14:textId="24492669" w:rsidR="000474E0" w:rsidRDefault="000474E0">
          <w:pPr>
            <w:pStyle w:val="TOC2"/>
            <w:rPr>
              <w:rFonts w:asciiTheme="minorHAnsi" w:eastAsiaTheme="minorEastAsia" w:hAnsiTheme="minorHAnsi" w:cstheme="minorBidi"/>
              <w:sz w:val="22"/>
              <w:szCs w:val="22"/>
              <w:lang w:eastAsia="en-AU"/>
            </w:rPr>
          </w:pPr>
          <w:hyperlink w:anchor="_Toc86935150" w:history="1">
            <w:r w:rsidRPr="006B7894">
              <w:rPr>
                <w:rStyle w:val="Hyperlink"/>
              </w:rPr>
              <w:t>Strategic Capabilities</w:t>
            </w:r>
            <w:r>
              <w:rPr>
                <w:webHidden/>
              </w:rPr>
              <w:tab/>
            </w:r>
            <w:r>
              <w:rPr>
                <w:webHidden/>
              </w:rPr>
              <w:fldChar w:fldCharType="begin"/>
            </w:r>
            <w:r>
              <w:rPr>
                <w:webHidden/>
              </w:rPr>
              <w:instrText xml:space="preserve"> PAGEREF _Toc86935150 \h </w:instrText>
            </w:r>
            <w:r>
              <w:rPr>
                <w:webHidden/>
              </w:rPr>
            </w:r>
            <w:r>
              <w:rPr>
                <w:webHidden/>
              </w:rPr>
              <w:fldChar w:fldCharType="separate"/>
            </w:r>
            <w:r>
              <w:rPr>
                <w:webHidden/>
              </w:rPr>
              <w:t>8</w:t>
            </w:r>
            <w:r>
              <w:rPr>
                <w:webHidden/>
              </w:rPr>
              <w:fldChar w:fldCharType="end"/>
            </w:r>
          </w:hyperlink>
        </w:p>
        <w:p w14:paraId="3D2071DB" w14:textId="3F92800D" w:rsidR="000474E0" w:rsidRDefault="000474E0">
          <w:pPr>
            <w:pStyle w:val="TOC3"/>
            <w:rPr>
              <w:rFonts w:asciiTheme="minorHAnsi" w:eastAsiaTheme="minorEastAsia" w:hAnsiTheme="minorHAnsi" w:cstheme="minorBidi"/>
              <w:noProof/>
              <w:sz w:val="22"/>
              <w:szCs w:val="22"/>
              <w:lang w:eastAsia="en-AU"/>
            </w:rPr>
          </w:pPr>
          <w:hyperlink w:anchor="_Toc86935151" w:history="1">
            <w:r w:rsidRPr="006B7894">
              <w:rPr>
                <w:rStyle w:val="Hyperlink"/>
                <w:noProof/>
              </w:rPr>
              <w:t>Insights</w:t>
            </w:r>
            <w:r>
              <w:rPr>
                <w:noProof/>
                <w:webHidden/>
              </w:rPr>
              <w:tab/>
            </w:r>
            <w:r>
              <w:rPr>
                <w:noProof/>
                <w:webHidden/>
              </w:rPr>
              <w:fldChar w:fldCharType="begin"/>
            </w:r>
            <w:r>
              <w:rPr>
                <w:noProof/>
                <w:webHidden/>
              </w:rPr>
              <w:instrText xml:space="preserve"> PAGEREF _Toc86935151 \h </w:instrText>
            </w:r>
            <w:r>
              <w:rPr>
                <w:noProof/>
                <w:webHidden/>
              </w:rPr>
            </w:r>
            <w:r>
              <w:rPr>
                <w:noProof/>
                <w:webHidden/>
              </w:rPr>
              <w:fldChar w:fldCharType="separate"/>
            </w:r>
            <w:r>
              <w:rPr>
                <w:noProof/>
                <w:webHidden/>
              </w:rPr>
              <w:t>8</w:t>
            </w:r>
            <w:r>
              <w:rPr>
                <w:noProof/>
                <w:webHidden/>
              </w:rPr>
              <w:fldChar w:fldCharType="end"/>
            </w:r>
          </w:hyperlink>
        </w:p>
        <w:p w14:paraId="20BCC55D" w14:textId="7122371A" w:rsidR="000474E0" w:rsidRDefault="000474E0">
          <w:pPr>
            <w:pStyle w:val="TOC3"/>
            <w:rPr>
              <w:rFonts w:asciiTheme="minorHAnsi" w:eastAsiaTheme="minorEastAsia" w:hAnsiTheme="minorHAnsi" w:cstheme="minorBidi"/>
              <w:noProof/>
              <w:sz w:val="22"/>
              <w:szCs w:val="22"/>
              <w:lang w:eastAsia="en-AU"/>
            </w:rPr>
          </w:pPr>
          <w:hyperlink w:anchor="_Toc86935152" w:history="1">
            <w:r w:rsidRPr="006B7894">
              <w:rPr>
                <w:rStyle w:val="Hyperlink"/>
                <w:noProof/>
              </w:rPr>
              <w:t>Decision-making</w:t>
            </w:r>
            <w:r>
              <w:rPr>
                <w:noProof/>
                <w:webHidden/>
              </w:rPr>
              <w:tab/>
            </w:r>
            <w:r>
              <w:rPr>
                <w:noProof/>
                <w:webHidden/>
              </w:rPr>
              <w:fldChar w:fldCharType="begin"/>
            </w:r>
            <w:r>
              <w:rPr>
                <w:noProof/>
                <w:webHidden/>
              </w:rPr>
              <w:instrText xml:space="preserve"> PAGEREF _Toc86935152 \h </w:instrText>
            </w:r>
            <w:r>
              <w:rPr>
                <w:noProof/>
                <w:webHidden/>
              </w:rPr>
            </w:r>
            <w:r>
              <w:rPr>
                <w:noProof/>
                <w:webHidden/>
              </w:rPr>
              <w:fldChar w:fldCharType="separate"/>
            </w:r>
            <w:r>
              <w:rPr>
                <w:noProof/>
                <w:webHidden/>
              </w:rPr>
              <w:t>8</w:t>
            </w:r>
            <w:r>
              <w:rPr>
                <w:noProof/>
                <w:webHidden/>
              </w:rPr>
              <w:fldChar w:fldCharType="end"/>
            </w:r>
          </w:hyperlink>
        </w:p>
        <w:p w14:paraId="04EC3C5B" w14:textId="38A94506" w:rsidR="000474E0" w:rsidRDefault="000474E0">
          <w:pPr>
            <w:pStyle w:val="TOC3"/>
            <w:rPr>
              <w:rFonts w:asciiTheme="minorHAnsi" w:eastAsiaTheme="minorEastAsia" w:hAnsiTheme="minorHAnsi" w:cstheme="minorBidi"/>
              <w:noProof/>
              <w:sz w:val="22"/>
              <w:szCs w:val="22"/>
              <w:lang w:eastAsia="en-AU"/>
            </w:rPr>
          </w:pPr>
          <w:hyperlink w:anchor="_Toc86935153" w:history="1">
            <w:r w:rsidRPr="006B7894">
              <w:rPr>
                <w:rStyle w:val="Hyperlink"/>
                <w:noProof/>
              </w:rPr>
              <w:t>Innovation</w:t>
            </w:r>
            <w:r>
              <w:rPr>
                <w:noProof/>
                <w:webHidden/>
              </w:rPr>
              <w:tab/>
            </w:r>
            <w:r>
              <w:rPr>
                <w:noProof/>
                <w:webHidden/>
              </w:rPr>
              <w:fldChar w:fldCharType="begin"/>
            </w:r>
            <w:r>
              <w:rPr>
                <w:noProof/>
                <w:webHidden/>
              </w:rPr>
              <w:instrText xml:space="preserve"> PAGEREF _Toc86935153 \h </w:instrText>
            </w:r>
            <w:r>
              <w:rPr>
                <w:noProof/>
                <w:webHidden/>
              </w:rPr>
            </w:r>
            <w:r>
              <w:rPr>
                <w:noProof/>
                <w:webHidden/>
              </w:rPr>
              <w:fldChar w:fldCharType="separate"/>
            </w:r>
            <w:r>
              <w:rPr>
                <w:noProof/>
                <w:webHidden/>
              </w:rPr>
              <w:t>8</w:t>
            </w:r>
            <w:r>
              <w:rPr>
                <w:noProof/>
                <w:webHidden/>
              </w:rPr>
              <w:fldChar w:fldCharType="end"/>
            </w:r>
          </w:hyperlink>
        </w:p>
        <w:p w14:paraId="75D4320B" w14:textId="6AAF6FEE" w:rsidR="000474E0" w:rsidRDefault="000474E0">
          <w:pPr>
            <w:pStyle w:val="TOC2"/>
            <w:rPr>
              <w:rFonts w:asciiTheme="minorHAnsi" w:eastAsiaTheme="minorEastAsia" w:hAnsiTheme="minorHAnsi" w:cstheme="minorBidi"/>
              <w:sz w:val="22"/>
              <w:szCs w:val="22"/>
              <w:lang w:eastAsia="en-AU"/>
            </w:rPr>
          </w:pPr>
          <w:hyperlink w:anchor="_Toc86935154" w:history="1">
            <w:r w:rsidRPr="006B7894">
              <w:rPr>
                <w:rStyle w:val="Hyperlink"/>
              </w:rPr>
              <w:t>Technical Capabilities</w:t>
            </w:r>
            <w:r>
              <w:rPr>
                <w:webHidden/>
              </w:rPr>
              <w:tab/>
            </w:r>
            <w:r>
              <w:rPr>
                <w:webHidden/>
              </w:rPr>
              <w:fldChar w:fldCharType="begin"/>
            </w:r>
            <w:r>
              <w:rPr>
                <w:webHidden/>
              </w:rPr>
              <w:instrText xml:space="preserve"> PAGEREF _Toc86935154 \h </w:instrText>
            </w:r>
            <w:r>
              <w:rPr>
                <w:webHidden/>
              </w:rPr>
            </w:r>
            <w:r>
              <w:rPr>
                <w:webHidden/>
              </w:rPr>
              <w:fldChar w:fldCharType="separate"/>
            </w:r>
            <w:r>
              <w:rPr>
                <w:webHidden/>
              </w:rPr>
              <w:t>8</w:t>
            </w:r>
            <w:r>
              <w:rPr>
                <w:webHidden/>
              </w:rPr>
              <w:fldChar w:fldCharType="end"/>
            </w:r>
          </w:hyperlink>
        </w:p>
        <w:p w14:paraId="6890B8AB" w14:textId="6BE200D6" w:rsidR="000474E0" w:rsidRDefault="000474E0">
          <w:pPr>
            <w:pStyle w:val="TOC3"/>
            <w:rPr>
              <w:rFonts w:asciiTheme="minorHAnsi" w:eastAsiaTheme="minorEastAsia" w:hAnsiTheme="minorHAnsi" w:cstheme="minorBidi"/>
              <w:noProof/>
              <w:sz w:val="22"/>
              <w:szCs w:val="22"/>
              <w:lang w:eastAsia="en-AU"/>
            </w:rPr>
          </w:pPr>
          <w:hyperlink w:anchor="_Toc86935155" w:history="1">
            <w:r w:rsidRPr="006B7894">
              <w:rPr>
                <w:rStyle w:val="Hyperlink"/>
                <w:noProof/>
              </w:rPr>
              <w:t>Policy</w:t>
            </w:r>
            <w:r>
              <w:rPr>
                <w:noProof/>
                <w:webHidden/>
              </w:rPr>
              <w:tab/>
            </w:r>
            <w:r>
              <w:rPr>
                <w:noProof/>
                <w:webHidden/>
              </w:rPr>
              <w:fldChar w:fldCharType="begin"/>
            </w:r>
            <w:r>
              <w:rPr>
                <w:noProof/>
                <w:webHidden/>
              </w:rPr>
              <w:instrText xml:space="preserve"> PAGEREF _Toc86935155 \h </w:instrText>
            </w:r>
            <w:r>
              <w:rPr>
                <w:noProof/>
                <w:webHidden/>
              </w:rPr>
            </w:r>
            <w:r>
              <w:rPr>
                <w:noProof/>
                <w:webHidden/>
              </w:rPr>
              <w:fldChar w:fldCharType="separate"/>
            </w:r>
            <w:r>
              <w:rPr>
                <w:noProof/>
                <w:webHidden/>
              </w:rPr>
              <w:t>8</w:t>
            </w:r>
            <w:r>
              <w:rPr>
                <w:noProof/>
                <w:webHidden/>
              </w:rPr>
              <w:fldChar w:fldCharType="end"/>
            </w:r>
          </w:hyperlink>
        </w:p>
        <w:p w14:paraId="13096EE3" w14:textId="49BECB5D" w:rsidR="000474E0" w:rsidRDefault="000474E0">
          <w:pPr>
            <w:pStyle w:val="TOC3"/>
            <w:rPr>
              <w:rFonts w:asciiTheme="minorHAnsi" w:eastAsiaTheme="minorEastAsia" w:hAnsiTheme="minorHAnsi" w:cstheme="minorBidi"/>
              <w:noProof/>
              <w:sz w:val="22"/>
              <w:szCs w:val="22"/>
              <w:lang w:eastAsia="en-AU"/>
            </w:rPr>
          </w:pPr>
          <w:hyperlink w:anchor="_Toc86935156" w:history="1">
            <w:r w:rsidRPr="006B7894">
              <w:rPr>
                <w:rStyle w:val="Hyperlink"/>
                <w:noProof/>
              </w:rPr>
              <w:t>Compliance</w:t>
            </w:r>
            <w:r>
              <w:rPr>
                <w:noProof/>
                <w:webHidden/>
              </w:rPr>
              <w:tab/>
            </w:r>
            <w:r>
              <w:rPr>
                <w:noProof/>
                <w:webHidden/>
              </w:rPr>
              <w:fldChar w:fldCharType="begin"/>
            </w:r>
            <w:r>
              <w:rPr>
                <w:noProof/>
                <w:webHidden/>
              </w:rPr>
              <w:instrText xml:space="preserve"> PAGEREF _Toc86935156 \h </w:instrText>
            </w:r>
            <w:r>
              <w:rPr>
                <w:noProof/>
                <w:webHidden/>
              </w:rPr>
            </w:r>
            <w:r>
              <w:rPr>
                <w:noProof/>
                <w:webHidden/>
              </w:rPr>
              <w:fldChar w:fldCharType="separate"/>
            </w:r>
            <w:r>
              <w:rPr>
                <w:noProof/>
                <w:webHidden/>
              </w:rPr>
              <w:t>8</w:t>
            </w:r>
            <w:r>
              <w:rPr>
                <w:noProof/>
                <w:webHidden/>
              </w:rPr>
              <w:fldChar w:fldCharType="end"/>
            </w:r>
          </w:hyperlink>
        </w:p>
        <w:p w14:paraId="6BEFAA1E" w14:textId="139AEB50" w:rsidR="000474E0" w:rsidRDefault="000474E0">
          <w:pPr>
            <w:pStyle w:val="TOC2"/>
            <w:rPr>
              <w:rFonts w:asciiTheme="minorHAnsi" w:eastAsiaTheme="minorEastAsia" w:hAnsiTheme="minorHAnsi" w:cstheme="minorBidi"/>
              <w:sz w:val="22"/>
              <w:szCs w:val="22"/>
              <w:lang w:eastAsia="en-AU"/>
            </w:rPr>
          </w:pPr>
          <w:hyperlink w:anchor="_Toc86935157" w:history="1">
            <w:r w:rsidRPr="006B7894">
              <w:rPr>
                <w:rStyle w:val="Hyperlink"/>
              </w:rPr>
              <w:t>Core Capabilities</w:t>
            </w:r>
            <w:r>
              <w:rPr>
                <w:webHidden/>
              </w:rPr>
              <w:tab/>
            </w:r>
            <w:r>
              <w:rPr>
                <w:webHidden/>
              </w:rPr>
              <w:fldChar w:fldCharType="begin"/>
            </w:r>
            <w:r>
              <w:rPr>
                <w:webHidden/>
              </w:rPr>
              <w:instrText xml:space="preserve"> PAGEREF _Toc86935157 \h </w:instrText>
            </w:r>
            <w:r>
              <w:rPr>
                <w:webHidden/>
              </w:rPr>
            </w:r>
            <w:r>
              <w:rPr>
                <w:webHidden/>
              </w:rPr>
              <w:fldChar w:fldCharType="separate"/>
            </w:r>
            <w:r>
              <w:rPr>
                <w:webHidden/>
              </w:rPr>
              <w:t>9</w:t>
            </w:r>
            <w:r>
              <w:rPr>
                <w:webHidden/>
              </w:rPr>
              <w:fldChar w:fldCharType="end"/>
            </w:r>
          </w:hyperlink>
        </w:p>
        <w:p w14:paraId="645E2ED1" w14:textId="5ADD80DD" w:rsidR="000474E0" w:rsidRDefault="000474E0">
          <w:pPr>
            <w:pStyle w:val="TOC3"/>
            <w:rPr>
              <w:rFonts w:asciiTheme="minorHAnsi" w:eastAsiaTheme="minorEastAsia" w:hAnsiTheme="minorHAnsi" w:cstheme="minorBidi"/>
              <w:noProof/>
              <w:sz w:val="22"/>
              <w:szCs w:val="22"/>
              <w:lang w:eastAsia="en-AU"/>
            </w:rPr>
          </w:pPr>
          <w:hyperlink w:anchor="_Toc86935158" w:history="1">
            <w:r w:rsidRPr="006B7894">
              <w:rPr>
                <w:rStyle w:val="Hyperlink"/>
                <w:noProof/>
              </w:rPr>
              <w:t>Outreach</w:t>
            </w:r>
            <w:r>
              <w:rPr>
                <w:noProof/>
                <w:webHidden/>
              </w:rPr>
              <w:tab/>
            </w:r>
            <w:r>
              <w:rPr>
                <w:noProof/>
                <w:webHidden/>
              </w:rPr>
              <w:fldChar w:fldCharType="begin"/>
            </w:r>
            <w:r>
              <w:rPr>
                <w:noProof/>
                <w:webHidden/>
              </w:rPr>
              <w:instrText xml:space="preserve"> PAGEREF _Toc86935158 \h </w:instrText>
            </w:r>
            <w:r>
              <w:rPr>
                <w:noProof/>
                <w:webHidden/>
              </w:rPr>
            </w:r>
            <w:r>
              <w:rPr>
                <w:noProof/>
                <w:webHidden/>
              </w:rPr>
              <w:fldChar w:fldCharType="separate"/>
            </w:r>
            <w:r>
              <w:rPr>
                <w:noProof/>
                <w:webHidden/>
              </w:rPr>
              <w:t>9</w:t>
            </w:r>
            <w:r>
              <w:rPr>
                <w:noProof/>
                <w:webHidden/>
              </w:rPr>
              <w:fldChar w:fldCharType="end"/>
            </w:r>
          </w:hyperlink>
        </w:p>
        <w:p w14:paraId="0C36F3C0" w14:textId="15137FC7" w:rsidR="000474E0" w:rsidRDefault="000474E0">
          <w:pPr>
            <w:pStyle w:val="TOC3"/>
            <w:rPr>
              <w:rFonts w:asciiTheme="minorHAnsi" w:eastAsiaTheme="minorEastAsia" w:hAnsiTheme="minorHAnsi" w:cstheme="minorBidi"/>
              <w:noProof/>
              <w:sz w:val="22"/>
              <w:szCs w:val="22"/>
              <w:lang w:eastAsia="en-AU"/>
            </w:rPr>
          </w:pPr>
          <w:hyperlink w:anchor="_Toc86935159" w:history="1">
            <w:r w:rsidRPr="006B7894">
              <w:rPr>
                <w:rStyle w:val="Hyperlink"/>
                <w:noProof/>
              </w:rPr>
              <w:t>Collaboration</w:t>
            </w:r>
            <w:r>
              <w:rPr>
                <w:noProof/>
                <w:webHidden/>
              </w:rPr>
              <w:tab/>
            </w:r>
            <w:r>
              <w:rPr>
                <w:noProof/>
                <w:webHidden/>
              </w:rPr>
              <w:fldChar w:fldCharType="begin"/>
            </w:r>
            <w:r>
              <w:rPr>
                <w:noProof/>
                <w:webHidden/>
              </w:rPr>
              <w:instrText xml:space="preserve"> PAGEREF _Toc86935159 \h </w:instrText>
            </w:r>
            <w:r>
              <w:rPr>
                <w:noProof/>
                <w:webHidden/>
              </w:rPr>
            </w:r>
            <w:r>
              <w:rPr>
                <w:noProof/>
                <w:webHidden/>
              </w:rPr>
              <w:fldChar w:fldCharType="separate"/>
            </w:r>
            <w:r>
              <w:rPr>
                <w:noProof/>
                <w:webHidden/>
              </w:rPr>
              <w:t>9</w:t>
            </w:r>
            <w:r>
              <w:rPr>
                <w:noProof/>
                <w:webHidden/>
              </w:rPr>
              <w:fldChar w:fldCharType="end"/>
            </w:r>
          </w:hyperlink>
        </w:p>
        <w:p w14:paraId="3331CED6" w14:textId="14E3FE5A" w:rsidR="000474E0" w:rsidRDefault="000474E0">
          <w:pPr>
            <w:pStyle w:val="TOC3"/>
            <w:rPr>
              <w:rFonts w:asciiTheme="minorHAnsi" w:eastAsiaTheme="minorEastAsia" w:hAnsiTheme="minorHAnsi" w:cstheme="minorBidi"/>
              <w:noProof/>
              <w:sz w:val="22"/>
              <w:szCs w:val="22"/>
              <w:lang w:eastAsia="en-AU"/>
            </w:rPr>
          </w:pPr>
          <w:hyperlink w:anchor="_Toc86935160" w:history="1">
            <w:r w:rsidRPr="006B7894">
              <w:rPr>
                <w:rStyle w:val="Hyperlink"/>
                <w:noProof/>
              </w:rPr>
              <w:t>Performance</w:t>
            </w:r>
            <w:r>
              <w:rPr>
                <w:noProof/>
                <w:webHidden/>
              </w:rPr>
              <w:tab/>
            </w:r>
            <w:r>
              <w:rPr>
                <w:noProof/>
                <w:webHidden/>
              </w:rPr>
              <w:fldChar w:fldCharType="begin"/>
            </w:r>
            <w:r>
              <w:rPr>
                <w:noProof/>
                <w:webHidden/>
              </w:rPr>
              <w:instrText xml:space="preserve"> PAGEREF _Toc86935160 \h </w:instrText>
            </w:r>
            <w:r>
              <w:rPr>
                <w:noProof/>
                <w:webHidden/>
              </w:rPr>
            </w:r>
            <w:r>
              <w:rPr>
                <w:noProof/>
                <w:webHidden/>
              </w:rPr>
              <w:fldChar w:fldCharType="separate"/>
            </w:r>
            <w:r>
              <w:rPr>
                <w:noProof/>
                <w:webHidden/>
              </w:rPr>
              <w:t>9</w:t>
            </w:r>
            <w:r>
              <w:rPr>
                <w:noProof/>
                <w:webHidden/>
              </w:rPr>
              <w:fldChar w:fldCharType="end"/>
            </w:r>
          </w:hyperlink>
        </w:p>
        <w:p w14:paraId="18D8C987" w14:textId="476C7068" w:rsidR="000474E0" w:rsidRDefault="000474E0">
          <w:pPr>
            <w:pStyle w:val="TOC2"/>
            <w:rPr>
              <w:rFonts w:asciiTheme="minorHAnsi" w:eastAsiaTheme="minorEastAsia" w:hAnsiTheme="minorHAnsi" w:cstheme="minorBidi"/>
              <w:sz w:val="22"/>
              <w:szCs w:val="22"/>
              <w:lang w:eastAsia="en-AU"/>
            </w:rPr>
          </w:pPr>
          <w:hyperlink w:anchor="_Toc86935161" w:history="1">
            <w:r w:rsidRPr="006B7894">
              <w:rPr>
                <w:rStyle w:val="Hyperlink"/>
              </w:rPr>
              <w:t>Corporate Enabling Capabilities (Out of scope)</w:t>
            </w:r>
            <w:r>
              <w:rPr>
                <w:webHidden/>
              </w:rPr>
              <w:tab/>
            </w:r>
            <w:r>
              <w:rPr>
                <w:webHidden/>
              </w:rPr>
              <w:fldChar w:fldCharType="begin"/>
            </w:r>
            <w:r>
              <w:rPr>
                <w:webHidden/>
              </w:rPr>
              <w:instrText xml:space="preserve"> PAGEREF _Toc86935161 \h </w:instrText>
            </w:r>
            <w:r>
              <w:rPr>
                <w:webHidden/>
              </w:rPr>
            </w:r>
            <w:r>
              <w:rPr>
                <w:webHidden/>
              </w:rPr>
              <w:fldChar w:fldCharType="separate"/>
            </w:r>
            <w:r>
              <w:rPr>
                <w:webHidden/>
              </w:rPr>
              <w:t>9</w:t>
            </w:r>
            <w:r>
              <w:rPr>
                <w:webHidden/>
              </w:rPr>
              <w:fldChar w:fldCharType="end"/>
            </w:r>
          </w:hyperlink>
        </w:p>
        <w:p w14:paraId="4FB7F517" w14:textId="69DC5D4E" w:rsidR="000474E0" w:rsidRDefault="000474E0">
          <w:pPr>
            <w:pStyle w:val="TOC1"/>
            <w:rPr>
              <w:rFonts w:asciiTheme="minorHAnsi" w:eastAsiaTheme="minorEastAsia" w:hAnsiTheme="minorHAnsi" w:cstheme="minorBidi"/>
              <w:b w:val="0"/>
              <w:sz w:val="22"/>
              <w:szCs w:val="22"/>
              <w:lang w:eastAsia="en-AU"/>
            </w:rPr>
          </w:pPr>
          <w:hyperlink w:anchor="_Toc86935162" w:history="1">
            <w:r w:rsidRPr="006B7894">
              <w:rPr>
                <w:rStyle w:val="Hyperlink"/>
              </w:rPr>
              <w:t>Strategic Capabilities</w:t>
            </w:r>
            <w:r>
              <w:rPr>
                <w:webHidden/>
              </w:rPr>
              <w:tab/>
            </w:r>
            <w:r>
              <w:rPr>
                <w:webHidden/>
              </w:rPr>
              <w:fldChar w:fldCharType="begin"/>
            </w:r>
            <w:r>
              <w:rPr>
                <w:webHidden/>
              </w:rPr>
              <w:instrText xml:space="preserve"> PAGEREF _Toc86935162 \h </w:instrText>
            </w:r>
            <w:r>
              <w:rPr>
                <w:webHidden/>
              </w:rPr>
            </w:r>
            <w:r>
              <w:rPr>
                <w:webHidden/>
              </w:rPr>
              <w:fldChar w:fldCharType="separate"/>
            </w:r>
            <w:r>
              <w:rPr>
                <w:webHidden/>
              </w:rPr>
              <w:t>10</w:t>
            </w:r>
            <w:r>
              <w:rPr>
                <w:webHidden/>
              </w:rPr>
              <w:fldChar w:fldCharType="end"/>
            </w:r>
          </w:hyperlink>
        </w:p>
        <w:p w14:paraId="5F426445" w14:textId="7F30778E" w:rsidR="000474E0" w:rsidRDefault="000474E0">
          <w:pPr>
            <w:pStyle w:val="TOC2"/>
            <w:rPr>
              <w:rFonts w:asciiTheme="minorHAnsi" w:eastAsiaTheme="minorEastAsia" w:hAnsiTheme="minorHAnsi" w:cstheme="minorBidi"/>
              <w:sz w:val="22"/>
              <w:szCs w:val="22"/>
              <w:lang w:eastAsia="en-AU"/>
            </w:rPr>
          </w:pPr>
          <w:hyperlink w:anchor="_Toc86935163" w:history="1">
            <w:r w:rsidRPr="006B7894">
              <w:rPr>
                <w:rStyle w:val="Hyperlink"/>
              </w:rPr>
              <w:t>Insights</w:t>
            </w:r>
            <w:r>
              <w:rPr>
                <w:webHidden/>
              </w:rPr>
              <w:tab/>
            </w:r>
            <w:r>
              <w:rPr>
                <w:webHidden/>
              </w:rPr>
              <w:fldChar w:fldCharType="begin"/>
            </w:r>
            <w:r>
              <w:rPr>
                <w:webHidden/>
              </w:rPr>
              <w:instrText xml:space="preserve"> PAGEREF _Toc86935163 \h </w:instrText>
            </w:r>
            <w:r>
              <w:rPr>
                <w:webHidden/>
              </w:rPr>
            </w:r>
            <w:r>
              <w:rPr>
                <w:webHidden/>
              </w:rPr>
              <w:fldChar w:fldCharType="separate"/>
            </w:r>
            <w:r>
              <w:rPr>
                <w:webHidden/>
              </w:rPr>
              <w:t>10</w:t>
            </w:r>
            <w:r>
              <w:rPr>
                <w:webHidden/>
              </w:rPr>
              <w:fldChar w:fldCharType="end"/>
            </w:r>
          </w:hyperlink>
        </w:p>
        <w:p w14:paraId="110DA102" w14:textId="61D04266" w:rsidR="000474E0" w:rsidRDefault="000474E0">
          <w:pPr>
            <w:pStyle w:val="TOC2"/>
            <w:rPr>
              <w:rFonts w:asciiTheme="minorHAnsi" w:eastAsiaTheme="minorEastAsia" w:hAnsiTheme="minorHAnsi" w:cstheme="minorBidi"/>
              <w:sz w:val="22"/>
              <w:szCs w:val="22"/>
              <w:lang w:eastAsia="en-AU"/>
            </w:rPr>
          </w:pPr>
          <w:hyperlink w:anchor="_Toc86935164" w:history="1">
            <w:r w:rsidRPr="006B7894">
              <w:rPr>
                <w:rStyle w:val="Hyperlink"/>
              </w:rPr>
              <w:t>Decision making</w:t>
            </w:r>
            <w:r>
              <w:rPr>
                <w:webHidden/>
              </w:rPr>
              <w:tab/>
            </w:r>
            <w:r>
              <w:rPr>
                <w:webHidden/>
              </w:rPr>
              <w:fldChar w:fldCharType="begin"/>
            </w:r>
            <w:r>
              <w:rPr>
                <w:webHidden/>
              </w:rPr>
              <w:instrText xml:space="preserve"> PAGEREF _Toc86935164 \h </w:instrText>
            </w:r>
            <w:r>
              <w:rPr>
                <w:webHidden/>
              </w:rPr>
            </w:r>
            <w:r>
              <w:rPr>
                <w:webHidden/>
              </w:rPr>
              <w:fldChar w:fldCharType="separate"/>
            </w:r>
            <w:r>
              <w:rPr>
                <w:webHidden/>
              </w:rPr>
              <w:t>11</w:t>
            </w:r>
            <w:r>
              <w:rPr>
                <w:webHidden/>
              </w:rPr>
              <w:fldChar w:fldCharType="end"/>
            </w:r>
          </w:hyperlink>
        </w:p>
        <w:p w14:paraId="52E67974" w14:textId="3C12E997" w:rsidR="000474E0" w:rsidRDefault="000474E0">
          <w:pPr>
            <w:pStyle w:val="TOC2"/>
            <w:rPr>
              <w:rFonts w:asciiTheme="minorHAnsi" w:eastAsiaTheme="minorEastAsia" w:hAnsiTheme="minorHAnsi" w:cstheme="minorBidi"/>
              <w:sz w:val="22"/>
              <w:szCs w:val="22"/>
              <w:lang w:eastAsia="en-AU"/>
            </w:rPr>
          </w:pPr>
          <w:hyperlink w:anchor="_Toc86935165" w:history="1">
            <w:r w:rsidRPr="006B7894">
              <w:rPr>
                <w:rStyle w:val="Hyperlink"/>
              </w:rPr>
              <w:t>Innovation</w:t>
            </w:r>
            <w:r>
              <w:rPr>
                <w:webHidden/>
              </w:rPr>
              <w:tab/>
            </w:r>
            <w:r>
              <w:rPr>
                <w:webHidden/>
              </w:rPr>
              <w:fldChar w:fldCharType="begin"/>
            </w:r>
            <w:r>
              <w:rPr>
                <w:webHidden/>
              </w:rPr>
              <w:instrText xml:space="preserve"> PAGEREF _Toc86935165 \h </w:instrText>
            </w:r>
            <w:r>
              <w:rPr>
                <w:webHidden/>
              </w:rPr>
            </w:r>
            <w:r>
              <w:rPr>
                <w:webHidden/>
              </w:rPr>
              <w:fldChar w:fldCharType="separate"/>
            </w:r>
            <w:r>
              <w:rPr>
                <w:webHidden/>
              </w:rPr>
              <w:t>11</w:t>
            </w:r>
            <w:r>
              <w:rPr>
                <w:webHidden/>
              </w:rPr>
              <w:fldChar w:fldCharType="end"/>
            </w:r>
          </w:hyperlink>
        </w:p>
        <w:p w14:paraId="6ECE4C07" w14:textId="5BB48AE0" w:rsidR="000474E0" w:rsidRDefault="000474E0">
          <w:pPr>
            <w:pStyle w:val="TOC1"/>
            <w:rPr>
              <w:rFonts w:asciiTheme="minorHAnsi" w:eastAsiaTheme="minorEastAsia" w:hAnsiTheme="minorHAnsi" w:cstheme="minorBidi"/>
              <w:b w:val="0"/>
              <w:sz w:val="22"/>
              <w:szCs w:val="22"/>
              <w:lang w:eastAsia="en-AU"/>
            </w:rPr>
          </w:pPr>
          <w:hyperlink w:anchor="_Toc86935166" w:history="1">
            <w:r w:rsidRPr="006B7894">
              <w:rPr>
                <w:rStyle w:val="Hyperlink"/>
              </w:rPr>
              <w:t>Technical Capabilities</w:t>
            </w:r>
            <w:r>
              <w:rPr>
                <w:webHidden/>
              </w:rPr>
              <w:tab/>
            </w:r>
            <w:r>
              <w:rPr>
                <w:webHidden/>
              </w:rPr>
              <w:fldChar w:fldCharType="begin"/>
            </w:r>
            <w:r>
              <w:rPr>
                <w:webHidden/>
              </w:rPr>
              <w:instrText xml:space="preserve"> PAGEREF _Toc86935166 \h </w:instrText>
            </w:r>
            <w:r>
              <w:rPr>
                <w:webHidden/>
              </w:rPr>
            </w:r>
            <w:r>
              <w:rPr>
                <w:webHidden/>
              </w:rPr>
              <w:fldChar w:fldCharType="separate"/>
            </w:r>
            <w:r>
              <w:rPr>
                <w:webHidden/>
              </w:rPr>
              <w:t>12</w:t>
            </w:r>
            <w:r>
              <w:rPr>
                <w:webHidden/>
              </w:rPr>
              <w:fldChar w:fldCharType="end"/>
            </w:r>
          </w:hyperlink>
        </w:p>
        <w:p w14:paraId="7B47902A" w14:textId="4243A16B" w:rsidR="000474E0" w:rsidRDefault="000474E0">
          <w:pPr>
            <w:pStyle w:val="TOC2"/>
            <w:rPr>
              <w:rFonts w:asciiTheme="minorHAnsi" w:eastAsiaTheme="minorEastAsia" w:hAnsiTheme="minorHAnsi" w:cstheme="minorBidi"/>
              <w:sz w:val="22"/>
              <w:szCs w:val="22"/>
              <w:lang w:eastAsia="en-AU"/>
            </w:rPr>
          </w:pPr>
          <w:hyperlink w:anchor="_Toc86935167" w:history="1">
            <w:r w:rsidRPr="006B7894">
              <w:rPr>
                <w:rStyle w:val="Hyperlink"/>
              </w:rPr>
              <w:t>Policy</w:t>
            </w:r>
            <w:r>
              <w:rPr>
                <w:webHidden/>
              </w:rPr>
              <w:tab/>
            </w:r>
            <w:r>
              <w:rPr>
                <w:webHidden/>
              </w:rPr>
              <w:fldChar w:fldCharType="begin"/>
            </w:r>
            <w:r>
              <w:rPr>
                <w:webHidden/>
              </w:rPr>
              <w:instrText xml:space="preserve"> PAGEREF _Toc86935167 \h </w:instrText>
            </w:r>
            <w:r>
              <w:rPr>
                <w:webHidden/>
              </w:rPr>
            </w:r>
            <w:r>
              <w:rPr>
                <w:webHidden/>
              </w:rPr>
              <w:fldChar w:fldCharType="separate"/>
            </w:r>
            <w:r>
              <w:rPr>
                <w:webHidden/>
              </w:rPr>
              <w:t>12</w:t>
            </w:r>
            <w:r>
              <w:rPr>
                <w:webHidden/>
              </w:rPr>
              <w:fldChar w:fldCharType="end"/>
            </w:r>
          </w:hyperlink>
        </w:p>
        <w:p w14:paraId="0372A38E" w14:textId="65245B83" w:rsidR="000474E0" w:rsidRDefault="000474E0">
          <w:pPr>
            <w:pStyle w:val="TOC2"/>
            <w:rPr>
              <w:rFonts w:asciiTheme="minorHAnsi" w:eastAsiaTheme="minorEastAsia" w:hAnsiTheme="minorHAnsi" w:cstheme="minorBidi"/>
              <w:sz w:val="22"/>
              <w:szCs w:val="22"/>
              <w:lang w:eastAsia="en-AU"/>
            </w:rPr>
          </w:pPr>
          <w:hyperlink w:anchor="_Toc86935168" w:history="1">
            <w:r w:rsidRPr="006B7894">
              <w:rPr>
                <w:rStyle w:val="Hyperlink"/>
              </w:rPr>
              <w:t>Compliance</w:t>
            </w:r>
            <w:r>
              <w:rPr>
                <w:webHidden/>
              </w:rPr>
              <w:tab/>
            </w:r>
            <w:r>
              <w:rPr>
                <w:webHidden/>
              </w:rPr>
              <w:fldChar w:fldCharType="begin"/>
            </w:r>
            <w:r>
              <w:rPr>
                <w:webHidden/>
              </w:rPr>
              <w:instrText xml:space="preserve"> PAGEREF _Toc86935168 \h </w:instrText>
            </w:r>
            <w:r>
              <w:rPr>
                <w:webHidden/>
              </w:rPr>
            </w:r>
            <w:r>
              <w:rPr>
                <w:webHidden/>
              </w:rPr>
              <w:fldChar w:fldCharType="separate"/>
            </w:r>
            <w:r>
              <w:rPr>
                <w:webHidden/>
              </w:rPr>
              <w:t>12</w:t>
            </w:r>
            <w:r>
              <w:rPr>
                <w:webHidden/>
              </w:rPr>
              <w:fldChar w:fldCharType="end"/>
            </w:r>
          </w:hyperlink>
        </w:p>
        <w:p w14:paraId="5FF941A5" w14:textId="439D5D65" w:rsidR="000474E0" w:rsidRDefault="000474E0">
          <w:pPr>
            <w:pStyle w:val="TOC1"/>
            <w:rPr>
              <w:rFonts w:asciiTheme="minorHAnsi" w:eastAsiaTheme="minorEastAsia" w:hAnsiTheme="minorHAnsi" w:cstheme="minorBidi"/>
              <w:b w:val="0"/>
              <w:sz w:val="22"/>
              <w:szCs w:val="22"/>
              <w:lang w:eastAsia="en-AU"/>
            </w:rPr>
          </w:pPr>
          <w:hyperlink w:anchor="_Toc86935169" w:history="1">
            <w:r w:rsidRPr="006B7894">
              <w:rPr>
                <w:rStyle w:val="Hyperlink"/>
              </w:rPr>
              <w:t>Core Capabilities</w:t>
            </w:r>
            <w:r>
              <w:rPr>
                <w:webHidden/>
              </w:rPr>
              <w:tab/>
            </w:r>
            <w:r>
              <w:rPr>
                <w:webHidden/>
              </w:rPr>
              <w:fldChar w:fldCharType="begin"/>
            </w:r>
            <w:r>
              <w:rPr>
                <w:webHidden/>
              </w:rPr>
              <w:instrText xml:space="preserve"> PAGEREF _Toc86935169 \h </w:instrText>
            </w:r>
            <w:r>
              <w:rPr>
                <w:webHidden/>
              </w:rPr>
            </w:r>
            <w:r>
              <w:rPr>
                <w:webHidden/>
              </w:rPr>
              <w:fldChar w:fldCharType="separate"/>
            </w:r>
            <w:r>
              <w:rPr>
                <w:webHidden/>
              </w:rPr>
              <w:t>13</w:t>
            </w:r>
            <w:r>
              <w:rPr>
                <w:webHidden/>
              </w:rPr>
              <w:fldChar w:fldCharType="end"/>
            </w:r>
          </w:hyperlink>
        </w:p>
        <w:p w14:paraId="78584695" w14:textId="5670A8B3" w:rsidR="000474E0" w:rsidRDefault="000474E0">
          <w:pPr>
            <w:pStyle w:val="TOC2"/>
            <w:rPr>
              <w:rFonts w:asciiTheme="minorHAnsi" w:eastAsiaTheme="minorEastAsia" w:hAnsiTheme="minorHAnsi" w:cstheme="minorBidi"/>
              <w:sz w:val="22"/>
              <w:szCs w:val="22"/>
              <w:lang w:eastAsia="en-AU"/>
            </w:rPr>
          </w:pPr>
          <w:hyperlink w:anchor="_Toc86935170" w:history="1">
            <w:r w:rsidRPr="006B7894">
              <w:rPr>
                <w:rStyle w:val="Hyperlink"/>
              </w:rPr>
              <w:t>Outreach</w:t>
            </w:r>
            <w:r>
              <w:rPr>
                <w:webHidden/>
              </w:rPr>
              <w:tab/>
            </w:r>
            <w:r>
              <w:rPr>
                <w:webHidden/>
              </w:rPr>
              <w:fldChar w:fldCharType="begin"/>
            </w:r>
            <w:r>
              <w:rPr>
                <w:webHidden/>
              </w:rPr>
              <w:instrText xml:space="preserve"> PAGEREF _Toc86935170 \h </w:instrText>
            </w:r>
            <w:r>
              <w:rPr>
                <w:webHidden/>
              </w:rPr>
            </w:r>
            <w:r>
              <w:rPr>
                <w:webHidden/>
              </w:rPr>
              <w:fldChar w:fldCharType="separate"/>
            </w:r>
            <w:r>
              <w:rPr>
                <w:webHidden/>
              </w:rPr>
              <w:t>13</w:t>
            </w:r>
            <w:r>
              <w:rPr>
                <w:webHidden/>
              </w:rPr>
              <w:fldChar w:fldCharType="end"/>
            </w:r>
          </w:hyperlink>
        </w:p>
        <w:p w14:paraId="6D98B4B1" w14:textId="19015DE4" w:rsidR="000474E0" w:rsidRDefault="000474E0">
          <w:pPr>
            <w:pStyle w:val="TOC2"/>
            <w:rPr>
              <w:rFonts w:asciiTheme="minorHAnsi" w:eastAsiaTheme="minorEastAsia" w:hAnsiTheme="minorHAnsi" w:cstheme="minorBidi"/>
              <w:sz w:val="22"/>
              <w:szCs w:val="22"/>
              <w:lang w:eastAsia="en-AU"/>
            </w:rPr>
          </w:pPr>
          <w:hyperlink w:anchor="_Toc86935171" w:history="1">
            <w:r w:rsidRPr="006B7894">
              <w:rPr>
                <w:rStyle w:val="Hyperlink"/>
              </w:rPr>
              <w:t>Collaboration</w:t>
            </w:r>
            <w:r>
              <w:rPr>
                <w:webHidden/>
              </w:rPr>
              <w:tab/>
            </w:r>
            <w:r>
              <w:rPr>
                <w:webHidden/>
              </w:rPr>
              <w:fldChar w:fldCharType="begin"/>
            </w:r>
            <w:r>
              <w:rPr>
                <w:webHidden/>
              </w:rPr>
              <w:instrText xml:space="preserve"> PAGEREF _Toc86935171 \h </w:instrText>
            </w:r>
            <w:r>
              <w:rPr>
                <w:webHidden/>
              </w:rPr>
            </w:r>
            <w:r>
              <w:rPr>
                <w:webHidden/>
              </w:rPr>
              <w:fldChar w:fldCharType="separate"/>
            </w:r>
            <w:r>
              <w:rPr>
                <w:webHidden/>
              </w:rPr>
              <w:t>13</w:t>
            </w:r>
            <w:r>
              <w:rPr>
                <w:webHidden/>
              </w:rPr>
              <w:fldChar w:fldCharType="end"/>
            </w:r>
          </w:hyperlink>
        </w:p>
        <w:p w14:paraId="1658E02A" w14:textId="530C029B" w:rsidR="000474E0" w:rsidRDefault="000474E0">
          <w:pPr>
            <w:pStyle w:val="TOC2"/>
            <w:rPr>
              <w:rFonts w:asciiTheme="minorHAnsi" w:eastAsiaTheme="minorEastAsia" w:hAnsiTheme="minorHAnsi" w:cstheme="minorBidi"/>
              <w:sz w:val="22"/>
              <w:szCs w:val="22"/>
              <w:lang w:eastAsia="en-AU"/>
            </w:rPr>
          </w:pPr>
          <w:hyperlink w:anchor="_Toc86935172" w:history="1">
            <w:r w:rsidRPr="006B7894">
              <w:rPr>
                <w:rStyle w:val="Hyperlink"/>
              </w:rPr>
              <w:t>Performance</w:t>
            </w:r>
            <w:r>
              <w:rPr>
                <w:webHidden/>
              </w:rPr>
              <w:tab/>
            </w:r>
            <w:r>
              <w:rPr>
                <w:webHidden/>
              </w:rPr>
              <w:fldChar w:fldCharType="begin"/>
            </w:r>
            <w:r>
              <w:rPr>
                <w:webHidden/>
              </w:rPr>
              <w:instrText xml:space="preserve"> PAGEREF _Toc86935172 \h </w:instrText>
            </w:r>
            <w:r>
              <w:rPr>
                <w:webHidden/>
              </w:rPr>
            </w:r>
            <w:r>
              <w:rPr>
                <w:webHidden/>
              </w:rPr>
              <w:fldChar w:fldCharType="separate"/>
            </w:r>
            <w:r>
              <w:rPr>
                <w:webHidden/>
              </w:rPr>
              <w:t>14</w:t>
            </w:r>
            <w:r>
              <w:rPr>
                <w:webHidden/>
              </w:rPr>
              <w:fldChar w:fldCharType="end"/>
            </w:r>
          </w:hyperlink>
        </w:p>
        <w:p w14:paraId="6A9C7A74" w14:textId="284FB55C" w:rsidR="000474E0" w:rsidRDefault="000474E0">
          <w:pPr>
            <w:pStyle w:val="TOC1"/>
            <w:rPr>
              <w:rFonts w:asciiTheme="minorHAnsi" w:eastAsiaTheme="minorEastAsia" w:hAnsiTheme="minorHAnsi" w:cstheme="minorBidi"/>
              <w:b w:val="0"/>
              <w:sz w:val="22"/>
              <w:szCs w:val="22"/>
              <w:lang w:eastAsia="en-AU"/>
            </w:rPr>
          </w:pPr>
          <w:hyperlink w:anchor="_Toc86935173" w:history="1">
            <w:r w:rsidRPr="006B7894">
              <w:rPr>
                <w:rStyle w:val="Hyperlink"/>
              </w:rPr>
              <w:t>Next Steps</w:t>
            </w:r>
            <w:r>
              <w:rPr>
                <w:webHidden/>
              </w:rPr>
              <w:tab/>
            </w:r>
            <w:r>
              <w:rPr>
                <w:webHidden/>
              </w:rPr>
              <w:fldChar w:fldCharType="begin"/>
            </w:r>
            <w:r>
              <w:rPr>
                <w:webHidden/>
              </w:rPr>
              <w:instrText xml:space="preserve"> PAGEREF _Toc86935173 \h </w:instrText>
            </w:r>
            <w:r>
              <w:rPr>
                <w:webHidden/>
              </w:rPr>
            </w:r>
            <w:r>
              <w:rPr>
                <w:webHidden/>
              </w:rPr>
              <w:fldChar w:fldCharType="separate"/>
            </w:r>
            <w:r>
              <w:rPr>
                <w:webHidden/>
              </w:rPr>
              <w:t>15</w:t>
            </w:r>
            <w:r>
              <w:rPr>
                <w:webHidden/>
              </w:rPr>
              <w:fldChar w:fldCharType="end"/>
            </w:r>
          </w:hyperlink>
        </w:p>
        <w:p w14:paraId="1012B41F" w14:textId="3A40C577" w:rsidR="000474E0" w:rsidRDefault="000474E0">
          <w:pPr>
            <w:pStyle w:val="TOC2"/>
            <w:rPr>
              <w:rFonts w:asciiTheme="minorHAnsi" w:eastAsiaTheme="minorEastAsia" w:hAnsiTheme="minorHAnsi" w:cstheme="minorBidi"/>
              <w:sz w:val="22"/>
              <w:szCs w:val="22"/>
              <w:lang w:eastAsia="en-AU"/>
            </w:rPr>
          </w:pPr>
          <w:hyperlink w:anchor="_Toc86935174" w:history="1">
            <w:r w:rsidRPr="006B7894">
              <w:rPr>
                <w:rStyle w:val="Hyperlink"/>
              </w:rPr>
              <w:t>Agriculture Victoria Capability Improvement Action Plan</w:t>
            </w:r>
            <w:r>
              <w:rPr>
                <w:webHidden/>
              </w:rPr>
              <w:tab/>
            </w:r>
            <w:r>
              <w:rPr>
                <w:webHidden/>
              </w:rPr>
              <w:fldChar w:fldCharType="begin"/>
            </w:r>
            <w:r>
              <w:rPr>
                <w:webHidden/>
              </w:rPr>
              <w:instrText xml:space="preserve"> PAGEREF _Toc86935174 \h </w:instrText>
            </w:r>
            <w:r>
              <w:rPr>
                <w:webHidden/>
              </w:rPr>
            </w:r>
            <w:r>
              <w:rPr>
                <w:webHidden/>
              </w:rPr>
              <w:fldChar w:fldCharType="separate"/>
            </w:r>
            <w:r>
              <w:rPr>
                <w:webHidden/>
              </w:rPr>
              <w:t>16</w:t>
            </w:r>
            <w:r>
              <w:rPr>
                <w:webHidden/>
              </w:rPr>
              <w:fldChar w:fldCharType="end"/>
            </w:r>
          </w:hyperlink>
        </w:p>
        <w:p w14:paraId="3894C608" w14:textId="3A75AA0B" w:rsidR="000474E0" w:rsidRDefault="000474E0">
          <w:pPr>
            <w:pStyle w:val="TOC3"/>
            <w:rPr>
              <w:rFonts w:asciiTheme="minorHAnsi" w:eastAsiaTheme="minorEastAsia" w:hAnsiTheme="minorHAnsi" w:cstheme="minorBidi"/>
              <w:noProof/>
              <w:sz w:val="22"/>
              <w:szCs w:val="22"/>
              <w:lang w:eastAsia="en-AU"/>
            </w:rPr>
          </w:pPr>
          <w:hyperlink w:anchor="_Toc86935175" w:history="1">
            <w:r w:rsidRPr="006B7894">
              <w:rPr>
                <w:rStyle w:val="Hyperlink"/>
                <w:noProof/>
              </w:rPr>
              <w:t>Capabilities identified as most in need of improvement through the Capability Assessment</w:t>
            </w:r>
            <w:r>
              <w:rPr>
                <w:noProof/>
                <w:webHidden/>
              </w:rPr>
              <w:tab/>
            </w:r>
            <w:r>
              <w:rPr>
                <w:noProof/>
                <w:webHidden/>
              </w:rPr>
              <w:fldChar w:fldCharType="begin"/>
            </w:r>
            <w:r>
              <w:rPr>
                <w:noProof/>
                <w:webHidden/>
              </w:rPr>
              <w:instrText xml:space="preserve"> PAGEREF _Toc86935175 \h </w:instrText>
            </w:r>
            <w:r>
              <w:rPr>
                <w:noProof/>
                <w:webHidden/>
              </w:rPr>
            </w:r>
            <w:r>
              <w:rPr>
                <w:noProof/>
                <w:webHidden/>
              </w:rPr>
              <w:fldChar w:fldCharType="separate"/>
            </w:r>
            <w:r>
              <w:rPr>
                <w:noProof/>
                <w:webHidden/>
              </w:rPr>
              <w:t>16</w:t>
            </w:r>
            <w:r>
              <w:rPr>
                <w:noProof/>
                <w:webHidden/>
              </w:rPr>
              <w:fldChar w:fldCharType="end"/>
            </w:r>
          </w:hyperlink>
        </w:p>
        <w:p w14:paraId="3E7DE04C" w14:textId="4E187E27" w:rsidR="000474E0" w:rsidRDefault="000474E0">
          <w:pPr>
            <w:pStyle w:val="TOC3"/>
            <w:rPr>
              <w:rFonts w:asciiTheme="minorHAnsi" w:eastAsiaTheme="minorEastAsia" w:hAnsiTheme="minorHAnsi" w:cstheme="minorBidi"/>
              <w:noProof/>
              <w:sz w:val="22"/>
              <w:szCs w:val="22"/>
              <w:lang w:eastAsia="en-AU"/>
            </w:rPr>
          </w:pPr>
          <w:hyperlink w:anchor="_Toc86935176" w:history="1">
            <w:r w:rsidRPr="006B7894">
              <w:rPr>
                <w:rStyle w:val="Hyperlink"/>
                <w:noProof/>
              </w:rPr>
              <w:t>Capabilities identified by staff as priorities for improvement</w:t>
            </w:r>
            <w:r>
              <w:rPr>
                <w:noProof/>
                <w:webHidden/>
              </w:rPr>
              <w:tab/>
            </w:r>
            <w:r>
              <w:rPr>
                <w:noProof/>
                <w:webHidden/>
              </w:rPr>
              <w:fldChar w:fldCharType="begin"/>
            </w:r>
            <w:r>
              <w:rPr>
                <w:noProof/>
                <w:webHidden/>
              </w:rPr>
              <w:instrText xml:space="preserve"> PAGEREF _Toc86935176 \h </w:instrText>
            </w:r>
            <w:r>
              <w:rPr>
                <w:noProof/>
                <w:webHidden/>
              </w:rPr>
            </w:r>
            <w:r>
              <w:rPr>
                <w:noProof/>
                <w:webHidden/>
              </w:rPr>
              <w:fldChar w:fldCharType="separate"/>
            </w:r>
            <w:r>
              <w:rPr>
                <w:noProof/>
                <w:webHidden/>
              </w:rPr>
              <w:t>17</w:t>
            </w:r>
            <w:r>
              <w:rPr>
                <w:noProof/>
                <w:webHidden/>
              </w:rPr>
              <w:fldChar w:fldCharType="end"/>
            </w:r>
          </w:hyperlink>
        </w:p>
        <w:p w14:paraId="7E1290B5" w14:textId="54936816" w:rsidR="000474E0" w:rsidRDefault="000474E0">
          <w:pPr>
            <w:pStyle w:val="TOC3"/>
            <w:rPr>
              <w:rFonts w:asciiTheme="minorHAnsi" w:eastAsiaTheme="minorEastAsia" w:hAnsiTheme="minorHAnsi" w:cstheme="minorBidi"/>
              <w:noProof/>
              <w:sz w:val="22"/>
              <w:szCs w:val="22"/>
              <w:lang w:eastAsia="en-AU"/>
            </w:rPr>
          </w:pPr>
          <w:hyperlink w:anchor="_Toc86935177" w:history="1">
            <w:r w:rsidRPr="006B7894">
              <w:rPr>
                <w:rStyle w:val="Hyperlink"/>
                <w:noProof/>
              </w:rPr>
              <w:t>Capabilities identified by stakeholders as priorities for improvement</w:t>
            </w:r>
            <w:r>
              <w:rPr>
                <w:noProof/>
                <w:webHidden/>
              </w:rPr>
              <w:tab/>
            </w:r>
            <w:r>
              <w:rPr>
                <w:noProof/>
                <w:webHidden/>
              </w:rPr>
              <w:fldChar w:fldCharType="begin"/>
            </w:r>
            <w:r>
              <w:rPr>
                <w:noProof/>
                <w:webHidden/>
              </w:rPr>
              <w:instrText xml:space="preserve"> PAGEREF _Toc86935177 \h </w:instrText>
            </w:r>
            <w:r>
              <w:rPr>
                <w:noProof/>
                <w:webHidden/>
              </w:rPr>
            </w:r>
            <w:r>
              <w:rPr>
                <w:noProof/>
                <w:webHidden/>
              </w:rPr>
              <w:fldChar w:fldCharType="separate"/>
            </w:r>
            <w:r>
              <w:rPr>
                <w:noProof/>
                <w:webHidden/>
              </w:rPr>
              <w:t>17</w:t>
            </w:r>
            <w:r>
              <w:rPr>
                <w:noProof/>
                <w:webHidden/>
              </w:rPr>
              <w:fldChar w:fldCharType="end"/>
            </w:r>
          </w:hyperlink>
        </w:p>
        <w:p w14:paraId="29466C70" w14:textId="0FA3289B" w:rsidR="000474E0" w:rsidRDefault="000474E0">
          <w:pPr>
            <w:pStyle w:val="TOC1"/>
            <w:rPr>
              <w:rFonts w:asciiTheme="minorHAnsi" w:eastAsiaTheme="minorEastAsia" w:hAnsiTheme="minorHAnsi" w:cstheme="minorBidi"/>
              <w:b w:val="0"/>
              <w:sz w:val="22"/>
              <w:szCs w:val="22"/>
              <w:lang w:eastAsia="en-AU"/>
            </w:rPr>
          </w:pPr>
          <w:hyperlink w:anchor="_Toc86935178" w:history="1">
            <w:r w:rsidRPr="006B7894">
              <w:rPr>
                <w:rStyle w:val="Hyperlink"/>
              </w:rPr>
              <w:t>KPMG Contacts</w:t>
            </w:r>
            <w:r>
              <w:rPr>
                <w:webHidden/>
              </w:rPr>
              <w:tab/>
            </w:r>
            <w:r>
              <w:rPr>
                <w:webHidden/>
              </w:rPr>
              <w:fldChar w:fldCharType="begin"/>
            </w:r>
            <w:r>
              <w:rPr>
                <w:webHidden/>
              </w:rPr>
              <w:instrText xml:space="preserve"> PAGEREF _Toc86935178 \h </w:instrText>
            </w:r>
            <w:r>
              <w:rPr>
                <w:webHidden/>
              </w:rPr>
            </w:r>
            <w:r>
              <w:rPr>
                <w:webHidden/>
              </w:rPr>
              <w:fldChar w:fldCharType="separate"/>
            </w:r>
            <w:r>
              <w:rPr>
                <w:webHidden/>
              </w:rPr>
              <w:t>18</w:t>
            </w:r>
            <w:r>
              <w:rPr>
                <w:webHidden/>
              </w:rPr>
              <w:fldChar w:fldCharType="end"/>
            </w:r>
          </w:hyperlink>
        </w:p>
        <w:p w14:paraId="40D34E9C" w14:textId="0DBAC1C2" w:rsidR="00900353" w:rsidRDefault="00900353">
          <w:r>
            <w:rPr>
              <w:b/>
              <w:bCs/>
              <w:noProof/>
            </w:rPr>
            <w:fldChar w:fldCharType="end"/>
          </w:r>
        </w:p>
      </w:sdtContent>
    </w:sdt>
    <w:p w14:paraId="7C33D508" w14:textId="395C77B8" w:rsidR="00900353" w:rsidRPr="00900353" w:rsidRDefault="00900353" w:rsidP="00900353">
      <w:pPr>
        <w:pStyle w:val="DHHSbody"/>
        <w:spacing w:before="1080"/>
        <w:rPr>
          <w:b/>
          <w:bCs/>
        </w:rPr>
      </w:pPr>
      <w:r w:rsidRPr="00900353">
        <w:rPr>
          <w:b/>
          <w:bCs/>
        </w:rPr>
        <w:lastRenderedPageBreak/>
        <w:t>Disclaimer</w:t>
      </w:r>
    </w:p>
    <w:p w14:paraId="6B809574" w14:textId="77777777" w:rsidR="00900353" w:rsidRDefault="00900353" w:rsidP="00900353">
      <w:pPr>
        <w:pStyle w:val="DHHSbody"/>
      </w:pPr>
      <w:r>
        <w:t xml:space="preserve">This document provides an extract of KPMG’s findings </w:t>
      </w:r>
      <w:proofErr w:type="gramStart"/>
      <w:r>
        <w:t>during the course of</w:t>
      </w:r>
      <w:proofErr w:type="gramEnd"/>
      <w:r>
        <w:t xml:space="preserve"> the work undertaken for the Department of Jobs, Precincts and Regions under the terms of the contract dated 3 February 2021. The contents of this document do not represent our conclusive findings, which are contained in our final report.</w:t>
      </w:r>
    </w:p>
    <w:p w14:paraId="3EF28597" w14:textId="77777777" w:rsidR="00900353" w:rsidRPr="00900353" w:rsidRDefault="00900353" w:rsidP="00900353">
      <w:pPr>
        <w:pStyle w:val="DHHSbody"/>
        <w:rPr>
          <w:b/>
          <w:bCs/>
        </w:rPr>
      </w:pPr>
      <w:r w:rsidRPr="00900353">
        <w:rPr>
          <w:b/>
          <w:bCs/>
        </w:rPr>
        <w:t>Inherent Limitations</w:t>
      </w:r>
    </w:p>
    <w:p w14:paraId="78FBD4D5" w14:textId="77777777" w:rsidR="00900353" w:rsidRDefault="00900353" w:rsidP="00900353">
      <w:pPr>
        <w:pStyle w:val="DHHSbody"/>
      </w:pPr>
      <w:r>
        <w:t xml:space="preserve">The final report was prepared as outlined in the Review objective, </w:t>
      </w:r>
      <w:proofErr w:type="gramStart"/>
      <w:r>
        <w:t>scope</w:t>
      </w:r>
      <w:proofErr w:type="gramEnd"/>
      <w:r>
        <w:t xml:space="preserve"> and methodology section of the report.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p>
    <w:p w14:paraId="7020ED8E" w14:textId="77777777" w:rsidR="00900353" w:rsidRDefault="00900353" w:rsidP="00900353">
      <w:pPr>
        <w:pStyle w:val="DHHSbody"/>
      </w:pPr>
      <w:r>
        <w:t>No warranty of completeness, accuracy or reliability is given in relation to the statements and representations made by, and the information and documentation provided by staff and stakeholders consulted as part of the process. KPMG have indicated within the final report the sources of the information provided. We have not sought to independently verify those sources unless otherwise noted within the report.</w:t>
      </w:r>
    </w:p>
    <w:p w14:paraId="3A465C4B" w14:textId="77777777" w:rsidR="00900353" w:rsidRDefault="00900353" w:rsidP="00900353">
      <w:pPr>
        <w:pStyle w:val="DHHSbody"/>
      </w:pPr>
      <w:r>
        <w:t>KPMG is under no obligation in any circumstance to update this document or the final report, in either oral or written form, for events occurring after the report has been issued in final form.</w:t>
      </w:r>
    </w:p>
    <w:p w14:paraId="384F7EE4" w14:textId="77777777" w:rsidR="00900353" w:rsidRDefault="00900353" w:rsidP="00900353">
      <w:pPr>
        <w:pStyle w:val="DHHSbody"/>
      </w:pPr>
      <w:r>
        <w:t>The findings in this summary and the final report have been formed on the above basis.</w:t>
      </w:r>
    </w:p>
    <w:p w14:paraId="5CC3BBE8" w14:textId="77777777" w:rsidR="00900353" w:rsidRPr="00900353" w:rsidRDefault="00900353" w:rsidP="00900353">
      <w:pPr>
        <w:pStyle w:val="DHHSbody"/>
        <w:rPr>
          <w:b/>
          <w:bCs/>
        </w:rPr>
      </w:pPr>
      <w:r w:rsidRPr="00900353">
        <w:rPr>
          <w:b/>
          <w:bCs/>
        </w:rPr>
        <w:t>Accessibility</w:t>
      </w:r>
    </w:p>
    <w:p w14:paraId="22F66542" w14:textId="4C9C58E7" w:rsidR="00A91D62" w:rsidRDefault="00900353" w:rsidP="00900353">
      <w:pPr>
        <w:pStyle w:val="DHHSbody"/>
        <w:sectPr w:rsidR="00A91D62" w:rsidSect="00900353">
          <w:headerReference w:type="even" r:id="rId9"/>
          <w:headerReference w:type="default" r:id="rId10"/>
          <w:footerReference w:type="even" r:id="rId11"/>
          <w:footerReference w:type="default" r:id="rId12"/>
          <w:headerReference w:type="first" r:id="rId13"/>
          <w:footerReference w:type="first" r:id="rId14"/>
          <w:pgSz w:w="11906" w:h="16838"/>
          <w:pgMar w:top="1701" w:right="1304" w:bottom="1134" w:left="1304" w:header="454" w:footer="567" w:gutter="0"/>
          <w:cols w:space="720"/>
          <w:titlePg/>
          <w:docGrid w:linePitch="360"/>
        </w:sectPr>
      </w:pPr>
      <w:r>
        <w:t>To comply with the Victorian Government’s accessibility requirements for publishing on the internet, two versions of this document are available: a KPMG-branded PDF version and an unbranded Microsoft Word version. The KPMG-branded PDF version of this document remains the definitive version of this Summary Report.</w:t>
      </w:r>
    </w:p>
    <w:p w14:paraId="37414779" w14:textId="23620C39" w:rsidR="005D1081" w:rsidRPr="00A91D62" w:rsidRDefault="005D1081" w:rsidP="00694986">
      <w:pPr>
        <w:pStyle w:val="Heading1"/>
        <w:rPr>
          <w:color w:val="auto"/>
        </w:rPr>
      </w:pPr>
      <w:bookmarkStart w:id="3" w:name="_Toc86935144"/>
      <w:r w:rsidRPr="00A91D62">
        <w:rPr>
          <w:color w:val="auto"/>
        </w:rPr>
        <w:lastRenderedPageBreak/>
        <w:t>Summary</w:t>
      </w:r>
      <w:bookmarkEnd w:id="3"/>
    </w:p>
    <w:p w14:paraId="5E5FB8DC" w14:textId="77777777" w:rsidR="005D1081" w:rsidRDefault="005D1081" w:rsidP="005D1081">
      <w:pPr>
        <w:pStyle w:val="DHHSbody"/>
      </w:pPr>
      <w:r>
        <w:t xml:space="preserve">Agriculture Victoria’s regulatory activities play a critical role in delivering its vision of a Victorian agriculture sector that is strong, </w:t>
      </w:r>
      <w:proofErr w:type="gramStart"/>
      <w:r>
        <w:t>innovative</w:t>
      </w:r>
      <w:proofErr w:type="gramEnd"/>
      <w:r>
        <w:t xml:space="preserve"> and sustainable.</w:t>
      </w:r>
    </w:p>
    <w:p w14:paraId="1943A9D7" w14:textId="77777777" w:rsidR="005D1081" w:rsidRDefault="005D1081" w:rsidP="005D1081">
      <w:pPr>
        <w:pStyle w:val="DHHSbody"/>
      </w:pPr>
      <w:r>
        <w:t>To realise this vision, Agriculture Victoria has embarked on a four-year reform journey through the Strengthening Victoria’s Biosecurity System Program (the SVBS Program). A key focus of the Program is to modernise regulatory practice to better address regulatory risks and improve biosecurity outcomes.</w:t>
      </w:r>
    </w:p>
    <w:p w14:paraId="53D74F62" w14:textId="77777777" w:rsidR="005D1081" w:rsidRDefault="005D1081" w:rsidP="005D1081">
      <w:pPr>
        <w:pStyle w:val="DHHSbody"/>
      </w:pPr>
      <w:r>
        <w:t>As part of this work, Agriculture Victoria commissioned KPMG to develop a Capability Framework and complete an assessment of its capability as a regulatory. This document summarises the high-level outcomes of that assessment.</w:t>
      </w:r>
    </w:p>
    <w:p w14:paraId="553FD531" w14:textId="2EE32223" w:rsidR="005D1081" w:rsidRDefault="005D1081" w:rsidP="005D1081">
      <w:pPr>
        <w:pStyle w:val="DHHSbody"/>
      </w:pPr>
      <w:r>
        <w:t xml:space="preserve">Agriculture Victoria </w:t>
      </w:r>
      <w:proofErr w:type="gramStart"/>
      <w:r>
        <w:t>has the ability to</w:t>
      </w:r>
      <w:proofErr w:type="gramEnd"/>
      <w:r>
        <w:t xml:space="preserve"> independently improve some regulatory capabilities. However, existing legislation may limit the extent to which these approaches may uplift some specific regulatory capabilities.</w:t>
      </w:r>
    </w:p>
    <w:p w14:paraId="5AA16BBC" w14:textId="136075F1" w:rsidR="00E010B6" w:rsidRDefault="00E010B6" w:rsidP="005D1081">
      <w:pPr>
        <w:pStyle w:val="DHHSbody"/>
      </w:pPr>
      <w:r w:rsidRPr="00E010B6">
        <w:rPr>
          <w:noProof/>
        </w:rPr>
        <w:drawing>
          <wp:inline distT="0" distB="0" distL="0" distR="0" wp14:anchorId="76996535" wp14:editId="4363F749">
            <wp:extent cx="5904230" cy="1653540"/>
            <wp:effectExtent l="0" t="0" r="1270" b="3810"/>
            <wp:docPr id="3" name="Picture 3" descr="Image showing how regulatory capabilities are broken into three inter-related categories: Strategic Capabilities, Technical Capabilities and Core Capabiliti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regulatory capabilities are broken into three inter-related categories: Strategic Capabilities, Technical Capabilities and Core Capabilities.">
                      <a:extLst>
                        <a:ext uri="{C183D7F6-B498-43B3-948B-1728B52AA6E4}">
                          <adec:decorative xmlns:adec="http://schemas.microsoft.com/office/drawing/2017/decorative" val="0"/>
                        </a:ext>
                      </a:extLst>
                    </pic:cNvPr>
                    <pic:cNvPicPr/>
                  </pic:nvPicPr>
                  <pic:blipFill>
                    <a:blip r:embed="rId15"/>
                    <a:stretch>
                      <a:fillRect/>
                    </a:stretch>
                  </pic:blipFill>
                  <pic:spPr>
                    <a:xfrm>
                      <a:off x="0" y="0"/>
                      <a:ext cx="5904230" cy="1653540"/>
                    </a:xfrm>
                    <a:prstGeom prst="rect">
                      <a:avLst/>
                    </a:prstGeom>
                  </pic:spPr>
                </pic:pic>
              </a:graphicData>
            </a:graphic>
          </wp:inline>
        </w:drawing>
      </w:r>
    </w:p>
    <w:p w14:paraId="3DE1698B" w14:textId="6C743262" w:rsidR="005D1081" w:rsidRPr="00A91D62" w:rsidRDefault="00900353" w:rsidP="00900353">
      <w:pPr>
        <w:pStyle w:val="Heading2"/>
        <w:rPr>
          <w:color w:val="auto"/>
        </w:rPr>
      </w:pPr>
      <w:bookmarkStart w:id="4" w:name="_Toc86935145"/>
      <w:r w:rsidRPr="00A91D62">
        <w:rPr>
          <w:color w:val="auto"/>
        </w:rPr>
        <w:t>Strategic Capabilities</w:t>
      </w:r>
      <w:bookmarkEnd w:id="4"/>
    </w:p>
    <w:p w14:paraId="1E6D0ABB" w14:textId="77777777" w:rsidR="00900353" w:rsidRPr="00A91D62" w:rsidRDefault="00900353" w:rsidP="00900353">
      <w:pPr>
        <w:pStyle w:val="DHHSbody"/>
        <w:rPr>
          <w:b/>
          <w:bCs/>
        </w:rPr>
      </w:pPr>
      <w:r w:rsidRPr="00A91D62">
        <w:rPr>
          <w:b/>
          <w:bCs/>
        </w:rPr>
        <w:t>Key findings</w:t>
      </w:r>
    </w:p>
    <w:p w14:paraId="58417303" w14:textId="77777777" w:rsidR="00900353" w:rsidRDefault="00900353" w:rsidP="00900353">
      <w:pPr>
        <w:pStyle w:val="DHHSbody"/>
      </w:pPr>
      <w:r>
        <w:t>Agriculture Victoria has capability strength in its strong knowledge of sector and government insights. There are opportunities to improve on data analysis, development of strategic responses, use of innovative tools and approaches, and resource allocation.</w:t>
      </w:r>
    </w:p>
    <w:p w14:paraId="61E61414" w14:textId="367D22D5" w:rsidR="00900353" w:rsidRPr="00A91D62" w:rsidRDefault="00900353" w:rsidP="00900353">
      <w:pPr>
        <w:pStyle w:val="Heading2"/>
        <w:rPr>
          <w:color w:val="auto"/>
        </w:rPr>
      </w:pPr>
      <w:bookmarkStart w:id="5" w:name="_Toc86935146"/>
      <w:r w:rsidRPr="00A91D62">
        <w:rPr>
          <w:color w:val="auto"/>
        </w:rPr>
        <w:t>Technical Capabilities</w:t>
      </w:r>
      <w:bookmarkEnd w:id="5"/>
    </w:p>
    <w:p w14:paraId="529D22E0" w14:textId="77777777" w:rsidR="00900353" w:rsidRPr="00A91D62" w:rsidRDefault="00900353" w:rsidP="00900353">
      <w:pPr>
        <w:pStyle w:val="DHHSbody"/>
        <w:rPr>
          <w:b/>
          <w:bCs/>
        </w:rPr>
      </w:pPr>
      <w:r w:rsidRPr="00A91D62">
        <w:rPr>
          <w:b/>
          <w:bCs/>
        </w:rPr>
        <w:t>Key findings</w:t>
      </w:r>
    </w:p>
    <w:p w14:paraId="714FBC85" w14:textId="77777777" w:rsidR="00900353" w:rsidRDefault="00900353" w:rsidP="00900353">
      <w:pPr>
        <w:pStyle w:val="DHHSbody"/>
      </w:pPr>
      <w:r>
        <w:t>Agriculture Victoria has relative capability strength in code of practice development and responding to non-compliance.</w:t>
      </w:r>
    </w:p>
    <w:p w14:paraId="1B002FA8" w14:textId="77777777" w:rsidR="00900353" w:rsidRDefault="00900353" w:rsidP="00900353">
      <w:pPr>
        <w:pStyle w:val="DHHSbody"/>
      </w:pPr>
      <w:r>
        <w:t>The rating for legislative and regulatory reform reflects capability in regulatory practice within the existing regulatory environment as much as possible. There are opportunities for development in monitoring compliance.</w:t>
      </w:r>
    </w:p>
    <w:p w14:paraId="713104E3" w14:textId="6FF94F56" w:rsidR="00900353" w:rsidRPr="00A91D62" w:rsidRDefault="00900353" w:rsidP="00900353">
      <w:pPr>
        <w:pStyle w:val="Heading2"/>
        <w:rPr>
          <w:color w:val="auto"/>
        </w:rPr>
      </w:pPr>
      <w:bookmarkStart w:id="6" w:name="_Toc86935147"/>
      <w:r w:rsidRPr="00A91D62">
        <w:rPr>
          <w:color w:val="auto"/>
        </w:rPr>
        <w:lastRenderedPageBreak/>
        <w:t>Core Capabilities</w:t>
      </w:r>
      <w:bookmarkEnd w:id="6"/>
    </w:p>
    <w:p w14:paraId="009575E6" w14:textId="77777777" w:rsidR="00900353" w:rsidRPr="00A91D62" w:rsidRDefault="00900353" w:rsidP="00900353">
      <w:pPr>
        <w:pStyle w:val="DHHSbody"/>
        <w:rPr>
          <w:b/>
          <w:bCs/>
        </w:rPr>
      </w:pPr>
      <w:r w:rsidRPr="00A91D62">
        <w:rPr>
          <w:b/>
          <w:bCs/>
        </w:rPr>
        <w:t>Key findings</w:t>
      </w:r>
    </w:p>
    <w:p w14:paraId="00D8AEBB" w14:textId="77777777" w:rsidR="00900353" w:rsidRDefault="00900353" w:rsidP="00900353">
      <w:pPr>
        <w:pStyle w:val="DHHSbody"/>
      </w:pPr>
      <w:r>
        <w:t>Agriculture Victoria has capability strength in education and advice to sector, working with other regulators and developing operating procedures. There are opportunities to improve in raising awareness in the community, promoting proactive compliance, as well as across performance capabilities such as reporting, monitoring and evaluation, and continued improvement.</w:t>
      </w:r>
    </w:p>
    <w:p w14:paraId="565CFADF" w14:textId="118B4264" w:rsidR="00900353" w:rsidRPr="00A91D62" w:rsidRDefault="00900353" w:rsidP="00F46B86">
      <w:pPr>
        <w:pStyle w:val="Heading1"/>
        <w:spacing w:before="600"/>
        <w:rPr>
          <w:color w:val="auto"/>
        </w:rPr>
      </w:pPr>
      <w:bookmarkStart w:id="7" w:name="_Toc86935148"/>
      <w:r w:rsidRPr="00A91D62">
        <w:rPr>
          <w:color w:val="auto"/>
        </w:rPr>
        <w:t>Capability Framework</w:t>
      </w:r>
      <w:bookmarkEnd w:id="7"/>
    </w:p>
    <w:p w14:paraId="1C2852E1" w14:textId="77777777" w:rsidR="00900353" w:rsidRPr="00E010B6" w:rsidRDefault="00900353" w:rsidP="00900353">
      <w:pPr>
        <w:pStyle w:val="DHHSbody"/>
        <w:rPr>
          <w:b/>
          <w:bCs/>
        </w:rPr>
      </w:pPr>
      <w:r w:rsidRPr="00E010B6">
        <w:rPr>
          <w:b/>
          <w:bCs/>
        </w:rPr>
        <w:t>KPMG developed a Capability Framework to assess Agriculture Victoria’s capabilities as a regulator across its five regulatory systems.</w:t>
      </w:r>
    </w:p>
    <w:p w14:paraId="520047A5" w14:textId="77777777" w:rsidR="00900353" w:rsidRDefault="00900353" w:rsidP="00900353">
      <w:pPr>
        <w:pStyle w:val="DHHSbody"/>
      </w:pPr>
      <w:r>
        <w:t>The Capability Framework includes a range of capabilities needed to drive positive regulatory outcomes for industry and the community. The Capability Framework was designed to allow Agriculture Victoria to continue to assess its progress in improving its capabilities over time.</w:t>
      </w:r>
    </w:p>
    <w:p w14:paraId="6FC970D6" w14:textId="77777777" w:rsidR="00900353" w:rsidRPr="00E010B6" w:rsidRDefault="00900353" w:rsidP="00900353">
      <w:pPr>
        <w:pStyle w:val="DHHSbody"/>
        <w:rPr>
          <w:b/>
          <w:bCs/>
        </w:rPr>
      </w:pPr>
      <w:r w:rsidRPr="00E010B6">
        <w:rPr>
          <w:b/>
          <w:bCs/>
        </w:rPr>
        <w:t xml:space="preserve">The capability assessment was based on input from Agriculture Victoria staff, </w:t>
      </w:r>
      <w:proofErr w:type="gramStart"/>
      <w:r w:rsidRPr="00E010B6">
        <w:rPr>
          <w:b/>
          <w:bCs/>
        </w:rPr>
        <w:t>leadership</w:t>
      </w:r>
      <w:proofErr w:type="gramEnd"/>
      <w:r w:rsidRPr="00E010B6">
        <w:rPr>
          <w:b/>
          <w:bCs/>
        </w:rPr>
        <w:t xml:space="preserve"> and external stakeholders.</w:t>
      </w:r>
    </w:p>
    <w:p w14:paraId="1DFAB12A" w14:textId="77777777" w:rsidR="00900353" w:rsidRDefault="00900353" w:rsidP="00900353">
      <w:pPr>
        <w:pStyle w:val="DHHSbody"/>
      </w:pPr>
      <w:r>
        <w:t>Qualitative and quantitative insights collected through workshops and a staff survey were triangulated to inform the overall assessment for each capability. Staff insights have not been independently verified.</w:t>
      </w:r>
    </w:p>
    <w:p w14:paraId="356B4FA1" w14:textId="5AE9DDBC" w:rsidR="00900353" w:rsidRDefault="00900353" w:rsidP="00900353">
      <w:pPr>
        <w:pStyle w:val="DHHSbody"/>
      </w:pPr>
      <w:r>
        <w:t>The Capability Framework groups 27 capabilities within four domains:</w:t>
      </w:r>
    </w:p>
    <w:p w14:paraId="58EC6517" w14:textId="6C38298E" w:rsidR="00E010B6" w:rsidRDefault="00E010B6" w:rsidP="00900353">
      <w:pPr>
        <w:pStyle w:val="DHHSbody"/>
      </w:pPr>
      <w:r w:rsidRPr="00E010B6">
        <w:rPr>
          <w:noProof/>
        </w:rPr>
        <w:drawing>
          <wp:inline distT="0" distB="0" distL="0" distR="0" wp14:anchorId="419F2B97" wp14:editId="70CDE3AC">
            <wp:extent cx="5904230" cy="3174365"/>
            <wp:effectExtent l="0" t="0" r="1270" b="6985"/>
            <wp:docPr id="14" name="Picture 14" descr="This infographic outlines Capability Framework and the broader regulatory context. Refer to th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nfographic outlines Capability Framework and the broader regulatory context. Refer to the description below."/>
                    <pic:cNvPicPr/>
                  </pic:nvPicPr>
                  <pic:blipFill>
                    <a:blip r:embed="rId16"/>
                    <a:stretch>
                      <a:fillRect/>
                    </a:stretch>
                  </pic:blipFill>
                  <pic:spPr>
                    <a:xfrm>
                      <a:off x="0" y="0"/>
                      <a:ext cx="5904230" cy="3174365"/>
                    </a:xfrm>
                    <a:prstGeom prst="rect">
                      <a:avLst/>
                    </a:prstGeom>
                  </pic:spPr>
                </pic:pic>
              </a:graphicData>
            </a:graphic>
          </wp:inline>
        </w:drawing>
      </w:r>
    </w:p>
    <w:p w14:paraId="3694663E" w14:textId="77777777" w:rsidR="00900353" w:rsidRPr="00A91D62" w:rsidRDefault="00900353" w:rsidP="00900353">
      <w:pPr>
        <w:pStyle w:val="DHHSbody"/>
      </w:pPr>
      <w:r w:rsidRPr="00A91D62">
        <w:rPr>
          <w:b/>
          <w:bCs/>
        </w:rPr>
        <w:lastRenderedPageBreak/>
        <w:t>Corporate Enabling Capabilities</w:t>
      </w:r>
      <w:r w:rsidRPr="00A91D62">
        <w:t xml:space="preserve"> (which are out of scope of this project) enable the delivery of regulatory outcomes.</w:t>
      </w:r>
    </w:p>
    <w:p w14:paraId="6212B5CB" w14:textId="77777777" w:rsidR="00900353" w:rsidRPr="00A91D62" w:rsidRDefault="00900353" w:rsidP="00900353">
      <w:pPr>
        <w:pStyle w:val="DHHSbody"/>
      </w:pPr>
      <w:r w:rsidRPr="00A91D62">
        <w:rPr>
          <w:b/>
          <w:bCs/>
        </w:rPr>
        <w:t>Strategic Capabilities</w:t>
      </w:r>
      <w:r w:rsidRPr="00A91D62">
        <w:t xml:space="preserve"> influence/drive the delivery of regulatory outcomes, including by supporting a modern regulatory approach.</w:t>
      </w:r>
    </w:p>
    <w:p w14:paraId="3B2CD28A" w14:textId="77777777" w:rsidR="00900353" w:rsidRPr="00A91D62" w:rsidRDefault="00900353" w:rsidP="00900353">
      <w:pPr>
        <w:pStyle w:val="DHHSbody"/>
      </w:pPr>
      <w:r w:rsidRPr="00A91D62">
        <w:rPr>
          <w:b/>
          <w:bCs/>
        </w:rPr>
        <w:t>Technical Capabilities</w:t>
      </w:r>
      <w:r w:rsidRPr="00A91D62">
        <w:t xml:space="preserve"> are the actions that deliver regulatory outcomes.</w:t>
      </w:r>
    </w:p>
    <w:p w14:paraId="48DC444D" w14:textId="77777777" w:rsidR="00900353" w:rsidRPr="00A91D62" w:rsidRDefault="00900353" w:rsidP="00900353">
      <w:pPr>
        <w:pStyle w:val="DHHSbody"/>
      </w:pPr>
      <w:r w:rsidRPr="00A91D62">
        <w:rPr>
          <w:b/>
          <w:bCs/>
        </w:rPr>
        <w:t>Core Capabilities</w:t>
      </w:r>
      <w:r w:rsidRPr="00A91D62">
        <w:t xml:space="preserve"> support the delivery of regulatory outcomes.</w:t>
      </w:r>
    </w:p>
    <w:p w14:paraId="4F181E71" w14:textId="77777777" w:rsidR="00900353" w:rsidRDefault="00900353" w:rsidP="00900353">
      <w:pPr>
        <w:pStyle w:val="DHHSbody"/>
      </w:pPr>
      <w:r w:rsidRPr="00A91D62">
        <w:t xml:space="preserve">The </w:t>
      </w:r>
      <w:r w:rsidRPr="00A91D62">
        <w:rPr>
          <w:b/>
          <w:bCs/>
        </w:rPr>
        <w:t>Broader Regulatory Context</w:t>
      </w:r>
      <w:r w:rsidRPr="00A91D62">
        <w:t xml:space="preserve">, within which Agriculture Victoria operates, also impacts the effectiveness of </w:t>
      </w:r>
      <w:r>
        <w:t>Agriculture Victoria as a regulator. Agriculture Victoria has limited scope to influence this broader operating environment and it is not included within the Capability Framework.</w:t>
      </w:r>
    </w:p>
    <w:p w14:paraId="13B3FBED" w14:textId="6B54B10F" w:rsidR="00900353" w:rsidRDefault="00900353" w:rsidP="00900353">
      <w:pPr>
        <w:pStyle w:val="DHHSbody"/>
      </w:pPr>
      <w:r>
        <w:t>The impact of the broader regulatory context has not been considered when assessing Agriculture Victoria’s capabilities.</w:t>
      </w:r>
    </w:p>
    <w:p w14:paraId="1188A405" w14:textId="77777777" w:rsidR="00900353" w:rsidRPr="00E010B6" w:rsidRDefault="00900353" w:rsidP="00E41264">
      <w:pPr>
        <w:pStyle w:val="DHHSbody"/>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rsidRPr="00E010B6">
        <w:t>The Broader Regulatory Context consists of:</w:t>
      </w:r>
    </w:p>
    <w:p w14:paraId="420909D7" w14:textId="476E3201" w:rsidR="00900353" w:rsidRPr="00900353" w:rsidRDefault="00900353" w:rsidP="00E41264">
      <w:pPr>
        <w:pStyle w:val="Bulletpoint1"/>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rsidRPr="00900353">
        <w:t>Whether appropriate legislation is in place to support and facilitate effective regulation</w:t>
      </w:r>
    </w:p>
    <w:p w14:paraId="6FCB5585" w14:textId="1D1FC8D7" w:rsidR="00900353" w:rsidRPr="00900353" w:rsidRDefault="00900353" w:rsidP="00E41264">
      <w:pPr>
        <w:pStyle w:val="Bulletpoint1"/>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rsidRPr="00900353">
        <w:t>The Government oversight regime imposed upon the regulator to hold it accountable for fulfilment of its mandate, including requirements for external performance reporting</w:t>
      </w:r>
    </w:p>
    <w:p w14:paraId="669CB60B" w14:textId="319C50AF" w:rsidR="00900353" w:rsidRPr="00900353" w:rsidRDefault="00900353" w:rsidP="00E41264">
      <w:pPr>
        <w:pStyle w:val="Bulletpoint1"/>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rsidRPr="00900353">
        <w:t>Resourcing and funding decisions set by Government</w:t>
      </w:r>
    </w:p>
    <w:p w14:paraId="7D7C411B" w14:textId="0E5C8147" w:rsidR="00900353" w:rsidRPr="00900353" w:rsidRDefault="00900353" w:rsidP="00E41264">
      <w:pPr>
        <w:pStyle w:val="DHHSbullet1lastline"/>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rsidRPr="00900353">
        <w:t>The legitimacy of the regulator within the sector and broader community.</w:t>
      </w:r>
    </w:p>
    <w:p w14:paraId="6AFF3EBF" w14:textId="77777777" w:rsidR="00E010B6" w:rsidRDefault="00E010B6">
      <w:pPr>
        <w:rPr>
          <w:rFonts w:ascii="Arial Nova Cond" w:eastAsia="Times" w:hAnsi="Arial Nova Cond"/>
          <w:bCs/>
          <w:color w:val="4C7329"/>
          <w:sz w:val="56"/>
          <w:szCs w:val="56"/>
        </w:rPr>
      </w:pPr>
      <w:r>
        <w:rPr>
          <w:rFonts w:eastAsia="Times"/>
        </w:rPr>
        <w:br w:type="page"/>
      </w:r>
    </w:p>
    <w:p w14:paraId="061866D2" w14:textId="3831D683" w:rsidR="00900353" w:rsidRPr="00A91D62" w:rsidRDefault="00900353" w:rsidP="00694986">
      <w:pPr>
        <w:pStyle w:val="Heading1"/>
        <w:rPr>
          <w:color w:val="auto"/>
        </w:rPr>
      </w:pPr>
      <w:bookmarkStart w:id="8" w:name="_Toc86935149"/>
      <w:r w:rsidRPr="00A91D62">
        <w:rPr>
          <w:color w:val="auto"/>
        </w:rPr>
        <w:lastRenderedPageBreak/>
        <w:t>Agriculture Victoria as a regulator across five systems</w:t>
      </w:r>
      <w:bookmarkEnd w:id="8"/>
    </w:p>
    <w:p w14:paraId="03BAED01" w14:textId="248FAB58" w:rsidR="00E41264" w:rsidRPr="00A91D62" w:rsidRDefault="00E41264" w:rsidP="00E41264">
      <w:pPr>
        <w:pStyle w:val="Heading2"/>
        <w:rPr>
          <w:color w:val="auto"/>
        </w:rPr>
      </w:pPr>
      <w:bookmarkStart w:id="9" w:name="_Toc86935150"/>
      <w:r w:rsidRPr="00A91D62">
        <w:rPr>
          <w:color w:val="auto"/>
        </w:rPr>
        <w:t>Strategic Capabilities</w:t>
      </w:r>
      <w:bookmarkEnd w:id="9"/>
    </w:p>
    <w:p w14:paraId="1D3947CF" w14:textId="3812E539" w:rsidR="00E41264" w:rsidRDefault="00E41264" w:rsidP="00E41264">
      <w:pPr>
        <w:pStyle w:val="DHHSbody"/>
      </w:pPr>
      <w:r>
        <w:t>The capabilities which influence/drive the delivery of regulatory outcomes, including by supporting a modern regulatory approach</w:t>
      </w:r>
      <w:r w:rsidR="00837361">
        <w:t>:</w:t>
      </w:r>
    </w:p>
    <w:p w14:paraId="6E1F40A5" w14:textId="77777777" w:rsidR="00E41264" w:rsidRPr="00A91D62" w:rsidRDefault="00E41264" w:rsidP="00981FF6">
      <w:pPr>
        <w:pStyle w:val="Heading3"/>
        <w:rPr>
          <w:color w:val="auto"/>
        </w:rPr>
      </w:pPr>
      <w:bookmarkStart w:id="10" w:name="_Toc86935151"/>
      <w:r w:rsidRPr="00A91D62">
        <w:rPr>
          <w:color w:val="auto"/>
        </w:rPr>
        <w:t>Insights</w:t>
      </w:r>
      <w:bookmarkEnd w:id="10"/>
    </w:p>
    <w:p w14:paraId="3FFFEAC7" w14:textId="73D44079" w:rsidR="00E41264" w:rsidRPr="00A91D62" w:rsidRDefault="00E41264" w:rsidP="00981FF6">
      <w:pPr>
        <w:pStyle w:val="Bulletpoint1"/>
      </w:pPr>
      <w:r w:rsidRPr="00A91D62">
        <w:t>Sector Understanding</w:t>
      </w:r>
    </w:p>
    <w:p w14:paraId="57DEB03B" w14:textId="7546DF66" w:rsidR="00E41264" w:rsidRPr="00A91D62" w:rsidRDefault="00E41264" w:rsidP="00981FF6">
      <w:pPr>
        <w:pStyle w:val="Bulletpoint1"/>
      </w:pPr>
      <w:r w:rsidRPr="00A91D62">
        <w:t>Intelligence on Emerging Risks</w:t>
      </w:r>
    </w:p>
    <w:p w14:paraId="151B9C68" w14:textId="703BE921" w:rsidR="00E41264" w:rsidRPr="00A91D62" w:rsidRDefault="00E41264" w:rsidP="00981FF6">
      <w:pPr>
        <w:pStyle w:val="Bulletpoint1"/>
      </w:pPr>
      <w:r w:rsidRPr="00A91D62">
        <w:t>Government Insights</w:t>
      </w:r>
    </w:p>
    <w:p w14:paraId="5F4BF482" w14:textId="4C771A68" w:rsidR="00E41264" w:rsidRPr="00A91D62" w:rsidRDefault="00E41264" w:rsidP="00981FF6">
      <w:pPr>
        <w:pStyle w:val="Bulletpoint1"/>
      </w:pPr>
      <w:r w:rsidRPr="00A91D62">
        <w:t>Understanding Regulatory Objectives</w:t>
      </w:r>
    </w:p>
    <w:p w14:paraId="7FEFF7F0" w14:textId="09E20B5C" w:rsidR="00E41264" w:rsidRPr="00A91D62" w:rsidRDefault="00E41264" w:rsidP="00981FF6">
      <w:pPr>
        <w:pStyle w:val="DHHSbullet1lastline"/>
      </w:pPr>
      <w:r w:rsidRPr="00A91D62">
        <w:t>Environmental Scanning</w:t>
      </w:r>
    </w:p>
    <w:p w14:paraId="26AF73F0" w14:textId="77777777" w:rsidR="00E41264" w:rsidRPr="00A91D62" w:rsidRDefault="00E41264" w:rsidP="00981FF6">
      <w:pPr>
        <w:pStyle w:val="Heading3"/>
        <w:rPr>
          <w:color w:val="auto"/>
        </w:rPr>
      </w:pPr>
      <w:bookmarkStart w:id="11" w:name="_Toc86935152"/>
      <w:r w:rsidRPr="00A91D62">
        <w:rPr>
          <w:color w:val="auto"/>
        </w:rPr>
        <w:t>Decision-making</w:t>
      </w:r>
      <w:bookmarkEnd w:id="11"/>
    </w:p>
    <w:p w14:paraId="33FF8DC3" w14:textId="3E1D3DB7" w:rsidR="00E41264" w:rsidRPr="00A91D62" w:rsidRDefault="00E41264" w:rsidP="00E41264">
      <w:pPr>
        <w:pStyle w:val="Bulletpoint1"/>
      </w:pPr>
      <w:r w:rsidRPr="00A91D62">
        <w:t>Data Analysis</w:t>
      </w:r>
    </w:p>
    <w:p w14:paraId="6DEE47EE" w14:textId="50EB90A9" w:rsidR="00E41264" w:rsidRPr="00A91D62" w:rsidRDefault="00E41264" w:rsidP="00E41264">
      <w:pPr>
        <w:pStyle w:val="Bulletpoint1"/>
      </w:pPr>
      <w:r w:rsidRPr="00A91D62">
        <w:t>Developing Strategic Responses</w:t>
      </w:r>
    </w:p>
    <w:p w14:paraId="694A6A59" w14:textId="03D53BC3" w:rsidR="00E41264" w:rsidRPr="00A91D62" w:rsidRDefault="00E41264" w:rsidP="00E41264">
      <w:pPr>
        <w:pStyle w:val="Bulletpoint1"/>
      </w:pPr>
      <w:r w:rsidRPr="00A91D62">
        <w:t>Risk Assessment</w:t>
      </w:r>
    </w:p>
    <w:p w14:paraId="66DEBFF5" w14:textId="261C86B0" w:rsidR="00E41264" w:rsidRPr="00A91D62" w:rsidRDefault="00E41264" w:rsidP="00E41264">
      <w:pPr>
        <w:pStyle w:val="DHHSbullet1lastline"/>
      </w:pPr>
      <w:r w:rsidRPr="00A91D62">
        <w:t>Resource Allocation</w:t>
      </w:r>
    </w:p>
    <w:p w14:paraId="11A9094E" w14:textId="77777777" w:rsidR="00E41264" w:rsidRPr="00A91D62" w:rsidRDefault="00E41264" w:rsidP="00981FF6">
      <w:pPr>
        <w:pStyle w:val="Heading3"/>
        <w:rPr>
          <w:color w:val="auto"/>
        </w:rPr>
      </w:pPr>
      <w:bookmarkStart w:id="12" w:name="_Toc86935153"/>
      <w:r w:rsidRPr="00A91D62">
        <w:rPr>
          <w:color w:val="auto"/>
        </w:rPr>
        <w:t>Innovation</w:t>
      </w:r>
      <w:bookmarkEnd w:id="12"/>
    </w:p>
    <w:p w14:paraId="1CD6BBC5" w14:textId="3B3D0821" w:rsidR="00E41264" w:rsidRPr="00A91D62" w:rsidRDefault="00E41264" w:rsidP="00E41264">
      <w:pPr>
        <w:pStyle w:val="Bulletpoint1"/>
      </w:pPr>
      <w:r w:rsidRPr="00A91D62">
        <w:t>Knowledge of Innovative Tools &amp; Approaches</w:t>
      </w:r>
    </w:p>
    <w:p w14:paraId="74EE4483" w14:textId="1B8AC0DE" w:rsidR="00E41264" w:rsidRPr="00A91D62" w:rsidRDefault="00E41264" w:rsidP="00E41264">
      <w:pPr>
        <w:pStyle w:val="Bulletpoint1"/>
      </w:pPr>
      <w:r w:rsidRPr="00A91D62">
        <w:t>Use of Innovative Tools &amp; Approaches</w:t>
      </w:r>
    </w:p>
    <w:p w14:paraId="546B22C0" w14:textId="1E762797" w:rsidR="00E41264" w:rsidRPr="00A91D62" w:rsidRDefault="00E41264" w:rsidP="00E41264">
      <w:pPr>
        <w:pStyle w:val="DHHSbullet1lastline"/>
      </w:pPr>
      <w:r w:rsidRPr="00A91D62">
        <w:t>Training in Best- Practice Regulation</w:t>
      </w:r>
    </w:p>
    <w:p w14:paraId="30391209" w14:textId="29545DC8" w:rsidR="00E41264" w:rsidRPr="00A91D62" w:rsidRDefault="00E41264" w:rsidP="00E41264">
      <w:pPr>
        <w:pStyle w:val="Heading2"/>
        <w:rPr>
          <w:color w:val="auto"/>
        </w:rPr>
      </w:pPr>
      <w:bookmarkStart w:id="13" w:name="_Toc86935154"/>
      <w:r w:rsidRPr="00A91D62">
        <w:rPr>
          <w:color w:val="auto"/>
        </w:rPr>
        <w:t>Technical Capabilities</w:t>
      </w:r>
      <w:bookmarkEnd w:id="13"/>
    </w:p>
    <w:p w14:paraId="77C15427" w14:textId="0EDFBAEE" w:rsidR="00E41264" w:rsidRPr="00A91D62" w:rsidRDefault="00E41264" w:rsidP="00E41264">
      <w:pPr>
        <w:pStyle w:val="DHHSbody"/>
      </w:pPr>
      <w:r w:rsidRPr="00A91D62">
        <w:t>The actions that deliver regulatory outcomes</w:t>
      </w:r>
      <w:r w:rsidR="00837361" w:rsidRPr="00A91D62">
        <w:t>:</w:t>
      </w:r>
    </w:p>
    <w:p w14:paraId="2B9031B9" w14:textId="77777777" w:rsidR="00E41264" w:rsidRPr="00A91D62" w:rsidRDefault="00E41264" w:rsidP="00981FF6">
      <w:pPr>
        <w:pStyle w:val="Heading3"/>
        <w:rPr>
          <w:color w:val="auto"/>
        </w:rPr>
      </w:pPr>
      <w:bookmarkStart w:id="14" w:name="_Toc86935155"/>
      <w:r w:rsidRPr="00A91D62">
        <w:rPr>
          <w:color w:val="auto"/>
        </w:rPr>
        <w:t>Policy</w:t>
      </w:r>
      <w:bookmarkEnd w:id="14"/>
    </w:p>
    <w:p w14:paraId="55D0631E" w14:textId="77777777" w:rsidR="00E41264" w:rsidRPr="00A91D62" w:rsidRDefault="00E41264" w:rsidP="00E41264">
      <w:pPr>
        <w:pStyle w:val="Bulletpoint1"/>
      </w:pPr>
      <w:r w:rsidRPr="00A91D62">
        <w:t>Legislative and Regulatory Reform</w:t>
      </w:r>
    </w:p>
    <w:p w14:paraId="18759D6B" w14:textId="07C4EFC1" w:rsidR="00E41264" w:rsidRPr="00A91D62" w:rsidRDefault="00E41264" w:rsidP="00E41264">
      <w:pPr>
        <w:pStyle w:val="DHHSbullet1lastline"/>
      </w:pPr>
      <w:r w:rsidRPr="00A91D62">
        <w:t>Code of Practice Development</w:t>
      </w:r>
    </w:p>
    <w:p w14:paraId="2F4469E5" w14:textId="77777777" w:rsidR="00E41264" w:rsidRPr="00A91D62" w:rsidRDefault="00E41264" w:rsidP="00981FF6">
      <w:pPr>
        <w:pStyle w:val="Heading3"/>
        <w:rPr>
          <w:color w:val="auto"/>
        </w:rPr>
      </w:pPr>
      <w:bookmarkStart w:id="15" w:name="_Toc86935156"/>
      <w:r w:rsidRPr="00A91D62">
        <w:rPr>
          <w:color w:val="auto"/>
        </w:rPr>
        <w:t>Compliance</w:t>
      </w:r>
      <w:bookmarkEnd w:id="15"/>
    </w:p>
    <w:p w14:paraId="6E9F3DD2" w14:textId="77777777" w:rsidR="00E41264" w:rsidRPr="00A91D62" w:rsidRDefault="00E41264" w:rsidP="00E41264">
      <w:pPr>
        <w:pStyle w:val="Bulletpoint1"/>
      </w:pPr>
      <w:proofErr w:type="spellStart"/>
      <w:r w:rsidRPr="00A91D62">
        <w:t>Permissioning</w:t>
      </w:r>
      <w:proofErr w:type="spellEnd"/>
    </w:p>
    <w:p w14:paraId="6E139400" w14:textId="77777777" w:rsidR="00E41264" w:rsidRPr="00A91D62" w:rsidRDefault="00E41264" w:rsidP="00E41264">
      <w:pPr>
        <w:pStyle w:val="Bulletpoint1"/>
      </w:pPr>
      <w:r w:rsidRPr="00A91D62">
        <w:t>Monitoring Compliance</w:t>
      </w:r>
    </w:p>
    <w:p w14:paraId="292E743D" w14:textId="0021C7CE" w:rsidR="00E41264" w:rsidRPr="00A91D62" w:rsidRDefault="00E41264" w:rsidP="00E41264">
      <w:pPr>
        <w:pStyle w:val="DHHSbullet1lastline"/>
      </w:pPr>
      <w:r w:rsidRPr="00A91D62">
        <w:t>Responding to Non- Compliance</w:t>
      </w:r>
    </w:p>
    <w:p w14:paraId="19AF2471" w14:textId="71CEDF2E" w:rsidR="00E41264" w:rsidRPr="00A91D62" w:rsidRDefault="00E41264" w:rsidP="00EF211D">
      <w:pPr>
        <w:pStyle w:val="Heading2"/>
        <w:spacing w:before="360"/>
        <w:rPr>
          <w:color w:val="auto"/>
          <w:sz w:val="38"/>
          <w:szCs w:val="38"/>
        </w:rPr>
      </w:pPr>
      <w:bookmarkStart w:id="16" w:name="_Toc86935157"/>
      <w:r w:rsidRPr="00A91D62">
        <w:rPr>
          <w:color w:val="auto"/>
          <w:sz w:val="38"/>
          <w:szCs w:val="38"/>
        </w:rPr>
        <w:lastRenderedPageBreak/>
        <w:t>Core Capabilities</w:t>
      </w:r>
      <w:bookmarkEnd w:id="16"/>
    </w:p>
    <w:p w14:paraId="1363BC42" w14:textId="2FE56851" w:rsidR="00E41264" w:rsidRDefault="00E41264" w:rsidP="00E41264">
      <w:pPr>
        <w:pStyle w:val="DHHSbody"/>
      </w:pPr>
      <w:r w:rsidRPr="00A91D62">
        <w:t>The capabilities that suppo</w:t>
      </w:r>
      <w:r>
        <w:t>rt the delivery of regulatory outcomes</w:t>
      </w:r>
      <w:r w:rsidR="00837361">
        <w:t>:</w:t>
      </w:r>
    </w:p>
    <w:p w14:paraId="3AFC5D62" w14:textId="77777777" w:rsidR="00E41264" w:rsidRPr="00A91D62" w:rsidRDefault="00E41264" w:rsidP="00981FF6">
      <w:pPr>
        <w:pStyle w:val="Heading3"/>
        <w:rPr>
          <w:color w:val="auto"/>
        </w:rPr>
      </w:pPr>
      <w:bookmarkStart w:id="17" w:name="_Toc86935158"/>
      <w:r w:rsidRPr="00A91D62">
        <w:rPr>
          <w:color w:val="auto"/>
        </w:rPr>
        <w:t>Outreach</w:t>
      </w:r>
      <w:bookmarkEnd w:id="17"/>
    </w:p>
    <w:p w14:paraId="7E9752E3" w14:textId="015727D4" w:rsidR="00E41264" w:rsidRPr="00A91D62" w:rsidRDefault="00E41264" w:rsidP="00E41264">
      <w:pPr>
        <w:pStyle w:val="Bulletpoint1"/>
      </w:pPr>
      <w:r w:rsidRPr="00A91D62">
        <w:t>Raising Awareness</w:t>
      </w:r>
    </w:p>
    <w:p w14:paraId="0E53C9F3" w14:textId="73F3C0AF" w:rsidR="00E41264" w:rsidRPr="00A91D62" w:rsidRDefault="00E41264" w:rsidP="00E41264">
      <w:pPr>
        <w:pStyle w:val="Bulletpoint1"/>
      </w:pPr>
      <w:r w:rsidRPr="00A91D62">
        <w:t>Education &amp; Advice to Sector</w:t>
      </w:r>
    </w:p>
    <w:p w14:paraId="3F772FF1" w14:textId="5061CB16" w:rsidR="00E41264" w:rsidRPr="00A91D62" w:rsidRDefault="00E41264" w:rsidP="00E41264">
      <w:pPr>
        <w:pStyle w:val="DHHSbullet1lastline"/>
      </w:pPr>
      <w:r w:rsidRPr="00A91D62">
        <w:t>Preparing Education and Guidance Material</w:t>
      </w:r>
    </w:p>
    <w:p w14:paraId="226F202B" w14:textId="77777777" w:rsidR="00E41264" w:rsidRPr="00A91D62" w:rsidRDefault="00E41264" w:rsidP="00981FF6">
      <w:pPr>
        <w:pStyle w:val="Heading3"/>
        <w:rPr>
          <w:color w:val="auto"/>
        </w:rPr>
      </w:pPr>
      <w:bookmarkStart w:id="18" w:name="_Toc86935159"/>
      <w:r w:rsidRPr="00A91D62">
        <w:rPr>
          <w:color w:val="auto"/>
        </w:rPr>
        <w:t>Collaboration</w:t>
      </w:r>
      <w:bookmarkEnd w:id="18"/>
    </w:p>
    <w:p w14:paraId="1C31D50F" w14:textId="052F89C8" w:rsidR="00E41264" w:rsidRPr="00A91D62" w:rsidRDefault="00E41264" w:rsidP="00E41264">
      <w:pPr>
        <w:pStyle w:val="Bulletpoint1"/>
      </w:pPr>
      <w:r w:rsidRPr="00A91D62">
        <w:t>Working with Other Regulators</w:t>
      </w:r>
    </w:p>
    <w:p w14:paraId="3EC76635" w14:textId="320D65F4" w:rsidR="00E41264" w:rsidRPr="00A91D62" w:rsidRDefault="00E41264" w:rsidP="00E41264">
      <w:pPr>
        <w:pStyle w:val="Bulletpoint1"/>
      </w:pPr>
      <w:r w:rsidRPr="00A91D62">
        <w:t>Working with Other Teams</w:t>
      </w:r>
    </w:p>
    <w:p w14:paraId="02A8DD38" w14:textId="5BCA5C07" w:rsidR="00E41264" w:rsidRPr="00A91D62" w:rsidRDefault="00E41264" w:rsidP="00E41264">
      <w:pPr>
        <w:pStyle w:val="DHHSbullet1lastline"/>
      </w:pPr>
      <w:r w:rsidRPr="00A91D62">
        <w:t>Sector/Stakeholder Engagement</w:t>
      </w:r>
    </w:p>
    <w:p w14:paraId="36B678B5" w14:textId="77777777" w:rsidR="00E41264" w:rsidRPr="00A91D62" w:rsidRDefault="00E41264" w:rsidP="00981FF6">
      <w:pPr>
        <w:pStyle w:val="Heading3"/>
        <w:rPr>
          <w:color w:val="auto"/>
        </w:rPr>
      </w:pPr>
      <w:bookmarkStart w:id="19" w:name="_Toc86935160"/>
      <w:r w:rsidRPr="00A91D62">
        <w:rPr>
          <w:color w:val="auto"/>
        </w:rPr>
        <w:t>Performance</w:t>
      </w:r>
      <w:bookmarkEnd w:id="19"/>
    </w:p>
    <w:p w14:paraId="11418B3A" w14:textId="1E112922" w:rsidR="00E41264" w:rsidRPr="00A91D62" w:rsidRDefault="00E41264" w:rsidP="00E41264">
      <w:pPr>
        <w:pStyle w:val="Bulletpoint1"/>
        <w:rPr>
          <w:rStyle w:val="SubtleEmphasis"/>
          <w:i w:val="0"/>
          <w:iCs w:val="0"/>
          <w:color w:val="auto"/>
        </w:rPr>
      </w:pPr>
      <w:r w:rsidRPr="00A91D62">
        <w:rPr>
          <w:rStyle w:val="SubtleEmphasis"/>
          <w:i w:val="0"/>
          <w:iCs w:val="0"/>
          <w:color w:val="auto"/>
        </w:rPr>
        <w:t>Monitoring &amp; Evaluation</w:t>
      </w:r>
    </w:p>
    <w:p w14:paraId="1A86F0E3" w14:textId="7626DCC8" w:rsidR="00E41264" w:rsidRPr="00A91D62" w:rsidRDefault="00E41264" w:rsidP="00E41264">
      <w:pPr>
        <w:pStyle w:val="Bulletpoint1"/>
        <w:rPr>
          <w:rStyle w:val="SubtleEmphasis"/>
          <w:i w:val="0"/>
          <w:iCs w:val="0"/>
          <w:color w:val="auto"/>
        </w:rPr>
      </w:pPr>
      <w:r w:rsidRPr="00A91D62">
        <w:rPr>
          <w:rStyle w:val="SubtleEmphasis"/>
          <w:i w:val="0"/>
          <w:iCs w:val="0"/>
          <w:color w:val="auto"/>
        </w:rPr>
        <w:t>Reporting</w:t>
      </w:r>
    </w:p>
    <w:p w14:paraId="45D3EC83" w14:textId="7496D182" w:rsidR="00E41264" w:rsidRPr="00A91D62" w:rsidRDefault="00E41264" w:rsidP="00E41264">
      <w:pPr>
        <w:pStyle w:val="Bulletpoint1"/>
        <w:rPr>
          <w:rStyle w:val="SubtleEmphasis"/>
          <w:i w:val="0"/>
          <w:iCs w:val="0"/>
          <w:color w:val="auto"/>
        </w:rPr>
      </w:pPr>
      <w:r w:rsidRPr="00A91D62">
        <w:rPr>
          <w:rStyle w:val="SubtleEmphasis"/>
          <w:i w:val="0"/>
          <w:iCs w:val="0"/>
          <w:color w:val="auto"/>
        </w:rPr>
        <w:t>Continued Improvement</w:t>
      </w:r>
    </w:p>
    <w:p w14:paraId="329D2176" w14:textId="1A4D70DA" w:rsidR="00E41264" w:rsidRPr="00A91D62" w:rsidRDefault="00E41264" w:rsidP="00E41264">
      <w:pPr>
        <w:pStyle w:val="DHHSbullet1lastline"/>
      </w:pPr>
      <w:r w:rsidRPr="00A91D62">
        <w:rPr>
          <w:rStyle w:val="SubtleEmphasis"/>
          <w:i w:val="0"/>
          <w:iCs w:val="0"/>
          <w:color w:val="auto"/>
        </w:rPr>
        <w:t>Operating</w:t>
      </w:r>
      <w:r w:rsidRPr="00A91D62">
        <w:t xml:space="preserve"> Procedures</w:t>
      </w:r>
    </w:p>
    <w:p w14:paraId="4F62B560" w14:textId="32F2812F" w:rsidR="00E41264" w:rsidRPr="00A91D62" w:rsidRDefault="00E41264" w:rsidP="00981FF6">
      <w:pPr>
        <w:pStyle w:val="Heading2"/>
        <w:pBdr>
          <w:top w:val="single" w:sz="4" w:space="9" w:color="F2F2F2" w:themeColor="background1" w:themeShade="F2"/>
          <w:left w:val="single" w:sz="4" w:space="16" w:color="F2F2F2" w:themeColor="background1" w:themeShade="F2"/>
          <w:bottom w:val="single" w:sz="4" w:space="9" w:color="F2F2F2" w:themeColor="background1" w:themeShade="F2"/>
          <w:right w:val="single" w:sz="4" w:space="16" w:color="F2F2F2" w:themeColor="background1" w:themeShade="F2"/>
        </w:pBdr>
        <w:shd w:val="clear" w:color="auto" w:fill="F2F2F2" w:themeFill="background1" w:themeFillShade="F2"/>
        <w:rPr>
          <w:color w:val="auto"/>
        </w:rPr>
      </w:pPr>
      <w:bookmarkStart w:id="20" w:name="_Toc86935161"/>
      <w:r w:rsidRPr="00A91D62">
        <w:rPr>
          <w:color w:val="auto"/>
        </w:rPr>
        <w:t xml:space="preserve">Corporate Enabling Capabilities </w:t>
      </w:r>
      <w:r w:rsidR="00981FF6" w:rsidRPr="00A91D62">
        <w:rPr>
          <w:color w:val="auto"/>
        </w:rPr>
        <w:t>(Out of scope)</w:t>
      </w:r>
      <w:bookmarkEnd w:id="20"/>
    </w:p>
    <w:p w14:paraId="628B0F0B" w14:textId="1C52B494" w:rsidR="00E41264" w:rsidRPr="00A91D62" w:rsidRDefault="00981FF6" w:rsidP="00981FF6">
      <w:pPr>
        <w:pStyle w:val="DHHSbody"/>
        <w:pBdr>
          <w:top w:val="single" w:sz="4" w:space="9" w:color="F2F2F2" w:themeColor="background1" w:themeShade="F2"/>
          <w:left w:val="single" w:sz="4" w:space="16" w:color="F2F2F2" w:themeColor="background1" w:themeShade="F2"/>
          <w:bottom w:val="single" w:sz="4" w:space="9" w:color="F2F2F2" w:themeColor="background1" w:themeShade="F2"/>
          <w:right w:val="single" w:sz="4" w:space="16" w:color="F2F2F2" w:themeColor="background1" w:themeShade="F2"/>
        </w:pBdr>
        <w:shd w:val="clear" w:color="auto" w:fill="F2F2F2" w:themeFill="background1" w:themeFillShade="F2"/>
      </w:pPr>
      <w:r w:rsidRPr="00A91D62">
        <w:t>E</w:t>
      </w:r>
      <w:r w:rsidR="00E41264" w:rsidRPr="00A91D62">
        <w:t>nable the delivery of regulatory outcomes</w:t>
      </w:r>
      <w:r w:rsidRPr="00A91D62">
        <w:t>:</w:t>
      </w:r>
    </w:p>
    <w:p w14:paraId="2BA33E14" w14:textId="27E979C7" w:rsidR="00E41264" w:rsidRPr="00A91D62" w:rsidRDefault="00E41264" w:rsidP="00981FF6">
      <w:pPr>
        <w:pStyle w:val="Bulletpoint1"/>
        <w:pBdr>
          <w:top w:val="single" w:sz="4" w:space="9" w:color="F2F2F2" w:themeColor="background1" w:themeShade="F2"/>
          <w:left w:val="single" w:sz="4" w:space="16" w:color="F2F2F2" w:themeColor="background1" w:themeShade="F2"/>
          <w:bottom w:val="single" w:sz="4" w:space="9" w:color="F2F2F2" w:themeColor="background1" w:themeShade="F2"/>
          <w:right w:val="single" w:sz="4" w:space="16" w:color="F2F2F2" w:themeColor="background1" w:themeShade="F2"/>
        </w:pBdr>
        <w:shd w:val="clear" w:color="auto" w:fill="F2F2F2" w:themeFill="background1" w:themeFillShade="F2"/>
      </w:pPr>
      <w:r w:rsidRPr="00A91D62">
        <w:t>Organisational Strategy</w:t>
      </w:r>
    </w:p>
    <w:p w14:paraId="42F195BE" w14:textId="3168900D" w:rsidR="00E41264" w:rsidRPr="00A91D62" w:rsidRDefault="00E41264" w:rsidP="00981FF6">
      <w:pPr>
        <w:pStyle w:val="Bulletpoint1"/>
        <w:pBdr>
          <w:top w:val="single" w:sz="4" w:space="9" w:color="F2F2F2" w:themeColor="background1" w:themeShade="F2"/>
          <w:left w:val="single" w:sz="4" w:space="16" w:color="F2F2F2" w:themeColor="background1" w:themeShade="F2"/>
          <w:bottom w:val="single" w:sz="4" w:space="9" w:color="F2F2F2" w:themeColor="background1" w:themeShade="F2"/>
          <w:right w:val="single" w:sz="4" w:space="16" w:color="F2F2F2" w:themeColor="background1" w:themeShade="F2"/>
        </w:pBdr>
        <w:shd w:val="clear" w:color="auto" w:fill="F2F2F2" w:themeFill="background1" w:themeFillShade="F2"/>
      </w:pPr>
      <w:r w:rsidRPr="00A91D62">
        <w:t>Leadership and Governance</w:t>
      </w:r>
      <w:r w:rsidR="00C73DA6" w:rsidRPr="00A91D62">
        <w:t xml:space="preserve"> Arrangement</w:t>
      </w:r>
    </w:p>
    <w:p w14:paraId="6E7B5765" w14:textId="208C12C6" w:rsidR="00E41264" w:rsidRPr="00A91D62" w:rsidRDefault="00E41264" w:rsidP="00981FF6">
      <w:pPr>
        <w:pStyle w:val="Bulletpoint1"/>
        <w:pBdr>
          <w:top w:val="single" w:sz="4" w:space="9" w:color="F2F2F2" w:themeColor="background1" w:themeShade="F2"/>
          <w:left w:val="single" w:sz="4" w:space="16" w:color="F2F2F2" w:themeColor="background1" w:themeShade="F2"/>
          <w:bottom w:val="single" w:sz="4" w:space="9" w:color="F2F2F2" w:themeColor="background1" w:themeShade="F2"/>
          <w:right w:val="single" w:sz="4" w:space="16" w:color="F2F2F2" w:themeColor="background1" w:themeShade="F2"/>
        </w:pBdr>
        <w:shd w:val="clear" w:color="auto" w:fill="F2F2F2" w:themeFill="background1" w:themeFillShade="F2"/>
      </w:pPr>
      <w:r w:rsidRPr="00A91D62">
        <w:t xml:space="preserve">Data and Information Management </w:t>
      </w:r>
      <w:r w:rsidR="00C73DA6" w:rsidRPr="00A91D62">
        <w:t>Systems</w:t>
      </w:r>
    </w:p>
    <w:p w14:paraId="1CEF4B03" w14:textId="73B9E354" w:rsidR="00E41264" w:rsidRPr="00A91D62" w:rsidRDefault="00E41264" w:rsidP="00981FF6">
      <w:pPr>
        <w:pStyle w:val="Bulletpoint1"/>
        <w:pBdr>
          <w:top w:val="single" w:sz="4" w:space="9" w:color="F2F2F2" w:themeColor="background1" w:themeShade="F2"/>
          <w:left w:val="single" w:sz="4" w:space="16" w:color="F2F2F2" w:themeColor="background1" w:themeShade="F2"/>
          <w:bottom w:val="single" w:sz="4" w:space="9" w:color="F2F2F2" w:themeColor="background1" w:themeShade="F2"/>
          <w:right w:val="single" w:sz="4" w:space="16" w:color="F2F2F2" w:themeColor="background1" w:themeShade="F2"/>
        </w:pBdr>
        <w:shd w:val="clear" w:color="auto" w:fill="F2F2F2" w:themeFill="background1" w:themeFillShade="F2"/>
      </w:pPr>
      <w:r w:rsidRPr="00A91D62">
        <w:t>Workforce Planning</w:t>
      </w:r>
    </w:p>
    <w:p w14:paraId="3D5303FA" w14:textId="42C22CFC" w:rsidR="00E41264" w:rsidRPr="00A91D62" w:rsidRDefault="00E41264" w:rsidP="00981FF6">
      <w:pPr>
        <w:pStyle w:val="Bulletpoint1"/>
        <w:pBdr>
          <w:top w:val="single" w:sz="4" w:space="9" w:color="F2F2F2" w:themeColor="background1" w:themeShade="F2"/>
          <w:left w:val="single" w:sz="4" w:space="16" w:color="F2F2F2" w:themeColor="background1" w:themeShade="F2"/>
          <w:bottom w:val="single" w:sz="4" w:space="9" w:color="F2F2F2" w:themeColor="background1" w:themeShade="F2"/>
          <w:right w:val="single" w:sz="4" w:space="16" w:color="F2F2F2" w:themeColor="background1" w:themeShade="F2"/>
        </w:pBdr>
        <w:shd w:val="clear" w:color="auto" w:fill="F2F2F2" w:themeFill="background1" w:themeFillShade="F2"/>
      </w:pPr>
      <w:r w:rsidRPr="00A91D62">
        <w:t>Finance</w:t>
      </w:r>
    </w:p>
    <w:p w14:paraId="2E4484B5" w14:textId="6CA8BFB7" w:rsidR="00E41264" w:rsidRPr="00A91D62" w:rsidRDefault="00E41264" w:rsidP="00981FF6">
      <w:pPr>
        <w:pStyle w:val="Bulletpoint1"/>
        <w:pBdr>
          <w:top w:val="single" w:sz="4" w:space="9" w:color="F2F2F2" w:themeColor="background1" w:themeShade="F2"/>
          <w:left w:val="single" w:sz="4" w:space="16" w:color="F2F2F2" w:themeColor="background1" w:themeShade="F2"/>
          <w:bottom w:val="single" w:sz="4" w:space="9" w:color="F2F2F2" w:themeColor="background1" w:themeShade="F2"/>
          <w:right w:val="single" w:sz="4" w:space="16" w:color="F2F2F2" w:themeColor="background1" w:themeShade="F2"/>
        </w:pBdr>
        <w:shd w:val="clear" w:color="auto" w:fill="F2F2F2" w:themeFill="background1" w:themeFillShade="F2"/>
      </w:pPr>
      <w:r w:rsidRPr="00A91D62">
        <w:t>Learning and Development</w:t>
      </w:r>
    </w:p>
    <w:p w14:paraId="20CFBCCE" w14:textId="55B477C0" w:rsidR="00E41264" w:rsidRPr="00A91D62" w:rsidRDefault="00E41264" w:rsidP="00981FF6">
      <w:pPr>
        <w:pStyle w:val="Bulletpoint1"/>
        <w:pBdr>
          <w:top w:val="single" w:sz="4" w:space="9" w:color="F2F2F2" w:themeColor="background1" w:themeShade="F2"/>
          <w:left w:val="single" w:sz="4" w:space="16" w:color="F2F2F2" w:themeColor="background1" w:themeShade="F2"/>
          <w:bottom w:val="single" w:sz="4" w:space="9" w:color="F2F2F2" w:themeColor="background1" w:themeShade="F2"/>
          <w:right w:val="single" w:sz="4" w:space="16" w:color="F2F2F2" w:themeColor="background1" w:themeShade="F2"/>
        </w:pBdr>
        <w:shd w:val="clear" w:color="auto" w:fill="F2F2F2" w:themeFill="background1" w:themeFillShade="F2"/>
      </w:pPr>
      <w:r w:rsidRPr="00A91D62">
        <w:t>Legal and Procurement</w:t>
      </w:r>
    </w:p>
    <w:p w14:paraId="17FF23A0" w14:textId="6DC54B77" w:rsidR="003E65F2" w:rsidRDefault="00E41264" w:rsidP="00981FF6">
      <w:pPr>
        <w:pStyle w:val="Bulletpoint1"/>
        <w:pBdr>
          <w:top w:val="single" w:sz="4" w:space="9" w:color="F2F2F2" w:themeColor="background1" w:themeShade="F2"/>
          <w:left w:val="single" w:sz="4" w:space="16" w:color="F2F2F2" w:themeColor="background1" w:themeShade="F2"/>
          <w:bottom w:val="single" w:sz="4" w:space="9" w:color="F2F2F2" w:themeColor="background1" w:themeShade="F2"/>
          <w:right w:val="single" w:sz="4" w:space="16" w:color="F2F2F2" w:themeColor="background1" w:themeShade="F2"/>
        </w:pBdr>
        <w:shd w:val="clear" w:color="auto" w:fill="F2F2F2" w:themeFill="background1" w:themeFillShade="F2"/>
      </w:pPr>
      <w:r w:rsidRPr="00A91D62">
        <w:t>Business Operations including HR</w:t>
      </w:r>
      <w:r w:rsidR="003E65F2">
        <w:br w:type="page"/>
      </w:r>
    </w:p>
    <w:p w14:paraId="2160317F" w14:textId="2CAC6C67" w:rsidR="003E65F2" w:rsidRPr="00A91D62" w:rsidRDefault="003E65F2" w:rsidP="00694986">
      <w:pPr>
        <w:pStyle w:val="Heading1"/>
        <w:rPr>
          <w:color w:val="auto"/>
        </w:rPr>
      </w:pPr>
      <w:bookmarkStart w:id="21" w:name="_Toc86935162"/>
      <w:r w:rsidRPr="00A91D62">
        <w:rPr>
          <w:color w:val="auto"/>
        </w:rPr>
        <w:lastRenderedPageBreak/>
        <w:t>Strategic Capabilities</w:t>
      </w:r>
      <w:bookmarkEnd w:id="21"/>
    </w:p>
    <w:p w14:paraId="69F4E305" w14:textId="4AD138A1" w:rsidR="003E65F2" w:rsidRPr="00A91D62" w:rsidRDefault="003E65F2" w:rsidP="003E65F2">
      <w:pPr>
        <w:pStyle w:val="DHHSbody"/>
      </w:pPr>
      <w:r w:rsidRPr="00A91D62">
        <w:t>The 12 Strategic Capabilities influence and drive the delivery of regulatory outcomes, including by supporting a modern regulatory approach.</w:t>
      </w:r>
    </w:p>
    <w:p w14:paraId="57764789" w14:textId="54B62027" w:rsidR="003E65F2" w:rsidRPr="00A91D62" w:rsidRDefault="00C73DA6" w:rsidP="00860DF4">
      <w:pPr>
        <w:pStyle w:val="Heading2"/>
        <w:rPr>
          <w:color w:val="auto"/>
        </w:rPr>
      </w:pPr>
      <w:bookmarkStart w:id="22" w:name="_Toc86935163"/>
      <w:r w:rsidRPr="00A91D62">
        <w:rPr>
          <w:color w:val="auto"/>
        </w:rPr>
        <w:t>Insights</w:t>
      </w:r>
      <w:bookmarkEnd w:id="22"/>
    </w:p>
    <w:tbl>
      <w:tblPr>
        <w:tblStyle w:val="TableGrid"/>
        <w:tblW w:w="0" w:type="auto"/>
        <w:tblLook w:val="04A0" w:firstRow="1" w:lastRow="0" w:firstColumn="1" w:lastColumn="0" w:noHBand="0" w:noVBand="1"/>
        <w:tblCaption w:val="Strategic Capability – Insights"/>
        <w:tblDescription w:val="This table details the assessment of Agriculture Victoria's Strategic capabilities in relation to insights that influences and drives the delivery regulatory outcomes."/>
      </w:tblPr>
      <w:tblGrid>
        <w:gridCol w:w="1604"/>
        <w:gridCol w:w="7802"/>
      </w:tblGrid>
      <w:tr w:rsidR="00C73DA6" w:rsidRPr="00C73DA6" w14:paraId="164A7AC9" w14:textId="77777777" w:rsidTr="00621803">
        <w:trPr>
          <w:tblHeader/>
        </w:trPr>
        <w:tc>
          <w:tcPr>
            <w:tcW w:w="1604" w:type="dxa"/>
            <w:shd w:val="clear" w:color="auto" w:fill="404040"/>
          </w:tcPr>
          <w:p w14:paraId="4F90ECE8" w14:textId="20DBC0C5" w:rsidR="00C73DA6" w:rsidRPr="00C73DA6" w:rsidRDefault="00694986" w:rsidP="00C73DA6">
            <w:pPr>
              <w:pStyle w:val="DHHSbody"/>
              <w:rPr>
                <w:color w:val="FFFFFF" w:themeColor="background1"/>
              </w:rPr>
            </w:pPr>
            <w:r>
              <w:rPr>
                <w:rFonts w:ascii="Arial Nova Cond" w:hAnsi="Arial Nova Cond"/>
                <w:color w:val="FFFFFF" w:themeColor="background1"/>
              </w:rPr>
              <w:t>Assessment</w:t>
            </w:r>
          </w:p>
        </w:tc>
        <w:tc>
          <w:tcPr>
            <w:tcW w:w="7802" w:type="dxa"/>
            <w:shd w:val="clear" w:color="auto" w:fill="404040"/>
          </w:tcPr>
          <w:p w14:paraId="05DD4FC9" w14:textId="5704954F" w:rsidR="00C73DA6" w:rsidRPr="00C73DA6" w:rsidRDefault="00C73DA6" w:rsidP="00C73DA6">
            <w:pPr>
              <w:pStyle w:val="DHHSbody"/>
              <w:rPr>
                <w:color w:val="FFFFFF" w:themeColor="background1"/>
              </w:rPr>
            </w:pPr>
            <w:r w:rsidRPr="00C73DA6">
              <w:rPr>
                <w:rFonts w:ascii="Arial Nova Cond" w:hAnsi="Arial Nova Cond"/>
                <w:color w:val="FFFFFF" w:themeColor="background1"/>
              </w:rPr>
              <w:t>Capability</w:t>
            </w:r>
          </w:p>
        </w:tc>
      </w:tr>
      <w:tr w:rsidR="00C73DA6" w14:paraId="05F143C4" w14:textId="77777777" w:rsidTr="00A91D62">
        <w:trPr>
          <w:tblHeader/>
        </w:trPr>
        <w:tc>
          <w:tcPr>
            <w:tcW w:w="1604" w:type="dxa"/>
            <w:shd w:val="clear" w:color="auto" w:fill="auto"/>
          </w:tcPr>
          <w:p w14:paraId="620F5156" w14:textId="64F70E3B" w:rsidR="00C73DA6" w:rsidRPr="00A91D62" w:rsidRDefault="00C73DA6" w:rsidP="00C73DA6">
            <w:pPr>
              <w:pStyle w:val="DHHSbody"/>
              <w:rPr>
                <w:rFonts w:ascii="Arial Nova Cond" w:hAnsi="Arial Nova Cond"/>
                <w:b/>
                <w:bCs/>
              </w:rPr>
            </w:pPr>
            <w:bookmarkStart w:id="23" w:name="Title_2" w:colFirst="0" w:colLast="0"/>
            <w:r w:rsidRPr="00A91D62">
              <w:rPr>
                <w:rFonts w:ascii="Arial Nova Cond" w:hAnsi="Arial Nova Cond"/>
                <w:b/>
                <w:bCs/>
              </w:rPr>
              <w:t>Relative capability strength</w:t>
            </w:r>
          </w:p>
        </w:tc>
        <w:tc>
          <w:tcPr>
            <w:tcW w:w="7802" w:type="dxa"/>
          </w:tcPr>
          <w:p w14:paraId="00B0491B" w14:textId="18C3A7FA" w:rsidR="00C73DA6" w:rsidRDefault="00C73DA6" w:rsidP="00C73DA6">
            <w:pPr>
              <w:pStyle w:val="DHHSbody"/>
            </w:pPr>
            <w:r w:rsidRPr="00C73DA6">
              <w:rPr>
                <w:b/>
                <w:bCs/>
              </w:rPr>
              <w:t>Sector Understanding:</w:t>
            </w:r>
            <w:r w:rsidRPr="00EC5453">
              <w:t xml:space="preserve"> The capability to understand the community and industry which Agriculture Victoria regulates, including the activities and concerns of the sector; to foresee relevant industry and community trends across the sector; and to translate this knowledge into insights for their work.</w:t>
            </w:r>
          </w:p>
        </w:tc>
      </w:tr>
      <w:bookmarkEnd w:id="23"/>
      <w:tr w:rsidR="00C73DA6" w14:paraId="100A75C5" w14:textId="77777777" w:rsidTr="00A91D62">
        <w:tc>
          <w:tcPr>
            <w:tcW w:w="1604" w:type="dxa"/>
            <w:shd w:val="clear" w:color="auto" w:fill="auto"/>
          </w:tcPr>
          <w:p w14:paraId="13C1571A" w14:textId="74E9DF66" w:rsidR="00C73DA6" w:rsidRPr="00A91D62" w:rsidRDefault="00C73DA6" w:rsidP="00C73DA6">
            <w:pPr>
              <w:pStyle w:val="DHHSbody"/>
              <w:rPr>
                <w:rFonts w:ascii="Arial Nova Cond" w:hAnsi="Arial Nova Cond"/>
                <w:b/>
                <w:bCs/>
              </w:rPr>
            </w:pPr>
            <w:r w:rsidRPr="00A91D62">
              <w:rPr>
                <w:rFonts w:ascii="Arial Nova Cond" w:hAnsi="Arial Nova Cond"/>
                <w:b/>
                <w:bCs/>
              </w:rPr>
              <w:t>Relative capability strength</w:t>
            </w:r>
          </w:p>
        </w:tc>
        <w:tc>
          <w:tcPr>
            <w:tcW w:w="7802" w:type="dxa"/>
          </w:tcPr>
          <w:p w14:paraId="7B373573" w14:textId="250FE57C" w:rsidR="00C73DA6" w:rsidRDefault="00C73DA6" w:rsidP="00C73DA6">
            <w:pPr>
              <w:pStyle w:val="DHHSbody"/>
            </w:pPr>
            <w:r w:rsidRPr="00C73DA6">
              <w:rPr>
                <w:b/>
                <w:bCs/>
              </w:rPr>
              <w:t>Government Insights:</w:t>
            </w:r>
            <w:r w:rsidRPr="00EC5453">
              <w:t xml:space="preserve"> The capability to understand and work with government and its agenda, operations, expectations, </w:t>
            </w:r>
            <w:proofErr w:type="gramStart"/>
            <w:r w:rsidRPr="00EC5453">
              <w:t>drivers</w:t>
            </w:r>
            <w:proofErr w:type="gramEnd"/>
            <w:r w:rsidRPr="00EC5453">
              <w:t xml:space="preserve"> and pressures, and understand the impact on Agriculture Victoria.</w:t>
            </w:r>
          </w:p>
        </w:tc>
      </w:tr>
      <w:tr w:rsidR="00C73DA6" w14:paraId="5D07379B" w14:textId="77777777" w:rsidTr="00A91D62">
        <w:tc>
          <w:tcPr>
            <w:tcW w:w="1604" w:type="dxa"/>
            <w:shd w:val="clear" w:color="auto" w:fill="auto"/>
          </w:tcPr>
          <w:p w14:paraId="7C54CF52" w14:textId="6F1BB141" w:rsidR="00C73DA6" w:rsidRPr="00A91D62" w:rsidRDefault="00C73DA6" w:rsidP="00C73DA6">
            <w:pPr>
              <w:pStyle w:val="DHHSbody"/>
              <w:rPr>
                <w:rFonts w:ascii="Arial Nova Cond" w:hAnsi="Arial Nova Cond"/>
                <w:b/>
                <w:bCs/>
              </w:rPr>
            </w:pPr>
            <w:r w:rsidRPr="00A91D62">
              <w:rPr>
                <w:rFonts w:ascii="Arial Nova Cond" w:hAnsi="Arial Nova Cond"/>
                <w:b/>
                <w:bCs/>
              </w:rPr>
              <w:t>Capability benefiting from some improvement</w:t>
            </w:r>
          </w:p>
        </w:tc>
        <w:tc>
          <w:tcPr>
            <w:tcW w:w="7802" w:type="dxa"/>
          </w:tcPr>
          <w:p w14:paraId="5CA264F0" w14:textId="6DE37A58" w:rsidR="00C73DA6" w:rsidRDefault="00C73DA6" w:rsidP="00C73DA6">
            <w:pPr>
              <w:pStyle w:val="DHHSbody"/>
            </w:pPr>
            <w:r w:rsidRPr="00C73DA6">
              <w:rPr>
                <w:b/>
                <w:bCs/>
              </w:rPr>
              <w:t>Understanding of Regulatory Objectives:</w:t>
            </w:r>
            <w:r w:rsidRPr="00EC5453">
              <w:t xml:space="preserve"> The capability of staff to understand the purpose of Agriculture Victoria as a regulator and their contribution to better outcomes.</w:t>
            </w:r>
          </w:p>
        </w:tc>
      </w:tr>
      <w:tr w:rsidR="00C73DA6" w14:paraId="46F11F19" w14:textId="77777777" w:rsidTr="00A91D62">
        <w:tc>
          <w:tcPr>
            <w:tcW w:w="1604" w:type="dxa"/>
            <w:shd w:val="clear" w:color="auto" w:fill="auto"/>
          </w:tcPr>
          <w:p w14:paraId="78ED2F24" w14:textId="0497C379" w:rsidR="00C73DA6" w:rsidRPr="00A91D62" w:rsidRDefault="00C73DA6" w:rsidP="00C73DA6">
            <w:pPr>
              <w:pStyle w:val="DHHSbody"/>
              <w:rPr>
                <w:rFonts w:ascii="Arial Nova Cond" w:hAnsi="Arial Nova Cond"/>
                <w:b/>
                <w:bCs/>
              </w:rPr>
            </w:pPr>
            <w:r w:rsidRPr="00A91D62">
              <w:rPr>
                <w:rFonts w:ascii="Arial Nova Cond" w:hAnsi="Arial Nova Cond"/>
                <w:b/>
                <w:bCs/>
              </w:rPr>
              <w:t>Capability needing moderate improvement</w:t>
            </w:r>
          </w:p>
        </w:tc>
        <w:tc>
          <w:tcPr>
            <w:tcW w:w="7802" w:type="dxa"/>
          </w:tcPr>
          <w:p w14:paraId="3E365F41" w14:textId="4AD979EE" w:rsidR="00C73DA6" w:rsidRDefault="00C73DA6" w:rsidP="00C73DA6">
            <w:pPr>
              <w:pStyle w:val="DHHSbody"/>
            </w:pPr>
            <w:r w:rsidRPr="00C73DA6">
              <w:rPr>
                <w:b/>
                <w:bCs/>
              </w:rPr>
              <w:t>Intelligence on Emerging Risks:</w:t>
            </w:r>
            <w:r w:rsidRPr="00EC5453">
              <w:t xml:space="preserve"> The capability to broadly understand the sector risk environment and foresee and plan for any emerging risks and trends that should be addressed.</w:t>
            </w:r>
          </w:p>
        </w:tc>
      </w:tr>
      <w:tr w:rsidR="00C73DA6" w14:paraId="1FA4CC71" w14:textId="77777777" w:rsidTr="00A91D62">
        <w:tc>
          <w:tcPr>
            <w:tcW w:w="1604" w:type="dxa"/>
            <w:shd w:val="clear" w:color="auto" w:fill="auto"/>
          </w:tcPr>
          <w:p w14:paraId="2B42DDCC" w14:textId="4D32ABAF" w:rsidR="00C73DA6" w:rsidRPr="00A91D62" w:rsidRDefault="00C73DA6" w:rsidP="00C73DA6">
            <w:pPr>
              <w:pStyle w:val="DHHSbody"/>
              <w:rPr>
                <w:rFonts w:ascii="Arial Nova Cond" w:hAnsi="Arial Nova Cond"/>
                <w:b/>
                <w:bCs/>
              </w:rPr>
            </w:pPr>
            <w:r w:rsidRPr="00A91D62">
              <w:rPr>
                <w:rFonts w:ascii="Arial Nova Cond" w:hAnsi="Arial Nova Cond"/>
                <w:b/>
                <w:bCs/>
              </w:rPr>
              <w:t>Capability needing moderate improvement</w:t>
            </w:r>
          </w:p>
        </w:tc>
        <w:tc>
          <w:tcPr>
            <w:tcW w:w="7802" w:type="dxa"/>
          </w:tcPr>
          <w:p w14:paraId="3F439B2C" w14:textId="142771F6" w:rsidR="00C73DA6" w:rsidRDefault="00C73DA6" w:rsidP="00C73DA6">
            <w:pPr>
              <w:pStyle w:val="DHHSbody"/>
            </w:pPr>
            <w:r w:rsidRPr="00C73DA6">
              <w:rPr>
                <w:b/>
                <w:bCs/>
              </w:rPr>
              <w:t>Environmental Scanning:</w:t>
            </w:r>
            <w:r w:rsidRPr="00EC5453">
              <w:t xml:space="preserve"> The capability to collect and analyse information from environmental scanning and surveillance, identifying events that may have an impact on Agriculture Victoria’s activities and regulatory outcomes.</w:t>
            </w:r>
          </w:p>
        </w:tc>
      </w:tr>
    </w:tbl>
    <w:p w14:paraId="14121CBB" w14:textId="77777777" w:rsidR="00F46B86" w:rsidRDefault="00F46B86">
      <w:pPr>
        <w:rPr>
          <w:rFonts w:ascii="Arial Nova Cond" w:hAnsi="Arial Nova Cond"/>
          <w:bCs/>
          <w:color w:val="0091DA"/>
          <w:sz w:val="36"/>
          <w:szCs w:val="36"/>
        </w:rPr>
      </w:pPr>
      <w:r>
        <w:rPr>
          <w:color w:val="0091DA"/>
        </w:rPr>
        <w:br w:type="page"/>
      </w:r>
    </w:p>
    <w:p w14:paraId="2D5FB898" w14:textId="17B19E49" w:rsidR="00C73DA6" w:rsidRPr="00ED5F7F" w:rsidRDefault="00C73DA6" w:rsidP="00860DF4">
      <w:pPr>
        <w:pStyle w:val="Heading2"/>
        <w:rPr>
          <w:color w:val="auto"/>
        </w:rPr>
      </w:pPr>
      <w:bookmarkStart w:id="24" w:name="_Toc86935164"/>
      <w:r w:rsidRPr="00ED5F7F">
        <w:rPr>
          <w:color w:val="auto"/>
        </w:rPr>
        <w:lastRenderedPageBreak/>
        <w:t>Decision making</w:t>
      </w:r>
      <w:bookmarkEnd w:id="24"/>
    </w:p>
    <w:tbl>
      <w:tblPr>
        <w:tblStyle w:val="TableGrid"/>
        <w:tblW w:w="0" w:type="auto"/>
        <w:tblLook w:val="04A0" w:firstRow="1" w:lastRow="0" w:firstColumn="1" w:lastColumn="0" w:noHBand="0" w:noVBand="1"/>
        <w:tblCaption w:val="Strategic Capability – Decision Making"/>
        <w:tblDescription w:val="This table details the assessment of Agriculture Victoria's Strategic capabilities in relation to decision making that influences and drives the delivery regulatory outcomes."/>
      </w:tblPr>
      <w:tblGrid>
        <w:gridCol w:w="1560"/>
        <w:gridCol w:w="7846"/>
      </w:tblGrid>
      <w:tr w:rsidR="00C73DA6" w:rsidRPr="00C73DA6" w14:paraId="1338645D" w14:textId="77777777" w:rsidTr="00621803">
        <w:trPr>
          <w:tblHeader/>
        </w:trPr>
        <w:tc>
          <w:tcPr>
            <w:tcW w:w="1560" w:type="dxa"/>
            <w:shd w:val="clear" w:color="auto" w:fill="404040"/>
          </w:tcPr>
          <w:p w14:paraId="648A8392" w14:textId="3227C36D" w:rsidR="00C73DA6" w:rsidRPr="00C73DA6" w:rsidRDefault="00694986" w:rsidP="00EF211D">
            <w:pPr>
              <w:pStyle w:val="DHHSbody"/>
              <w:rPr>
                <w:color w:val="FFFFFF" w:themeColor="background1"/>
              </w:rPr>
            </w:pPr>
            <w:r>
              <w:rPr>
                <w:rFonts w:ascii="Arial Nova Cond" w:hAnsi="Arial Nova Cond"/>
                <w:color w:val="FFFFFF" w:themeColor="background1"/>
              </w:rPr>
              <w:t>Assessment</w:t>
            </w:r>
          </w:p>
        </w:tc>
        <w:tc>
          <w:tcPr>
            <w:tcW w:w="7846" w:type="dxa"/>
            <w:shd w:val="clear" w:color="auto" w:fill="404040"/>
          </w:tcPr>
          <w:p w14:paraId="30E66EE0" w14:textId="77777777" w:rsidR="00C73DA6" w:rsidRPr="00C73DA6" w:rsidRDefault="00C73DA6" w:rsidP="00EF211D">
            <w:pPr>
              <w:pStyle w:val="DHHSbody"/>
              <w:rPr>
                <w:color w:val="FFFFFF" w:themeColor="background1"/>
              </w:rPr>
            </w:pPr>
            <w:r w:rsidRPr="00C73DA6">
              <w:rPr>
                <w:rFonts w:ascii="Arial Nova Cond" w:hAnsi="Arial Nova Cond"/>
                <w:color w:val="FFFFFF" w:themeColor="background1"/>
              </w:rPr>
              <w:t>Capability</w:t>
            </w:r>
          </w:p>
        </w:tc>
      </w:tr>
      <w:tr w:rsidR="00C73DA6" w14:paraId="70CB79DE" w14:textId="77777777" w:rsidTr="00A91D62">
        <w:tc>
          <w:tcPr>
            <w:tcW w:w="1560" w:type="dxa"/>
            <w:shd w:val="clear" w:color="auto" w:fill="auto"/>
          </w:tcPr>
          <w:p w14:paraId="4A5E47FB" w14:textId="77777777" w:rsidR="00C73DA6" w:rsidRPr="00A91D62" w:rsidRDefault="00C73DA6" w:rsidP="00EF211D">
            <w:pPr>
              <w:pStyle w:val="DHHSbody"/>
              <w:rPr>
                <w:rFonts w:ascii="Arial Nova Cond" w:hAnsi="Arial Nova Cond"/>
                <w:b/>
                <w:bCs/>
              </w:rPr>
            </w:pPr>
            <w:r w:rsidRPr="00A91D62">
              <w:rPr>
                <w:rFonts w:ascii="Arial Nova Cond" w:hAnsi="Arial Nova Cond"/>
                <w:b/>
                <w:bCs/>
              </w:rPr>
              <w:t>Capability needing moderate improvement</w:t>
            </w:r>
          </w:p>
        </w:tc>
        <w:tc>
          <w:tcPr>
            <w:tcW w:w="7846" w:type="dxa"/>
          </w:tcPr>
          <w:p w14:paraId="1DFC3D61" w14:textId="36C7928B" w:rsidR="00C73DA6" w:rsidRDefault="00C73DA6" w:rsidP="00EF211D">
            <w:pPr>
              <w:pStyle w:val="DHHSbody"/>
            </w:pPr>
            <w:r w:rsidRPr="00C73DA6">
              <w:rPr>
                <w:b/>
                <w:bCs/>
              </w:rPr>
              <w:t xml:space="preserve">Risk Assessment: </w:t>
            </w:r>
            <w:r w:rsidRPr="00C73DA6">
              <w:t xml:space="preserve">The capacity to undertake a science-based assessment of risk exposure to people and the environment from a range of hazards, including analysis of causes, risks, </w:t>
            </w:r>
            <w:proofErr w:type="gramStart"/>
            <w:r w:rsidRPr="00C73DA6">
              <w:t>impact</w:t>
            </w:r>
            <w:proofErr w:type="gramEnd"/>
            <w:r w:rsidRPr="00C73DA6">
              <w:t xml:space="preserve"> and the effectiveness of mitigants and controls in place to reduce risk</w:t>
            </w:r>
            <w:r w:rsidR="00837361">
              <w:t>.</w:t>
            </w:r>
          </w:p>
        </w:tc>
      </w:tr>
      <w:tr w:rsidR="00C73DA6" w14:paraId="3EC2F076" w14:textId="77777777" w:rsidTr="00A91D62">
        <w:trPr>
          <w:tblHeader/>
        </w:trPr>
        <w:tc>
          <w:tcPr>
            <w:tcW w:w="1560" w:type="dxa"/>
            <w:shd w:val="clear" w:color="auto" w:fill="auto"/>
          </w:tcPr>
          <w:p w14:paraId="347D99D7" w14:textId="7764D837" w:rsidR="00C73DA6" w:rsidRPr="00A91D62" w:rsidRDefault="00C73DA6" w:rsidP="00C73DA6">
            <w:pPr>
              <w:pStyle w:val="DHHSbody"/>
              <w:rPr>
                <w:b/>
                <w:bCs/>
              </w:rPr>
            </w:pPr>
            <w:bookmarkStart w:id="25" w:name="Title_3" w:colFirst="0" w:colLast="0"/>
            <w:r w:rsidRPr="00A91D62">
              <w:rPr>
                <w:rFonts w:ascii="Arial Nova Cond" w:hAnsi="Arial Nova Cond"/>
                <w:b/>
                <w:bCs/>
              </w:rPr>
              <w:t>Capability needing significant improvement</w:t>
            </w:r>
          </w:p>
        </w:tc>
        <w:tc>
          <w:tcPr>
            <w:tcW w:w="7846" w:type="dxa"/>
          </w:tcPr>
          <w:p w14:paraId="51838CF2" w14:textId="3A0F2E93" w:rsidR="00C73DA6" w:rsidRDefault="00C73DA6" w:rsidP="00C73DA6">
            <w:pPr>
              <w:pStyle w:val="DHHSbody"/>
            </w:pPr>
            <w:r w:rsidRPr="00C73DA6">
              <w:rPr>
                <w:b/>
                <w:bCs/>
              </w:rPr>
              <w:t>Resource Allocation:</w:t>
            </w:r>
            <w:r w:rsidRPr="00205C3E">
              <w:t xml:space="preserve"> The capability to strategically decide how resources are allocated across the organisation to meet strategic priorities and, when appropriate, respond to incidents.</w:t>
            </w:r>
          </w:p>
        </w:tc>
      </w:tr>
      <w:bookmarkEnd w:id="25"/>
      <w:tr w:rsidR="00C73DA6" w14:paraId="270228F1" w14:textId="77777777" w:rsidTr="00A91D62">
        <w:tc>
          <w:tcPr>
            <w:tcW w:w="1560" w:type="dxa"/>
            <w:shd w:val="clear" w:color="auto" w:fill="auto"/>
          </w:tcPr>
          <w:p w14:paraId="4AB68A82" w14:textId="648310B1" w:rsidR="00C73DA6" w:rsidRPr="00A91D62" w:rsidRDefault="00C73DA6" w:rsidP="00C73DA6">
            <w:pPr>
              <w:pStyle w:val="DHHSbody"/>
              <w:rPr>
                <w:b/>
                <w:bCs/>
              </w:rPr>
            </w:pPr>
            <w:r w:rsidRPr="00A91D62">
              <w:rPr>
                <w:rFonts w:ascii="Arial Nova Cond" w:hAnsi="Arial Nova Cond"/>
                <w:b/>
                <w:bCs/>
              </w:rPr>
              <w:t>Capability needing significant improvement</w:t>
            </w:r>
          </w:p>
        </w:tc>
        <w:tc>
          <w:tcPr>
            <w:tcW w:w="7846" w:type="dxa"/>
          </w:tcPr>
          <w:p w14:paraId="57EC8048" w14:textId="48C41392" w:rsidR="00C73DA6" w:rsidRDefault="00C73DA6" w:rsidP="00C73DA6">
            <w:pPr>
              <w:pStyle w:val="DHHSbody"/>
            </w:pPr>
            <w:r w:rsidRPr="00C73DA6">
              <w:rPr>
                <w:b/>
                <w:bCs/>
              </w:rPr>
              <w:t>Development of Strategic Responses:</w:t>
            </w:r>
            <w:r w:rsidRPr="00205C3E">
              <w:t xml:space="preserve"> The capability to develop strategic approaches to manage identified risks and leverage opportunities.</w:t>
            </w:r>
          </w:p>
        </w:tc>
      </w:tr>
      <w:tr w:rsidR="00C73DA6" w14:paraId="3E30D4F7" w14:textId="77777777" w:rsidTr="00A91D62">
        <w:tc>
          <w:tcPr>
            <w:tcW w:w="1560" w:type="dxa"/>
            <w:shd w:val="clear" w:color="auto" w:fill="auto"/>
          </w:tcPr>
          <w:p w14:paraId="18E976C7" w14:textId="19AA96B7" w:rsidR="00C73DA6" w:rsidRPr="00A91D62" w:rsidRDefault="00C73DA6" w:rsidP="00C73DA6">
            <w:pPr>
              <w:pStyle w:val="DHHSbody"/>
              <w:rPr>
                <w:b/>
                <w:bCs/>
              </w:rPr>
            </w:pPr>
            <w:r w:rsidRPr="00A91D62">
              <w:rPr>
                <w:rFonts w:ascii="Arial Nova Cond" w:hAnsi="Arial Nova Cond"/>
                <w:b/>
                <w:bCs/>
              </w:rPr>
              <w:t>Capability needing significant improvement</w:t>
            </w:r>
          </w:p>
        </w:tc>
        <w:tc>
          <w:tcPr>
            <w:tcW w:w="7846" w:type="dxa"/>
          </w:tcPr>
          <w:p w14:paraId="4F7E5FDF" w14:textId="252FA64D" w:rsidR="00C73DA6" w:rsidRDefault="00C73DA6" w:rsidP="00C73DA6">
            <w:pPr>
              <w:pStyle w:val="DHHSbody"/>
            </w:pPr>
            <w:r w:rsidRPr="00C73DA6">
              <w:rPr>
                <w:b/>
                <w:bCs/>
              </w:rPr>
              <w:t>Data Analysis:</w:t>
            </w:r>
            <w:r w:rsidRPr="00205C3E">
              <w:t xml:space="preserve"> The capability to translate large and complex sets of data into insights that can build knowledge and inform decision making.</w:t>
            </w:r>
          </w:p>
        </w:tc>
      </w:tr>
    </w:tbl>
    <w:p w14:paraId="0E5BAFA4" w14:textId="13C1E364" w:rsidR="00C73DA6" w:rsidRPr="00A91D62" w:rsidRDefault="00C73DA6" w:rsidP="00860DF4">
      <w:pPr>
        <w:pStyle w:val="Heading2"/>
        <w:rPr>
          <w:color w:val="auto"/>
        </w:rPr>
      </w:pPr>
      <w:bookmarkStart w:id="26" w:name="_Toc86935165"/>
      <w:r w:rsidRPr="00A91D62">
        <w:rPr>
          <w:color w:val="auto"/>
        </w:rPr>
        <w:t>Innovation</w:t>
      </w:r>
      <w:bookmarkEnd w:id="26"/>
    </w:p>
    <w:tbl>
      <w:tblPr>
        <w:tblStyle w:val="TableGrid"/>
        <w:tblW w:w="0" w:type="auto"/>
        <w:tblLook w:val="04A0" w:firstRow="1" w:lastRow="0" w:firstColumn="1" w:lastColumn="0" w:noHBand="0" w:noVBand="1"/>
        <w:tblCaption w:val="Strategic Capability – Innovation "/>
        <w:tblDescription w:val="This table details the assessment of Agriculture Victoria's Strategic capabilities in relation to innovation that influences and drives the delivery regulatory outcomes."/>
      </w:tblPr>
      <w:tblGrid>
        <w:gridCol w:w="1560"/>
        <w:gridCol w:w="7846"/>
      </w:tblGrid>
      <w:tr w:rsidR="00C73DA6" w14:paraId="13104910" w14:textId="77777777" w:rsidTr="00621803">
        <w:trPr>
          <w:tblHeader/>
        </w:trPr>
        <w:tc>
          <w:tcPr>
            <w:tcW w:w="1560" w:type="dxa"/>
            <w:shd w:val="clear" w:color="auto" w:fill="404040"/>
          </w:tcPr>
          <w:p w14:paraId="4A985BBF" w14:textId="00FAFE38" w:rsidR="00C73DA6" w:rsidRDefault="00694986" w:rsidP="00C73DA6">
            <w:pPr>
              <w:pStyle w:val="DHHSbody"/>
            </w:pPr>
            <w:bookmarkStart w:id="27" w:name="Title_4" w:colFirst="0" w:colLast="0"/>
            <w:r>
              <w:rPr>
                <w:rFonts w:ascii="Arial Nova Cond" w:hAnsi="Arial Nova Cond"/>
                <w:color w:val="FFFFFF" w:themeColor="background1"/>
              </w:rPr>
              <w:t>Assessment</w:t>
            </w:r>
          </w:p>
        </w:tc>
        <w:tc>
          <w:tcPr>
            <w:tcW w:w="7846" w:type="dxa"/>
            <w:shd w:val="clear" w:color="auto" w:fill="404040"/>
          </w:tcPr>
          <w:p w14:paraId="52048933" w14:textId="08E5223D" w:rsidR="00C73DA6" w:rsidRDefault="00C73DA6" w:rsidP="00C73DA6">
            <w:pPr>
              <w:pStyle w:val="DHHSbody"/>
            </w:pPr>
            <w:r w:rsidRPr="00C73DA6">
              <w:rPr>
                <w:rFonts w:ascii="Arial Nova Cond" w:hAnsi="Arial Nova Cond"/>
                <w:color w:val="FFFFFF" w:themeColor="background1"/>
              </w:rPr>
              <w:t>Capability</w:t>
            </w:r>
          </w:p>
        </w:tc>
      </w:tr>
      <w:bookmarkEnd w:id="27"/>
      <w:tr w:rsidR="00C73DA6" w14:paraId="5341CBEC" w14:textId="77777777" w:rsidTr="00A91D62">
        <w:tc>
          <w:tcPr>
            <w:tcW w:w="1560" w:type="dxa"/>
            <w:shd w:val="clear" w:color="auto" w:fill="auto"/>
          </w:tcPr>
          <w:p w14:paraId="72CFB4FD" w14:textId="3658B9F0" w:rsidR="00C73DA6" w:rsidRPr="00A91D62" w:rsidRDefault="00C73DA6" w:rsidP="00C73DA6">
            <w:pPr>
              <w:pStyle w:val="DHHSbody"/>
              <w:rPr>
                <w:b/>
                <w:bCs/>
              </w:rPr>
            </w:pPr>
            <w:r w:rsidRPr="00A91D62">
              <w:rPr>
                <w:rFonts w:ascii="Arial Nova Cond" w:hAnsi="Arial Nova Cond"/>
                <w:b/>
                <w:bCs/>
              </w:rPr>
              <w:t>Capability benefiting from some improvement</w:t>
            </w:r>
          </w:p>
        </w:tc>
        <w:tc>
          <w:tcPr>
            <w:tcW w:w="7846" w:type="dxa"/>
          </w:tcPr>
          <w:p w14:paraId="255F475F" w14:textId="0AB0AB94" w:rsidR="00C73DA6" w:rsidRDefault="00C73DA6" w:rsidP="00C73DA6">
            <w:pPr>
              <w:pStyle w:val="DHHSbody"/>
            </w:pPr>
            <w:r w:rsidRPr="00C73DA6">
              <w:rPr>
                <w:b/>
                <w:bCs/>
              </w:rPr>
              <w:t>Knowledge of Innovative Tools and Approaches:</w:t>
            </w:r>
            <w:r w:rsidRPr="002B24F9">
              <w:t xml:space="preserve"> The capability to identify and understand innovative regulatory tools and approaches that enable better regulatory outcomes.</w:t>
            </w:r>
          </w:p>
        </w:tc>
      </w:tr>
      <w:tr w:rsidR="00C73DA6" w14:paraId="3471585E" w14:textId="77777777" w:rsidTr="00A91D62">
        <w:tc>
          <w:tcPr>
            <w:tcW w:w="1560" w:type="dxa"/>
            <w:shd w:val="clear" w:color="auto" w:fill="auto"/>
          </w:tcPr>
          <w:p w14:paraId="1E38F05B" w14:textId="6EE88262" w:rsidR="00C73DA6" w:rsidRPr="00A91D62" w:rsidRDefault="00C73DA6" w:rsidP="00C73DA6">
            <w:pPr>
              <w:pStyle w:val="DHHSbody"/>
              <w:rPr>
                <w:b/>
                <w:bCs/>
              </w:rPr>
            </w:pPr>
            <w:r w:rsidRPr="00A91D62">
              <w:rPr>
                <w:rFonts w:ascii="Arial Nova Cond" w:hAnsi="Arial Nova Cond"/>
                <w:b/>
                <w:bCs/>
              </w:rPr>
              <w:t>Capability needing moderate improvement</w:t>
            </w:r>
          </w:p>
        </w:tc>
        <w:tc>
          <w:tcPr>
            <w:tcW w:w="7846" w:type="dxa"/>
          </w:tcPr>
          <w:p w14:paraId="0969A1D0" w14:textId="0EA99ED7" w:rsidR="00C73DA6" w:rsidRDefault="00C73DA6" w:rsidP="00C73DA6">
            <w:pPr>
              <w:pStyle w:val="DHHSbody"/>
            </w:pPr>
            <w:r w:rsidRPr="00C73DA6">
              <w:rPr>
                <w:b/>
                <w:bCs/>
              </w:rPr>
              <w:t>Training in Best Practice Regulation:</w:t>
            </w:r>
            <w:r w:rsidRPr="002B24F9">
              <w:t xml:space="preserve"> The capability to develop, deliver and facilitate relevant training to staff on best-practice regulatory activities and reinforce learnings.</w:t>
            </w:r>
          </w:p>
        </w:tc>
      </w:tr>
      <w:tr w:rsidR="00C73DA6" w14:paraId="1EEE7DDD" w14:textId="77777777" w:rsidTr="00A91D62">
        <w:tc>
          <w:tcPr>
            <w:tcW w:w="1560" w:type="dxa"/>
            <w:shd w:val="clear" w:color="auto" w:fill="auto"/>
          </w:tcPr>
          <w:p w14:paraId="7B57E3A3" w14:textId="624C97EA" w:rsidR="00C73DA6" w:rsidRPr="00A91D62" w:rsidRDefault="00C73DA6" w:rsidP="00C73DA6">
            <w:pPr>
              <w:pStyle w:val="DHHSbody"/>
              <w:rPr>
                <w:b/>
                <w:bCs/>
              </w:rPr>
            </w:pPr>
            <w:r w:rsidRPr="00A91D62">
              <w:rPr>
                <w:rFonts w:ascii="Arial Nova Cond" w:hAnsi="Arial Nova Cond"/>
                <w:b/>
                <w:bCs/>
              </w:rPr>
              <w:t>Capability needing significant improvement</w:t>
            </w:r>
          </w:p>
        </w:tc>
        <w:tc>
          <w:tcPr>
            <w:tcW w:w="7846" w:type="dxa"/>
          </w:tcPr>
          <w:p w14:paraId="75C4EE14" w14:textId="79E170B2" w:rsidR="00C73DA6" w:rsidRDefault="00C73DA6" w:rsidP="00C73DA6">
            <w:pPr>
              <w:pStyle w:val="DHHSbody"/>
            </w:pPr>
            <w:r w:rsidRPr="00C73DA6">
              <w:rPr>
                <w:b/>
                <w:bCs/>
              </w:rPr>
              <w:t xml:space="preserve">Use of Innovative Tools and Approaches: </w:t>
            </w:r>
            <w:r w:rsidRPr="00C73DA6">
              <w:t>The capability to implement innovative tools and approaches to enable better regulatory outcomes.</w:t>
            </w:r>
          </w:p>
        </w:tc>
      </w:tr>
    </w:tbl>
    <w:p w14:paraId="5D8E35C6" w14:textId="4990D506" w:rsidR="00900353" w:rsidRDefault="00900353">
      <w:pPr>
        <w:rPr>
          <w:rFonts w:ascii="Arial" w:eastAsia="Times" w:hAnsi="Arial" w:cs="Arial"/>
          <w:sz w:val="24"/>
          <w:szCs w:val="24"/>
        </w:rPr>
      </w:pPr>
      <w:r>
        <w:br w:type="page"/>
      </w:r>
    </w:p>
    <w:p w14:paraId="350E973A" w14:textId="18F9F60A" w:rsidR="003E65F2" w:rsidRPr="00A91D62" w:rsidRDefault="003E65F2" w:rsidP="00694986">
      <w:pPr>
        <w:pStyle w:val="Heading1"/>
        <w:rPr>
          <w:color w:val="auto"/>
        </w:rPr>
      </w:pPr>
      <w:bookmarkStart w:id="28" w:name="_Toc86935166"/>
      <w:r w:rsidRPr="00A91D62">
        <w:rPr>
          <w:color w:val="auto"/>
        </w:rPr>
        <w:lastRenderedPageBreak/>
        <w:t>Technical Capabilities</w:t>
      </w:r>
      <w:bookmarkEnd w:id="28"/>
    </w:p>
    <w:p w14:paraId="39D7C209" w14:textId="77777777" w:rsidR="003E65F2" w:rsidRPr="00A91D62" w:rsidRDefault="003E65F2" w:rsidP="00C73DA6">
      <w:pPr>
        <w:pStyle w:val="DHHSbody"/>
      </w:pPr>
      <w:r w:rsidRPr="00A91D62">
        <w:t>The 5 Technical Capabilities related to actions that deliver regulatory outcomes.</w:t>
      </w:r>
    </w:p>
    <w:p w14:paraId="253BA0BF" w14:textId="2778CCC2" w:rsidR="003E65F2" w:rsidRPr="00A91D62" w:rsidRDefault="00604BE0" w:rsidP="00860DF4">
      <w:pPr>
        <w:pStyle w:val="Heading2"/>
        <w:rPr>
          <w:color w:val="auto"/>
        </w:rPr>
      </w:pPr>
      <w:bookmarkStart w:id="29" w:name="_Toc86935167"/>
      <w:r w:rsidRPr="00A91D62">
        <w:rPr>
          <w:color w:val="auto"/>
        </w:rPr>
        <w:t>Policy</w:t>
      </w:r>
      <w:bookmarkEnd w:id="29"/>
    </w:p>
    <w:tbl>
      <w:tblPr>
        <w:tblStyle w:val="TableGrid"/>
        <w:tblW w:w="0" w:type="auto"/>
        <w:tblLook w:val="04A0" w:firstRow="1" w:lastRow="0" w:firstColumn="1" w:lastColumn="0" w:noHBand="0" w:noVBand="1"/>
        <w:tblCaption w:val="Technical Capability – Policy "/>
        <w:tblDescription w:val="This table details the assessment of Agriculture Victoria's Technical capabilities in relation to policy that relates to actions that deliver regulatory outcomes."/>
      </w:tblPr>
      <w:tblGrid>
        <w:gridCol w:w="1560"/>
        <w:gridCol w:w="7846"/>
      </w:tblGrid>
      <w:tr w:rsidR="00604BE0" w14:paraId="529926A7" w14:textId="77777777" w:rsidTr="00621803">
        <w:trPr>
          <w:tblHeader/>
        </w:trPr>
        <w:tc>
          <w:tcPr>
            <w:tcW w:w="1560" w:type="dxa"/>
            <w:shd w:val="clear" w:color="auto" w:fill="404040"/>
          </w:tcPr>
          <w:p w14:paraId="2CE53A63" w14:textId="28A8E986" w:rsidR="00604BE0" w:rsidRDefault="00694986" w:rsidP="00EF211D">
            <w:pPr>
              <w:pStyle w:val="DHHSbody"/>
            </w:pPr>
            <w:r>
              <w:rPr>
                <w:rFonts w:ascii="Arial Nova Cond" w:hAnsi="Arial Nova Cond"/>
                <w:color w:val="FFFFFF" w:themeColor="background1"/>
              </w:rPr>
              <w:t>Assessment</w:t>
            </w:r>
          </w:p>
        </w:tc>
        <w:tc>
          <w:tcPr>
            <w:tcW w:w="7846" w:type="dxa"/>
            <w:shd w:val="clear" w:color="auto" w:fill="404040"/>
          </w:tcPr>
          <w:p w14:paraId="70FDC5C6" w14:textId="77777777" w:rsidR="00604BE0" w:rsidRDefault="00604BE0" w:rsidP="00EF211D">
            <w:pPr>
              <w:pStyle w:val="DHHSbody"/>
            </w:pPr>
            <w:r w:rsidRPr="00C73DA6">
              <w:rPr>
                <w:rFonts w:ascii="Arial Nova Cond" w:hAnsi="Arial Nova Cond"/>
                <w:color w:val="FFFFFF" w:themeColor="background1"/>
              </w:rPr>
              <w:t>Capability</w:t>
            </w:r>
          </w:p>
        </w:tc>
      </w:tr>
      <w:tr w:rsidR="00604BE0" w14:paraId="36CC6A53" w14:textId="77777777" w:rsidTr="00A91D62">
        <w:tc>
          <w:tcPr>
            <w:tcW w:w="1560" w:type="dxa"/>
            <w:shd w:val="clear" w:color="auto" w:fill="auto"/>
          </w:tcPr>
          <w:p w14:paraId="586CB9E5" w14:textId="77777777" w:rsidR="00604BE0" w:rsidRPr="00A91D62" w:rsidRDefault="00604BE0" w:rsidP="00604BE0">
            <w:pPr>
              <w:pStyle w:val="DHHSbody"/>
              <w:rPr>
                <w:b/>
                <w:bCs/>
              </w:rPr>
            </w:pPr>
            <w:r w:rsidRPr="00A91D62">
              <w:rPr>
                <w:rFonts w:ascii="Arial Nova Cond" w:hAnsi="Arial Nova Cond"/>
                <w:b/>
                <w:bCs/>
              </w:rPr>
              <w:t>Capability benefiting from some improvement</w:t>
            </w:r>
          </w:p>
        </w:tc>
        <w:tc>
          <w:tcPr>
            <w:tcW w:w="7846" w:type="dxa"/>
          </w:tcPr>
          <w:p w14:paraId="5E246F3D" w14:textId="68B3D570" w:rsidR="00604BE0" w:rsidRDefault="00604BE0" w:rsidP="00604BE0">
            <w:pPr>
              <w:pStyle w:val="DHHSbody"/>
            </w:pPr>
            <w:r w:rsidRPr="00604BE0">
              <w:rPr>
                <w:b/>
                <w:bCs/>
              </w:rPr>
              <w:t>Code of Practice Development</w:t>
            </w:r>
            <w:r w:rsidRPr="001554BA">
              <w:t xml:space="preserve">: The capability to develop and implement a clear, comprehensive and responsive code of practice that guides day-to-day regulatory activities across Agriculture </w:t>
            </w:r>
            <w:proofErr w:type="gramStart"/>
            <w:r w:rsidRPr="001554BA">
              <w:t>Victoria, and</w:t>
            </w:r>
            <w:proofErr w:type="gramEnd"/>
            <w:r w:rsidRPr="001554BA">
              <w:t xml:space="preserve"> is aligned to delivering regulatory outcomes.</w:t>
            </w:r>
          </w:p>
        </w:tc>
      </w:tr>
      <w:tr w:rsidR="00604BE0" w14:paraId="2534B523" w14:textId="77777777" w:rsidTr="00A91D62">
        <w:tc>
          <w:tcPr>
            <w:tcW w:w="1560" w:type="dxa"/>
            <w:shd w:val="clear" w:color="auto" w:fill="auto"/>
          </w:tcPr>
          <w:p w14:paraId="5B17D2F5" w14:textId="77777777" w:rsidR="00604BE0" w:rsidRPr="00A91D62" w:rsidRDefault="00604BE0" w:rsidP="00604BE0">
            <w:pPr>
              <w:pStyle w:val="DHHSbody"/>
              <w:rPr>
                <w:b/>
                <w:bCs/>
              </w:rPr>
            </w:pPr>
            <w:r w:rsidRPr="00A91D62">
              <w:rPr>
                <w:rFonts w:ascii="Arial Nova Cond" w:hAnsi="Arial Nova Cond"/>
                <w:b/>
                <w:bCs/>
              </w:rPr>
              <w:t>Capability needing moderate improvement</w:t>
            </w:r>
          </w:p>
        </w:tc>
        <w:tc>
          <w:tcPr>
            <w:tcW w:w="7846" w:type="dxa"/>
          </w:tcPr>
          <w:p w14:paraId="3C04F4EB" w14:textId="430499F1" w:rsidR="00604BE0" w:rsidRDefault="00604BE0" w:rsidP="00604BE0">
            <w:pPr>
              <w:pStyle w:val="DHHSbody"/>
            </w:pPr>
            <w:r w:rsidRPr="00604BE0">
              <w:rPr>
                <w:b/>
                <w:bCs/>
              </w:rPr>
              <w:t>Legislative and Regulatory Reform</w:t>
            </w:r>
            <w:r w:rsidRPr="001554BA">
              <w:t>: The capability to understand the legislative environment and respond to legislative changes that impact Agriculture Victoria’s regulatory activities.</w:t>
            </w:r>
          </w:p>
        </w:tc>
      </w:tr>
    </w:tbl>
    <w:p w14:paraId="3E11A506" w14:textId="638ED961" w:rsidR="00604BE0" w:rsidRPr="00A91D62" w:rsidRDefault="00604BE0" w:rsidP="00860DF4">
      <w:pPr>
        <w:pStyle w:val="Heading2"/>
        <w:rPr>
          <w:color w:val="auto"/>
        </w:rPr>
      </w:pPr>
      <w:bookmarkStart w:id="30" w:name="_Hlk82591379"/>
      <w:bookmarkStart w:id="31" w:name="_Toc86935168"/>
      <w:r w:rsidRPr="00A91D62">
        <w:rPr>
          <w:color w:val="auto"/>
        </w:rPr>
        <w:t>Compliance</w:t>
      </w:r>
      <w:bookmarkEnd w:id="31"/>
    </w:p>
    <w:tbl>
      <w:tblPr>
        <w:tblStyle w:val="TableGrid"/>
        <w:tblW w:w="0" w:type="auto"/>
        <w:tblLook w:val="04A0" w:firstRow="1" w:lastRow="0" w:firstColumn="1" w:lastColumn="0" w:noHBand="0" w:noVBand="1"/>
        <w:tblCaption w:val="Technical Capability – Compliance "/>
        <w:tblDescription w:val="This table details the assessment of Agriculture Victoria's Technical capabilities in relation to compliance that relates to actions that deliver regulatory outcomes."/>
      </w:tblPr>
      <w:tblGrid>
        <w:gridCol w:w="1560"/>
        <w:gridCol w:w="7846"/>
      </w:tblGrid>
      <w:tr w:rsidR="00604BE0" w14:paraId="40A74CC2" w14:textId="77777777" w:rsidTr="00621803">
        <w:trPr>
          <w:tblHeader/>
        </w:trPr>
        <w:tc>
          <w:tcPr>
            <w:tcW w:w="1560" w:type="dxa"/>
            <w:shd w:val="clear" w:color="auto" w:fill="404040"/>
          </w:tcPr>
          <w:bookmarkEnd w:id="30"/>
          <w:p w14:paraId="532DDA5D" w14:textId="4DDECBB7" w:rsidR="00604BE0" w:rsidRDefault="00694986" w:rsidP="00EF211D">
            <w:pPr>
              <w:pStyle w:val="DHHSbody"/>
            </w:pPr>
            <w:r>
              <w:rPr>
                <w:rFonts w:ascii="Arial Nova Cond" w:hAnsi="Arial Nova Cond"/>
                <w:color w:val="FFFFFF" w:themeColor="background1"/>
              </w:rPr>
              <w:t>Assessment</w:t>
            </w:r>
          </w:p>
        </w:tc>
        <w:tc>
          <w:tcPr>
            <w:tcW w:w="7846" w:type="dxa"/>
            <w:shd w:val="clear" w:color="auto" w:fill="404040"/>
          </w:tcPr>
          <w:p w14:paraId="211F164D" w14:textId="77777777" w:rsidR="00604BE0" w:rsidRDefault="00604BE0" w:rsidP="00EF211D">
            <w:pPr>
              <w:pStyle w:val="DHHSbody"/>
            </w:pPr>
            <w:r w:rsidRPr="00C73DA6">
              <w:rPr>
                <w:rFonts w:ascii="Arial Nova Cond" w:hAnsi="Arial Nova Cond"/>
                <w:color w:val="FFFFFF" w:themeColor="background1"/>
              </w:rPr>
              <w:t>Capability</w:t>
            </w:r>
          </w:p>
        </w:tc>
      </w:tr>
      <w:tr w:rsidR="00604BE0" w14:paraId="1D889BB0" w14:textId="77777777" w:rsidTr="00A91D62">
        <w:tc>
          <w:tcPr>
            <w:tcW w:w="1560" w:type="dxa"/>
            <w:shd w:val="clear" w:color="auto" w:fill="auto"/>
          </w:tcPr>
          <w:p w14:paraId="6D387E93" w14:textId="77777777" w:rsidR="00604BE0" w:rsidRPr="00A91D62" w:rsidRDefault="00604BE0" w:rsidP="00604BE0">
            <w:pPr>
              <w:pStyle w:val="DHHSbody"/>
              <w:rPr>
                <w:b/>
                <w:bCs/>
              </w:rPr>
            </w:pPr>
            <w:r w:rsidRPr="00A91D62">
              <w:rPr>
                <w:rFonts w:ascii="Arial Nova Cond" w:hAnsi="Arial Nova Cond"/>
                <w:b/>
                <w:bCs/>
              </w:rPr>
              <w:t>Capability benefiting from some improvement</w:t>
            </w:r>
          </w:p>
        </w:tc>
        <w:tc>
          <w:tcPr>
            <w:tcW w:w="7846" w:type="dxa"/>
          </w:tcPr>
          <w:p w14:paraId="2B5CADE9" w14:textId="50CC4228" w:rsidR="00604BE0" w:rsidRDefault="00604BE0" w:rsidP="00604BE0">
            <w:pPr>
              <w:pStyle w:val="DHHSbody"/>
            </w:pPr>
            <w:r w:rsidRPr="00604BE0">
              <w:rPr>
                <w:b/>
                <w:bCs/>
              </w:rPr>
              <w:t>Responding to Non-Compliance</w:t>
            </w:r>
            <w:r w:rsidRPr="003D150D">
              <w:t>: The capability to respond to sector non-compliance with legislated requirements, including education through to enforcement action.</w:t>
            </w:r>
          </w:p>
        </w:tc>
      </w:tr>
      <w:tr w:rsidR="00604BE0" w14:paraId="72EDAA27" w14:textId="77777777" w:rsidTr="00A91D62">
        <w:tc>
          <w:tcPr>
            <w:tcW w:w="1560" w:type="dxa"/>
            <w:shd w:val="clear" w:color="auto" w:fill="auto"/>
          </w:tcPr>
          <w:p w14:paraId="1CC972D3" w14:textId="77777777" w:rsidR="00604BE0" w:rsidRPr="00A91D62" w:rsidRDefault="00604BE0" w:rsidP="00604BE0">
            <w:pPr>
              <w:pStyle w:val="DHHSbody"/>
              <w:rPr>
                <w:b/>
                <w:bCs/>
              </w:rPr>
            </w:pPr>
            <w:r w:rsidRPr="00A91D62">
              <w:rPr>
                <w:rFonts w:ascii="Arial Nova Cond" w:hAnsi="Arial Nova Cond"/>
                <w:b/>
                <w:bCs/>
              </w:rPr>
              <w:t>Capability needing moderate improvement</w:t>
            </w:r>
          </w:p>
        </w:tc>
        <w:tc>
          <w:tcPr>
            <w:tcW w:w="7846" w:type="dxa"/>
          </w:tcPr>
          <w:p w14:paraId="7746D1DB" w14:textId="37F23A20" w:rsidR="00604BE0" w:rsidRDefault="00604BE0" w:rsidP="00604BE0">
            <w:pPr>
              <w:pStyle w:val="DHHSbody"/>
            </w:pPr>
            <w:proofErr w:type="spellStart"/>
            <w:r w:rsidRPr="00604BE0">
              <w:rPr>
                <w:b/>
                <w:bCs/>
              </w:rPr>
              <w:t>Permissioning</w:t>
            </w:r>
            <w:proofErr w:type="spellEnd"/>
            <w:r w:rsidRPr="003D150D">
              <w:t>: The capability to effectively use statutory regulatory tools that give sector permission to operate, such as issuing licenses, permits and approvals, with the overall aim of preventing harm.</w:t>
            </w:r>
          </w:p>
        </w:tc>
      </w:tr>
      <w:tr w:rsidR="00604BE0" w14:paraId="259C0585" w14:textId="77777777" w:rsidTr="00A91D62">
        <w:tc>
          <w:tcPr>
            <w:tcW w:w="1560" w:type="dxa"/>
            <w:shd w:val="clear" w:color="auto" w:fill="auto"/>
          </w:tcPr>
          <w:p w14:paraId="22A59414" w14:textId="77777777" w:rsidR="00604BE0" w:rsidRPr="00A91D62" w:rsidRDefault="00604BE0" w:rsidP="00604BE0">
            <w:pPr>
              <w:pStyle w:val="DHHSbody"/>
              <w:rPr>
                <w:b/>
                <w:bCs/>
              </w:rPr>
            </w:pPr>
            <w:r w:rsidRPr="00A91D62">
              <w:rPr>
                <w:rFonts w:ascii="Arial Nova Cond" w:hAnsi="Arial Nova Cond"/>
                <w:b/>
                <w:bCs/>
              </w:rPr>
              <w:t>Capability needing significant improvement</w:t>
            </w:r>
          </w:p>
        </w:tc>
        <w:tc>
          <w:tcPr>
            <w:tcW w:w="7846" w:type="dxa"/>
          </w:tcPr>
          <w:p w14:paraId="452E8B1F" w14:textId="14B9DC6B" w:rsidR="00604BE0" w:rsidRDefault="00604BE0" w:rsidP="00604BE0">
            <w:pPr>
              <w:pStyle w:val="DHHSbody"/>
            </w:pPr>
            <w:r w:rsidRPr="00604BE0">
              <w:rPr>
                <w:b/>
                <w:bCs/>
              </w:rPr>
              <w:t>Monitoring Compliance</w:t>
            </w:r>
            <w:r w:rsidRPr="003D150D">
              <w:t xml:space="preserve">: The capability to </w:t>
            </w:r>
            <w:proofErr w:type="gramStart"/>
            <w:r w:rsidRPr="003D150D">
              <w:t>comprehensively and effectively monitor regulatory compliance</w:t>
            </w:r>
            <w:proofErr w:type="gramEnd"/>
            <w:r w:rsidRPr="003D150D">
              <w:t xml:space="preserve"> and proactively detect non-compliance.</w:t>
            </w:r>
          </w:p>
        </w:tc>
      </w:tr>
    </w:tbl>
    <w:p w14:paraId="4F00F5D5" w14:textId="77777777" w:rsidR="003E65F2" w:rsidRDefault="003E65F2">
      <w:pPr>
        <w:rPr>
          <w:rFonts w:ascii="Arial" w:eastAsia="Times" w:hAnsi="Arial" w:cs="Arial"/>
          <w:sz w:val="24"/>
          <w:szCs w:val="24"/>
        </w:rPr>
      </w:pPr>
      <w:r>
        <w:br w:type="page"/>
      </w:r>
    </w:p>
    <w:p w14:paraId="63A0E6C3" w14:textId="401DFDA2" w:rsidR="00900353" w:rsidRPr="00A91D62" w:rsidRDefault="00900353" w:rsidP="00694986">
      <w:pPr>
        <w:pStyle w:val="Heading1"/>
        <w:rPr>
          <w:color w:val="auto"/>
        </w:rPr>
      </w:pPr>
      <w:bookmarkStart w:id="32" w:name="_Toc86935169"/>
      <w:r w:rsidRPr="00A91D62">
        <w:rPr>
          <w:color w:val="auto"/>
        </w:rPr>
        <w:lastRenderedPageBreak/>
        <w:t>Core Capabilities</w:t>
      </w:r>
      <w:bookmarkEnd w:id="32"/>
    </w:p>
    <w:p w14:paraId="3C94941A" w14:textId="4B98574C" w:rsidR="00900353" w:rsidRPr="00A91D62" w:rsidRDefault="00900353" w:rsidP="00900353">
      <w:pPr>
        <w:pStyle w:val="DHHSbody"/>
      </w:pPr>
      <w:r w:rsidRPr="00A91D62">
        <w:t>The 10 Core Capabilities support the delivery of regulatory outcomes.</w:t>
      </w:r>
    </w:p>
    <w:p w14:paraId="2E59E141" w14:textId="4CCDE9F5" w:rsidR="003E65F2" w:rsidRPr="00A91D62" w:rsidRDefault="00604BE0" w:rsidP="00860DF4">
      <w:pPr>
        <w:pStyle w:val="Heading2"/>
        <w:rPr>
          <w:color w:val="auto"/>
        </w:rPr>
      </w:pPr>
      <w:bookmarkStart w:id="33" w:name="_Toc86935170"/>
      <w:r w:rsidRPr="00A91D62">
        <w:rPr>
          <w:color w:val="auto"/>
        </w:rPr>
        <w:t>Outreach</w:t>
      </w:r>
      <w:bookmarkEnd w:id="33"/>
    </w:p>
    <w:tbl>
      <w:tblPr>
        <w:tblStyle w:val="TableGrid"/>
        <w:tblW w:w="0" w:type="auto"/>
        <w:tblLook w:val="04A0" w:firstRow="1" w:lastRow="0" w:firstColumn="1" w:lastColumn="0" w:noHBand="0" w:noVBand="1"/>
        <w:tblCaption w:val="Core Capability – Outreach "/>
        <w:tblDescription w:val="This table details the assessment of Agriculture Victoria's Core capabilities in relation to outreach that supports the delivery of regulatory outcomes."/>
      </w:tblPr>
      <w:tblGrid>
        <w:gridCol w:w="1604"/>
        <w:gridCol w:w="7802"/>
      </w:tblGrid>
      <w:tr w:rsidR="00604BE0" w:rsidRPr="00C73DA6" w14:paraId="20B58C1B" w14:textId="77777777" w:rsidTr="00621803">
        <w:trPr>
          <w:tblHeader/>
        </w:trPr>
        <w:tc>
          <w:tcPr>
            <w:tcW w:w="1604" w:type="dxa"/>
            <w:shd w:val="clear" w:color="auto" w:fill="404040"/>
          </w:tcPr>
          <w:p w14:paraId="415AA4BB" w14:textId="0ACACB5B" w:rsidR="00604BE0" w:rsidRPr="00C73DA6" w:rsidRDefault="00694986" w:rsidP="00EF211D">
            <w:pPr>
              <w:pStyle w:val="DHHSbody"/>
              <w:rPr>
                <w:color w:val="FFFFFF" w:themeColor="background1"/>
              </w:rPr>
            </w:pPr>
            <w:r>
              <w:rPr>
                <w:rFonts w:ascii="Arial Nova Cond" w:hAnsi="Arial Nova Cond"/>
                <w:color w:val="FFFFFF" w:themeColor="background1"/>
              </w:rPr>
              <w:t>Assessment</w:t>
            </w:r>
          </w:p>
        </w:tc>
        <w:tc>
          <w:tcPr>
            <w:tcW w:w="7802" w:type="dxa"/>
            <w:shd w:val="clear" w:color="auto" w:fill="404040"/>
          </w:tcPr>
          <w:p w14:paraId="4D6E6F6D" w14:textId="77777777" w:rsidR="00604BE0" w:rsidRPr="00C73DA6" w:rsidRDefault="00604BE0" w:rsidP="00EF211D">
            <w:pPr>
              <w:pStyle w:val="DHHSbody"/>
              <w:rPr>
                <w:color w:val="FFFFFF" w:themeColor="background1"/>
              </w:rPr>
            </w:pPr>
            <w:r w:rsidRPr="00C73DA6">
              <w:rPr>
                <w:rFonts w:ascii="Arial Nova Cond" w:hAnsi="Arial Nova Cond"/>
                <w:color w:val="FFFFFF" w:themeColor="background1"/>
              </w:rPr>
              <w:t>Capability</w:t>
            </w:r>
          </w:p>
        </w:tc>
      </w:tr>
      <w:tr w:rsidR="00604BE0" w14:paraId="3364B218" w14:textId="77777777" w:rsidTr="00A91D62">
        <w:trPr>
          <w:tblHeader/>
        </w:trPr>
        <w:tc>
          <w:tcPr>
            <w:tcW w:w="1604" w:type="dxa"/>
            <w:shd w:val="clear" w:color="auto" w:fill="auto"/>
          </w:tcPr>
          <w:p w14:paraId="6FCCA3AC" w14:textId="77777777" w:rsidR="00604BE0" w:rsidRPr="00A91D62" w:rsidRDefault="00604BE0" w:rsidP="00604BE0">
            <w:pPr>
              <w:pStyle w:val="DHHSbody"/>
              <w:rPr>
                <w:rFonts w:ascii="Arial Nova Cond" w:hAnsi="Arial Nova Cond"/>
                <w:b/>
                <w:bCs/>
              </w:rPr>
            </w:pPr>
            <w:r w:rsidRPr="00A91D62">
              <w:rPr>
                <w:rFonts w:ascii="Arial Nova Cond" w:hAnsi="Arial Nova Cond"/>
                <w:b/>
                <w:bCs/>
              </w:rPr>
              <w:t>Relative capability strength</w:t>
            </w:r>
          </w:p>
        </w:tc>
        <w:tc>
          <w:tcPr>
            <w:tcW w:w="7802" w:type="dxa"/>
          </w:tcPr>
          <w:p w14:paraId="18B002B6" w14:textId="5A0DE907" w:rsidR="00604BE0" w:rsidRDefault="00604BE0" w:rsidP="00604BE0">
            <w:pPr>
              <w:pStyle w:val="DHHSbody"/>
            </w:pPr>
            <w:r w:rsidRPr="00604BE0">
              <w:rPr>
                <w:b/>
                <w:bCs/>
              </w:rPr>
              <w:t>Education and Advice to Sector</w:t>
            </w:r>
            <w:r w:rsidRPr="0088613B">
              <w:t>: The capability to prepare and provide specific advice in response to enquiries from the sector that increases knowledge and promotes compliance.</w:t>
            </w:r>
          </w:p>
        </w:tc>
      </w:tr>
      <w:tr w:rsidR="00604BE0" w14:paraId="52ED0F00" w14:textId="77777777" w:rsidTr="00A91D62">
        <w:tc>
          <w:tcPr>
            <w:tcW w:w="1604" w:type="dxa"/>
            <w:shd w:val="clear" w:color="auto" w:fill="auto"/>
          </w:tcPr>
          <w:p w14:paraId="143C426A" w14:textId="77777777" w:rsidR="00604BE0" w:rsidRPr="00A91D62" w:rsidRDefault="00604BE0" w:rsidP="00604BE0">
            <w:pPr>
              <w:pStyle w:val="DHHSbody"/>
              <w:rPr>
                <w:rFonts w:ascii="Arial Nova Cond" w:hAnsi="Arial Nova Cond"/>
                <w:b/>
                <w:bCs/>
              </w:rPr>
            </w:pPr>
            <w:r w:rsidRPr="00A91D62">
              <w:rPr>
                <w:rFonts w:ascii="Arial Nova Cond" w:hAnsi="Arial Nova Cond"/>
                <w:b/>
                <w:bCs/>
              </w:rPr>
              <w:t>Capability benefiting from some improvement</w:t>
            </w:r>
          </w:p>
        </w:tc>
        <w:tc>
          <w:tcPr>
            <w:tcW w:w="7802" w:type="dxa"/>
          </w:tcPr>
          <w:p w14:paraId="66CC9E98" w14:textId="514B3F94" w:rsidR="00604BE0" w:rsidRDefault="00604BE0" w:rsidP="00604BE0">
            <w:pPr>
              <w:pStyle w:val="DHHSbody"/>
            </w:pPr>
            <w:r w:rsidRPr="00604BE0">
              <w:rPr>
                <w:b/>
                <w:bCs/>
              </w:rPr>
              <w:t>Preparing Education and Guidance Material</w:t>
            </w:r>
            <w:r w:rsidRPr="0088613B">
              <w:t>: The capability to develop education and guidance materials that promote understanding of best practice and the benefits of compliance to the sector.</w:t>
            </w:r>
          </w:p>
        </w:tc>
      </w:tr>
      <w:tr w:rsidR="00604BE0" w14:paraId="05484C77" w14:textId="77777777" w:rsidTr="00A91D62">
        <w:tc>
          <w:tcPr>
            <w:tcW w:w="1604" w:type="dxa"/>
            <w:shd w:val="clear" w:color="auto" w:fill="auto"/>
          </w:tcPr>
          <w:p w14:paraId="6B654E69" w14:textId="031B79BE" w:rsidR="00604BE0" w:rsidRPr="00A91D62" w:rsidRDefault="00604BE0" w:rsidP="00604BE0">
            <w:pPr>
              <w:pStyle w:val="DHHSbody"/>
              <w:rPr>
                <w:rFonts w:ascii="Arial Nova Cond" w:hAnsi="Arial Nova Cond"/>
                <w:b/>
                <w:bCs/>
              </w:rPr>
            </w:pPr>
            <w:r w:rsidRPr="00A91D62">
              <w:rPr>
                <w:rFonts w:ascii="Arial Nova Cond" w:hAnsi="Arial Nova Cond"/>
                <w:b/>
                <w:bCs/>
              </w:rPr>
              <w:t>Capability needing significant improvement</w:t>
            </w:r>
          </w:p>
        </w:tc>
        <w:tc>
          <w:tcPr>
            <w:tcW w:w="7802" w:type="dxa"/>
          </w:tcPr>
          <w:p w14:paraId="287E0310" w14:textId="106A40D9" w:rsidR="00604BE0" w:rsidRDefault="00604BE0" w:rsidP="00604BE0">
            <w:pPr>
              <w:pStyle w:val="DHHSbody"/>
            </w:pPr>
            <w:r w:rsidRPr="00604BE0">
              <w:rPr>
                <w:b/>
                <w:bCs/>
              </w:rPr>
              <w:t>Raising Awareness</w:t>
            </w:r>
            <w:r w:rsidRPr="0088613B">
              <w:t>: The capability to raise awareness of potential risks and the benefits of compliance in the sector and community, through sharing accurate and relevant information in a timely manner.</w:t>
            </w:r>
          </w:p>
        </w:tc>
      </w:tr>
    </w:tbl>
    <w:p w14:paraId="694C7041" w14:textId="03E5D2A0" w:rsidR="003E65F2" w:rsidRPr="00A91D62" w:rsidRDefault="00604BE0" w:rsidP="00860DF4">
      <w:pPr>
        <w:pStyle w:val="Heading2"/>
        <w:rPr>
          <w:color w:val="auto"/>
        </w:rPr>
      </w:pPr>
      <w:bookmarkStart w:id="34" w:name="_Toc86935171"/>
      <w:r w:rsidRPr="00A91D62">
        <w:rPr>
          <w:color w:val="auto"/>
        </w:rPr>
        <w:t>Collaboration</w:t>
      </w:r>
      <w:bookmarkEnd w:id="34"/>
    </w:p>
    <w:tbl>
      <w:tblPr>
        <w:tblStyle w:val="TableGrid"/>
        <w:tblW w:w="0" w:type="auto"/>
        <w:tblLook w:val="04A0" w:firstRow="1" w:lastRow="0" w:firstColumn="1" w:lastColumn="0" w:noHBand="0" w:noVBand="1"/>
        <w:tblCaption w:val="Core Capability - Collaboration"/>
        <w:tblDescription w:val="This table details the assessment of Agriculture Victoria's Core capabilities in relation to collaboration that supports the delivery of regulatory outcomes."/>
      </w:tblPr>
      <w:tblGrid>
        <w:gridCol w:w="1604"/>
        <w:gridCol w:w="7802"/>
      </w:tblGrid>
      <w:tr w:rsidR="00604BE0" w:rsidRPr="00C73DA6" w14:paraId="75CBF08C" w14:textId="77777777" w:rsidTr="00EF211D">
        <w:trPr>
          <w:tblHeader/>
        </w:trPr>
        <w:tc>
          <w:tcPr>
            <w:tcW w:w="1604" w:type="dxa"/>
            <w:shd w:val="clear" w:color="auto" w:fill="404040" w:themeFill="text1" w:themeFillTint="BF"/>
          </w:tcPr>
          <w:p w14:paraId="7F397116" w14:textId="056359DB" w:rsidR="00604BE0" w:rsidRPr="00C73DA6" w:rsidRDefault="00694986" w:rsidP="00EF211D">
            <w:pPr>
              <w:pStyle w:val="DHHSbody"/>
              <w:rPr>
                <w:color w:val="FFFFFF" w:themeColor="background1"/>
              </w:rPr>
            </w:pPr>
            <w:r>
              <w:rPr>
                <w:rFonts w:ascii="Arial Nova Cond" w:hAnsi="Arial Nova Cond"/>
                <w:color w:val="FFFFFF" w:themeColor="background1"/>
              </w:rPr>
              <w:t>Assessment</w:t>
            </w:r>
          </w:p>
        </w:tc>
        <w:tc>
          <w:tcPr>
            <w:tcW w:w="7802" w:type="dxa"/>
            <w:shd w:val="clear" w:color="auto" w:fill="404040" w:themeFill="text1" w:themeFillTint="BF"/>
          </w:tcPr>
          <w:p w14:paraId="59B45273" w14:textId="77777777" w:rsidR="00604BE0" w:rsidRPr="00C73DA6" w:rsidRDefault="00604BE0" w:rsidP="00EF211D">
            <w:pPr>
              <w:pStyle w:val="DHHSbody"/>
              <w:rPr>
                <w:color w:val="FFFFFF" w:themeColor="background1"/>
              </w:rPr>
            </w:pPr>
            <w:r w:rsidRPr="00C73DA6">
              <w:rPr>
                <w:rFonts w:ascii="Arial Nova Cond" w:hAnsi="Arial Nova Cond"/>
                <w:color w:val="FFFFFF" w:themeColor="background1"/>
              </w:rPr>
              <w:t>Capability</w:t>
            </w:r>
          </w:p>
        </w:tc>
      </w:tr>
      <w:tr w:rsidR="00604BE0" w14:paraId="0A74D784" w14:textId="77777777" w:rsidTr="00A91D62">
        <w:trPr>
          <w:tblHeader/>
        </w:trPr>
        <w:tc>
          <w:tcPr>
            <w:tcW w:w="1604" w:type="dxa"/>
            <w:shd w:val="clear" w:color="auto" w:fill="auto"/>
          </w:tcPr>
          <w:p w14:paraId="2BD824D8" w14:textId="77777777" w:rsidR="00604BE0" w:rsidRPr="00A91D62" w:rsidRDefault="00604BE0" w:rsidP="00604BE0">
            <w:pPr>
              <w:pStyle w:val="DHHSbody"/>
              <w:rPr>
                <w:rFonts w:ascii="Arial Nova Cond" w:hAnsi="Arial Nova Cond"/>
                <w:b/>
                <w:bCs/>
              </w:rPr>
            </w:pPr>
            <w:r w:rsidRPr="00A91D62">
              <w:rPr>
                <w:rFonts w:ascii="Arial Nova Cond" w:hAnsi="Arial Nova Cond"/>
                <w:b/>
                <w:bCs/>
              </w:rPr>
              <w:t>Relative capability strength</w:t>
            </w:r>
          </w:p>
        </w:tc>
        <w:tc>
          <w:tcPr>
            <w:tcW w:w="7802" w:type="dxa"/>
          </w:tcPr>
          <w:p w14:paraId="1E0A4139" w14:textId="7E7652CE" w:rsidR="00604BE0" w:rsidRDefault="00604BE0" w:rsidP="00604BE0">
            <w:pPr>
              <w:pStyle w:val="DHHSbody"/>
            </w:pPr>
            <w:r w:rsidRPr="00604BE0">
              <w:rPr>
                <w:b/>
                <w:bCs/>
              </w:rPr>
              <w:t>Working with Other Regulators</w:t>
            </w:r>
            <w:r w:rsidRPr="004C62C6">
              <w:t>: The capability to effectively collaborate with and gain insights from other regulators who interact with Agriculture Victoria’s responsibilities.</w:t>
            </w:r>
          </w:p>
        </w:tc>
      </w:tr>
      <w:tr w:rsidR="00604BE0" w14:paraId="67C4D844" w14:textId="77777777" w:rsidTr="00A91D62">
        <w:tc>
          <w:tcPr>
            <w:tcW w:w="1604" w:type="dxa"/>
            <w:shd w:val="clear" w:color="auto" w:fill="auto"/>
          </w:tcPr>
          <w:p w14:paraId="4E81EFFD" w14:textId="77777777" w:rsidR="00604BE0" w:rsidRPr="00A91D62" w:rsidRDefault="00604BE0" w:rsidP="00604BE0">
            <w:pPr>
              <w:pStyle w:val="DHHSbody"/>
              <w:rPr>
                <w:rFonts w:ascii="Arial Nova Cond" w:hAnsi="Arial Nova Cond"/>
                <w:b/>
                <w:bCs/>
              </w:rPr>
            </w:pPr>
            <w:r w:rsidRPr="00A91D62">
              <w:rPr>
                <w:rFonts w:ascii="Arial Nova Cond" w:hAnsi="Arial Nova Cond"/>
                <w:b/>
                <w:bCs/>
              </w:rPr>
              <w:t>Capability benefiting from some improvement</w:t>
            </w:r>
          </w:p>
        </w:tc>
        <w:tc>
          <w:tcPr>
            <w:tcW w:w="7802" w:type="dxa"/>
          </w:tcPr>
          <w:p w14:paraId="69E09519" w14:textId="51F8A5D3" w:rsidR="00604BE0" w:rsidRDefault="00604BE0" w:rsidP="00604BE0">
            <w:pPr>
              <w:pStyle w:val="DHHSbody"/>
            </w:pPr>
            <w:r w:rsidRPr="00604BE0">
              <w:rPr>
                <w:b/>
                <w:bCs/>
              </w:rPr>
              <w:t>Working with Other Teams</w:t>
            </w:r>
            <w:r w:rsidRPr="004C62C6">
              <w:t>: The capability for teams within Agriculture Victoria to collaborate with each other and share intelligence with each other to promote better day-to-day regulatory outcomes.</w:t>
            </w:r>
          </w:p>
        </w:tc>
      </w:tr>
      <w:tr w:rsidR="00604BE0" w14:paraId="0488EEDA" w14:textId="77777777" w:rsidTr="00A91D62">
        <w:tc>
          <w:tcPr>
            <w:tcW w:w="1604" w:type="dxa"/>
            <w:shd w:val="clear" w:color="auto" w:fill="auto"/>
          </w:tcPr>
          <w:p w14:paraId="4EB2C4D0" w14:textId="77777777" w:rsidR="00604BE0" w:rsidRPr="00A91D62" w:rsidRDefault="00604BE0" w:rsidP="00604BE0">
            <w:pPr>
              <w:pStyle w:val="DHHSbody"/>
              <w:rPr>
                <w:rFonts w:ascii="Arial Nova Cond" w:hAnsi="Arial Nova Cond"/>
                <w:b/>
                <w:bCs/>
              </w:rPr>
            </w:pPr>
            <w:r w:rsidRPr="00A91D62">
              <w:rPr>
                <w:rFonts w:ascii="Arial Nova Cond" w:hAnsi="Arial Nova Cond"/>
                <w:b/>
                <w:bCs/>
              </w:rPr>
              <w:t>Capability needing moderate improvement</w:t>
            </w:r>
          </w:p>
        </w:tc>
        <w:tc>
          <w:tcPr>
            <w:tcW w:w="7802" w:type="dxa"/>
          </w:tcPr>
          <w:p w14:paraId="3B353D99" w14:textId="1F8BDCA4" w:rsidR="00604BE0" w:rsidRDefault="00604BE0" w:rsidP="00604BE0">
            <w:pPr>
              <w:pStyle w:val="DHHSbody"/>
            </w:pPr>
            <w:r w:rsidRPr="00604BE0">
              <w:rPr>
                <w:b/>
                <w:bCs/>
              </w:rPr>
              <w:t>Sector/ Stakeholder Engagement</w:t>
            </w:r>
            <w:r w:rsidRPr="004C62C6">
              <w:t>: The capability to work with stakeholders to create relationships and enable stakeholder input and involvement in the design of processes that impact them.</w:t>
            </w:r>
          </w:p>
        </w:tc>
      </w:tr>
    </w:tbl>
    <w:p w14:paraId="7A1D4B8A" w14:textId="5089F8AC" w:rsidR="003E65F2" w:rsidRPr="00A91D62" w:rsidRDefault="00604BE0" w:rsidP="00860DF4">
      <w:pPr>
        <w:pStyle w:val="Heading2"/>
        <w:rPr>
          <w:color w:val="auto"/>
        </w:rPr>
      </w:pPr>
      <w:bookmarkStart w:id="35" w:name="_Toc86935172"/>
      <w:r w:rsidRPr="00A91D62">
        <w:rPr>
          <w:color w:val="auto"/>
        </w:rPr>
        <w:lastRenderedPageBreak/>
        <w:t>Performance</w:t>
      </w:r>
      <w:bookmarkEnd w:id="35"/>
    </w:p>
    <w:tbl>
      <w:tblPr>
        <w:tblStyle w:val="TableGrid"/>
        <w:tblW w:w="0" w:type="auto"/>
        <w:tblLook w:val="04A0" w:firstRow="1" w:lastRow="0" w:firstColumn="1" w:lastColumn="0" w:noHBand="0" w:noVBand="1"/>
        <w:tblCaption w:val="Core Capability - Performance"/>
        <w:tblDescription w:val="This table details the assessment of Agriculture Victoria's Core capabilities in relation to performance that supports the delivery of regulatory outcomes."/>
      </w:tblPr>
      <w:tblGrid>
        <w:gridCol w:w="1560"/>
        <w:gridCol w:w="7846"/>
      </w:tblGrid>
      <w:tr w:rsidR="00604BE0" w:rsidRPr="00C73DA6" w14:paraId="50A6F433" w14:textId="77777777" w:rsidTr="00621803">
        <w:trPr>
          <w:tblHeader/>
        </w:trPr>
        <w:tc>
          <w:tcPr>
            <w:tcW w:w="1560" w:type="dxa"/>
            <w:shd w:val="clear" w:color="auto" w:fill="404040"/>
          </w:tcPr>
          <w:p w14:paraId="46048EBB" w14:textId="3692A260" w:rsidR="00604BE0" w:rsidRPr="00C73DA6" w:rsidRDefault="00694986" w:rsidP="00EF211D">
            <w:pPr>
              <w:pStyle w:val="DHHSbody"/>
              <w:rPr>
                <w:color w:val="FFFFFF" w:themeColor="background1"/>
              </w:rPr>
            </w:pPr>
            <w:r>
              <w:rPr>
                <w:rFonts w:ascii="Arial Nova Cond" w:hAnsi="Arial Nova Cond"/>
                <w:color w:val="FFFFFF" w:themeColor="background1"/>
              </w:rPr>
              <w:t>Assessment</w:t>
            </w:r>
          </w:p>
        </w:tc>
        <w:tc>
          <w:tcPr>
            <w:tcW w:w="7846" w:type="dxa"/>
            <w:shd w:val="clear" w:color="auto" w:fill="404040"/>
          </w:tcPr>
          <w:p w14:paraId="37E46943" w14:textId="77777777" w:rsidR="00604BE0" w:rsidRPr="00C73DA6" w:rsidRDefault="00604BE0" w:rsidP="00EF211D">
            <w:pPr>
              <w:pStyle w:val="DHHSbody"/>
              <w:rPr>
                <w:color w:val="FFFFFF" w:themeColor="background1"/>
              </w:rPr>
            </w:pPr>
            <w:r w:rsidRPr="00C73DA6">
              <w:rPr>
                <w:rFonts w:ascii="Arial Nova Cond" w:hAnsi="Arial Nova Cond"/>
                <w:color w:val="FFFFFF" w:themeColor="background1"/>
              </w:rPr>
              <w:t>Capability</w:t>
            </w:r>
          </w:p>
        </w:tc>
      </w:tr>
      <w:tr w:rsidR="00604BE0" w14:paraId="060EA0BA" w14:textId="77777777" w:rsidTr="00A91D62">
        <w:trPr>
          <w:tblHeader/>
        </w:trPr>
        <w:tc>
          <w:tcPr>
            <w:tcW w:w="1560" w:type="dxa"/>
            <w:shd w:val="clear" w:color="auto" w:fill="auto"/>
          </w:tcPr>
          <w:p w14:paraId="2FF31F98" w14:textId="77777777" w:rsidR="00604BE0" w:rsidRPr="00A91D62" w:rsidRDefault="00604BE0" w:rsidP="00604BE0">
            <w:pPr>
              <w:pStyle w:val="DHHSbody"/>
              <w:rPr>
                <w:rFonts w:ascii="Arial Nova Cond" w:hAnsi="Arial Nova Cond"/>
                <w:b/>
                <w:bCs/>
              </w:rPr>
            </w:pPr>
            <w:r w:rsidRPr="00A91D62">
              <w:rPr>
                <w:rFonts w:ascii="Arial Nova Cond" w:hAnsi="Arial Nova Cond"/>
                <w:b/>
                <w:bCs/>
              </w:rPr>
              <w:t>Relative capability strength</w:t>
            </w:r>
          </w:p>
        </w:tc>
        <w:tc>
          <w:tcPr>
            <w:tcW w:w="7846" w:type="dxa"/>
          </w:tcPr>
          <w:p w14:paraId="1D0FE69C" w14:textId="5AD88BAE" w:rsidR="00604BE0" w:rsidRDefault="00604BE0" w:rsidP="00604BE0">
            <w:pPr>
              <w:pStyle w:val="DHHSbody"/>
            </w:pPr>
            <w:r w:rsidRPr="00604BE0">
              <w:rPr>
                <w:b/>
                <w:bCs/>
              </w:rPr>
              <w:t>Operating Procedures</w:t>
            </w:r>
            <w:r w:rsidRPr="00F53046">
              <w:t>: The capability to develop and update operating procedures to guide regulatory activities.</w:t>
            </w:r>
          </w:p>
        </w:tc>
      </w:tr>
      <w:tr w:rsidR="00604BE0" w14:paraId="5F12D946" w14:textId="77777777" w:rsidTr="00A91D62">
        <w:tc>
          <w:tcPr>
            <w:tcW w:w="1560" w:type="dxa"/>
            <w:shd w:val="clear" w:color="auto" w:fill="auto"/>
          </w:tcPr>
          <w:p w14:paraId="55825D4E" w14:textId="77777777" w:rsidR="00604BE0" w:rsidRPr="00A91D62" w:rsidRDefault="00604BE0" w:rsidP="00604BE0">
            <w:pPr>
              <w:pStyle w:val="DHHSbody"/>
              <w:rPr>
                <w:b/>
                <w:bCs/>
              </w:rPr>
            </w:pPr>
            <w:r w:rsidRPr="00A91D62">
              <w:rPr>
                <w:rFonts w:ascii="Arial Nova Cond" w:hAnsi="Arial Nova Cond"/>
                <w:b/>
                <w:bCs/>
              </w:rPr>
              <w:t>Capability needing moderate improvement</w:t>
            </w:r>
          </w:p>
        </w:tc>
        <w:tc>
          <w:tcPr>
            <w:tcW w:w="7846" w:type="dxa"/>
          </w:tcPr>
          <w:p w14:paraId="0542646A" w14:textId="293E26CA" w:rsidR="00604BE0" w:rsidRDefault="00604BE0" w:rsidP="00604BE0">
            <w:pPr>
              <w:pStyle w:val="DHHSbody"/>
            </w:pPr>
            <w:r w:rsidRPr="00604BE0">
              <w:rPr>
                <w:b/>
                <w:bCs/>
              </w:rPr>
              <w:t>Continued Improvement</w:t>
            </w:r>
            <w:r w:rsidRPr="00F53046">
              <w:t>: The capability to be attuned to feedback and to self-improve through analysis and observation at an individual and organisational level.</w:t>
            </w:r>
          </w:p>
        </w:tc>
      </w:tr>
      <w:tr w:rsidR="00604BE0" w14:paraId="7DB32C4E" w14:textId="77777777" w:rsidTr="00A91D62">
        <w:tc>
          <w:tcPr>
            <w:tcW w:w="1560" w:type="dxa"/>
            <w:shd w:val="clear" w:color="auto" w:fill="auto"/>
          </w:tcPr>
          <w:p w14:paraId="21790B3A" w14:textId="77777777" w:rsidR="00604BE0" w:rsidRPr="00A91D62" w:rsidRDefault="00604BE0" w:rsidP="00604BE0">
            <w:pPr>
              <w:pStyle w:val="DHHSbody"/>
              <w:rPr>
                <w:rFonts w:ascii="Arial Nova Cond" w:hAnsi="Arial Nova Cond"/>
                <w:b/>
                <w:bCs/>
              </w:rPr>
            </w:pPr>
            <w:r w:rsidRPr="00A91D62">
              <w:rPr>
                <w:rFonts w:ascii="Arial Nova Cond" w:hAnsi="Arial Nova Cond"/>
                <w:b/>
                <w:bCs/>
              </w:rPr>
              <w:t>Capability needing significant improvement</w:t>
            </w:r>
          </w:p>
        </w:tc>
        <w:tc>
          <w:tcPr>
            <w:tcW w:w="7846" w:type="dxa"/>
          </w:tcPr>
          <w:p w14:paraId="3BB0838B" w14:textId="7C958800" w:rsidR="00604BE0" w:rsidRDefault="00604BE0" w:rsidP="00604BE0">
            <w:pPr>
              <w:pStyle w:val="DHHSbody"/>
            </w:pPr>
            <w:r w:rsidRPr="00604BE0">
              <w:rPr>
                <w:b/>
                <w:bCs/>
              </w:rPr>
              <w:t>Monitoring and Evaluation</w:t>
            </w:r>
            <w:r w:rsidRPr="00F53046">
              <w:t>: The capability to monitor and measure efficacy and efficiency of day-to-day operations to inform improvement of those operations.</w:t>
            </w:r>
          </w:p>
        </w:tc>
      </w:tr>
      <w:tr w:rsidR="00604BE0" w14:paraId="7F128551" w14:textId="77777777" w:rsidTr="00A91D62">
        <w:tc>
          <w:tcPr>
            <w:tcW w:w="1560" w:type="dxa"/>
            <w:shd w:val="clear" w:color="auto" w:fill="auto"/>
          </w:tcPr>
          <w:p w14:paraId="5F59BD86" w14:textId="77777777" w:rsidR="00604BE0" w:rsidRPr="00A91D62" w:rsidRDefault="00604BE0" w:rsidP="00604BE0">
            <w:pPr>
              <w:pStyle w:val="DHHSbody"/>
              <w:rPr>
                <w:rFonts w:ascii="Arial Nova Cond" w:hAnsi="Arial Nova Cond"/>
                <w:b/>
                <w:bCs/>
              </w:rPr>
            </w:pPr>
            <w:r w:rsidRPr="00A91D62">
              <w:rPr>
                <w:rFonts w:ascii="Arial Nova Cond" w:hAnsi="Arial Nova Cond"/>
                <w:b/>
                <w:bCs/>
              </w:rPr>
              <w:t>Capability needing significant improvement</w:t>
            </w:r>
          </w:p>
        </w:tc>
        <w:tc>
          <w:tcPr>
            <w:tcW w:w="7846" w:type="dxa"/>
          </w:tcPr>
          <w:p w14:paraId="10C8B69E" w14:textId="087E4898" w:rsidR="00604BE0" w:rsidRDefault="00604BE0" w:rsidP="00604BE0">
            <w:pPr>
              <w:pStyle w:val="DHHSbody"/>
            </w:pPr>
            <w:r w:rsidRPr="00604BE0">
              <w:rPr>
                <w:b/>
                <w:bCs/>
              </w:rPr>
              <w:t>Reporting</w:t>
            </w:r>
            <w:r w:rsidRPr="00F53046">
              <w:t>: The capability to measure and accurately communicate performance of Agriculture Victoria’s regulatory activities.</w:t>
            </w:r>
          </w:p>
        </w:tc>
      </w:tr>
    </w:tbl>
    <w:p w14:paraId="69A9C39F" w14:textId="77777777" w:rsidR="00900353" w:rsidRDefault="00900353" w:rsidP="00900353">
      <w:pPr>
        <w:pStyle w:val="DHHSbody"/>
      </w:pPr>
      <w:r>
        <w:br w:type="page"/>
      </w:r>
    </w:p>
    <w:p w14:paraId="7B803532" w14:textId="03DA52DE" w:rsidR="00900353" w:rsidRPr="00A91D62" w:rsidRDefault="00900353" w:rsidP="00694986">
      <w:pPr>
        <w:pStyle w:val="Heading1"/>
        <w:rPr>
          <w:color w:val="auto"/>
        </w:rPr>
      </w:pPr>
      <w:bookmarkStart w:id="36" w:name="_Toc86935173"/>
      <w:r w:rsidRPr="00A91D62">
        <w:rPr>
          <w:color w:val="auto"/>
        </w:rPr>
        <w:lastRenderedPageBreak/>
        <w:t>Next Steps</w:t>
      </w:r>
      <w:bookmarkEnd w:id="36"/>
    </w:p>
    <w:p w14:paraId="23A42693" w14:textId="0CF504AD" w:rsidR="00900353" w:rsidRPr="00F46B86" w:rsidRDefault="00900353" w:rsidP="00900353">
      <w:pPr>
        <w:pStyle w:val="DHHSbody"/>
        <w:rPr>
          <w:b/>
          <w:bCs/>
        </w:rPr>
      </w:pPr>
      <w:r w:rsidRPr="00F46B86">
        <w:rPr>
          <w:b/>
          <w:bCs/>
        </w:rPr>
        <w:t>Agriculture Victoria has an opportunity to draw on this assessment to inform its approach to capability uplift and development</w:t>
      </w:r>
      <w:r w:rsidR="00F46B86">
        <w:rPr>
          <w:b/>
          <w:bCs/>
        </w:rPr>
        <w:t>.</w:t>
      </w:r>
    </w:p>
    <w:p w14:paraId="6B688EF2" w14:textId="2EC128DB" w:rsidR="00900353" w:rsidRDefault="00900353" w:rsidP="00900353">
      <w:pPr>
        <w:pStyle w:val="DHHSbody"/>
      </w:pPr>
      <w:r>
        <w:t>KPMG’s assessment is intended to be used to support an action plan for improvement, to be developed by Agriculture Victoria based on the organisation’s priorities. During consultations with staff and external stakeholders, we were able to identify</w:t>
      </w:r>
      <w:r w:rsidR="00F46B86">
        <w:t>.</w:t>
      </w:r>
    </w:p>
    <w:p w14:paraId="2540D270" w14:textId="77777777" w:rsidR="00900353" w:rsidRDefault="00900353" w:rsidP="00900353">
      <w:pPr>
        <w:pStyle w:val="DHHSbody"/>
      </w:pPr>
      <w:r>
        <w:t>In developing the Action Plan, Agriculture Victoria could consider:</w:t>
      </w:r>
    </w:p>
    <w:p w14:paraId="42D5DFF0" w14:textId="5EC129B4" w:rsidR="00900353" w:rsidRDefault="00900353" w:rsidP="00900353">
      <w:pPr>
        <w:pStyle w:val="Bulletpoint1"/>
      </w:pPr>
      <w:r>
        <w:t>What are the areas where the expected short-term impacts are highest? (Depending on the level of serious non- compliance, areas where there have been most visible issues).</w:t>
      </w:r>
    </w:p>
    <w:p w14:paraId="21FCDE72" w14:textId="44509C62" w:rsidR="00900353" w:rsidRDefault="00900353" w:rsidP="00900353">
      <w:pPr>
        <w:pStyle w:val="Bulletpoint1"/>
      </w:pPr>
      <w:r>
        <w:t>What are the areas where there is relative ease of implementation (which is affected by cost, level of support for a change, internally and externally)?</w:t>
      </w:r>
    </w:p>
    <w:p w14:paraId="28158CC7" w14:textId="3FACE3EE" w:rsidR="00EC3F10" w:rsidRPr="00EC3F10" w:rsidRDefault="00EF211D" w:rsidP="00F46B86">
      <w:pPr>
        <w:pStyle w:val="DHHSbody"/>
        <w:spacing w:before="240"/>
      </w:pPr>
      <w:r w:rsidRPr="00EF211D">
        <w:rPr>
          <w:noProof/>
        </w:rPr>
        <w:drawing>
          <wp:inline distT="0" distB="0" distL="0" distR="0" wp14:anchorId="2358F546" wp14:editId="401F5462">
            <wp:extent cx="5970974" cy="5670550"/>
            <wp:effectExtent l="0" t="0" r="0" b="6350"/>
            <wp:docPr id="1" name="Picture 1" descr="This infographic outlines Capability Improvement Action Plan and the capabilities that Agriculture Victoria should consider. Refer to the description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nfographic outlines Capability Improvement Action Plan and the capabilities that Agriculture Victoria should consider. Refer to the description provided."/>
                    <pic:cNvPicPr/>
                  </pic:nvPicPr>
                  <pic:blipFill>
                    <a:blip r:embed="rId17"/>
                    <a:stretch>
                      <a:fillRect/>
                    </a:stretch>
                  </pic:blipFill>
                  <pic:spPr>
                    <a:xfrm>
                      <a:off x="0" y="0"/>
                      <a:ext cx="6037475" cy="5733705"/>
                    </a:xfrm>
                    <a:prstGeom prst="rect">
                      <a:avLst/>
                    </a:prstGeom>
                  </pic:spPr>
                </pic:pic>
              </a:graphicData>
            </a:graphic>
          </wp:inline>
        </w:drawing>
      </w:r>
    </w:p>
    <w:p w14:paraId="37BDEAB5" w14:textId="77777777" w:rsidR="00F46B86" w:rsidRDefault="00F46B86" w:rsidP="00F46B86">
      <w:pPr>
        <w:pStyle w:val="DHHSbody"/>
      </w:pPr>
      <w:r>
        <w:lastRenderedPageBreak/>
        <w:t>In developing an Action Plan, Agriculture Victoria should consider the following inputs:</w:t>
      </w:r>
    </w:p>
    <w:p w14:paraId="0BE1E831" w14:textId="77777777" w:rsidR="00F46B86" w:rsidRDefault="00F46B86" w:rsidP="00F46B86">
      <w:pPr>
        <w:pStyle w:val="Bulletpoint1"/>
        <w:ind w:left="284" w:hanging="284"/>
      </w:pPr>
      <w:r>
        <w:t>Capabilities identified as most in need of improvement</w:t>
      </w:r>
    </w:p>
    <w:p w14:paraId="74954962" w14:textId="77777777" w:rsidR="00F46B86" w:rsidRDefault="00F46B86" w:rsidP="00F46B86">
      <w:pPr>
        <w:pStyle w:val="Bulletpoint1"/>
        <w:ind w:left="284" w:hanging="284"/>
      </w:pPr>
      <w:r>
        <w:t>Capabilities identified by staff as priorities for improvement Capabilities identified by external stakeholders as priorities for improvement</w:t>
      </w:r>
    </w:p>
    <w:p w14:paraId="1E2D2D8A" w14:textId="4A4E7EED" w:rsidR="00F46B86" w:rsidRDefault="00F46B86" w:rsidP="00F46B86">
      <w:pPr>
        <w:pStyle w:val="Bulletpoint1"/>
        <w:ind w:left="284" w:hanging="284"/>
      </w:pPr>
      <w:r>
        <w:t>Using the Capability Framework to continue to assess capabilities to track progress and update the Action Plan</w:t>
      </w:r>
      <w:r w:rsidR="00837361">
        <w:t>.</w:t>
      </w:r>
    </w:p>
    <w:p w14:paraId="55022ADF" w14:textId="77777777" w:rsidR="00EC3F10" w:rsidRPr="00A91D62" w:rsidRDefault="00EC3F10" w:rsidP="007F7845">
      <w:pPr>
        <w:pStyle w:val="Heading2"/>
        <w:rPr>
          <w:color w:val="auto"/>
        </w:rPr>
      </w:pPr>
      <w:bookmarkStart w:id="37" w:name="_Toc86935174"/>
      <w:r w:rsidRPr="00A91D62">
        <w:rPr>
          <w:color w:val="auto"/>
        </w:rPr>
        <w:t>Agriculture Victoria Capability Improvement Action Plan</w:t>
      </w:r>
      <w:bookmarkEnd w:id="37"/>
    </w:p>
    <w:p w14:paraId="3A1FE3E9" w14:textId="2D6BCC7C" w:rsidR="00EF211D" w:rsidRPr="00A91D62" w:rsidRDefault="00EF211D" w:rsidP="00EC3F10">
      <w:pPr>
        <w:pStyle w:val="Bulletpoint1"/>
      </w:pPr>
      <w:r w:rsidRPr="00A91D62">
        <w:t>Using the Capability Framework to continue to assess capabilities to track progress and update the Action Plan</w:t>
      </w:r>
    </w:p>
    <w:p w14:paraId="2CF1EB92" w14:textId="3F5C0D63" w:rsidR="00EF211D" w:rsidRPr="00A91D62" w:rsidRDefault="00EC3F10" w:rsidP="00EC3F10">
      <w:pPr>
        <w:pStyle w:val="Bulletpoint1"/>
      </w:pPr>
      <w:r w:rsidRPr="00A91D62">
        <w:t>Agriculture Victoria and SVBS Priorities</w:t>
      </w:r>
    </w:p>
    <w:p w14:paraId="571C942D" w14:textId="791F9DD4" w:rsidR="00EC3F10" w:rsidRPr="00A91D62" w:rsidRDefault="00EC3F10" w:rsidP="00EC3F10">
      <w:pPr>
        <w:pStyle w:val="Bulletpoint1"/>
      </w:pPr>
      <w:r w:rsidRPr="00A91D62">
        <w:t>Support staff would like to see</w:t>
      </w:r>
    </w:p>
    <w:p w14:paraId="4CF6BC76" w14:textId="4068218A" w:rsidR="00EC3F10" w:rsidRPr="00A91D62" w:rsidRDefault="00EC3F10" w:rsidP="00EC3F10">
      <w:pPr>
        <w:pStyle w:val="Bulletpoint1"/>
      </w:pPr>
      <w:r w:rsidRPr="00A91D62">
        <w:t>Drawing on internal pockets of excellence to share lessons</w:t>
      </w:r>
      <w:r w:rsidR="00837361" w:rsidRPr="00A91D62">
        <w:t>.</w:t>
      </w:r>
    </w:p>
    <w:p w14:paraId="27B0677F" w14:textId="74FD1A96" w:rsidR="00EF211D" w:rsidRPr="00A91D62" w:rsidRDefault="00EF211D" w:rsidP="00981FF6">
      <w:pPr>
        <w:pStyle w:val="Heading3"/>
        <w:rPr>
          <w:color w:val="auto"/>
        </w:rPr>
      </w:pPr>
      <w:bookmarkStart w:id="38" w:name="_Toc86935175"/>
      <w:r w:rsidRPr="00A91D62">
        <w:rPr>
          <w:color w:val="auto"/>
        </w:rPr>
        <w:t>Capabilities identified as most in need of improvement through the Capability Assessment</w:t>
      </w:r>
      <w:bookmarkEnd w:id="38"/>
    </w:p>
    <w:tbl>
      <w:tblPr>
        <w:tblStyle w:val="TableGrid"/>
        <w:tblW w:w="0" w:type="auto"/>
        <w:tblLook w:val="04A0" w:firstRow="1" w:lastRow="0" w:firstColumn="1" w:lastColumn="0" w:noHBand="0" w:noVBand="1"/>
      </w:tblPr>
      <w:tblGrid>
        <w:gridCol w:w="5670"/>
        <w:gridCol w:w="3736"/>
      </w:tblGrid>
      <w:tr w:rsidR="00621803" w:rsidRPr="00621803" w14:paraId="690A7455" w14:textId="77777777" w:rsidTr="00621803">
        <w:trPr>
          <w:tblHeader/>
        </w:trPr>
        <w:tc>
          <w:tcPr>
            <w:tcW w:w="5670" w:type="dxa"/>
            <w:shd w:val="clear" w:color="auto" w:fill="404040"/>
          </w:tcPr>
          <w:p w14:paraId="2557956C" w14:textId="77777777" w:rsidR="00621803" w:rsidRPr="00621803" w:rsidRDefault="00621803" w:rsidP="00694986">
            <w:pPr>
              <w:pStyle w:val="DHHSbody"/>
              <w:rPr>
                <w:rFonts w:ascii="Arial Nova Cond" w:hAnsi="Arial Nova Cond"/>
                <w:color w:val="FFFFFF" w:themeColor="background1"/>
              </w:rPr>
            </w:pPr>
            <w:r w:rsidRPr="00621803">
              <w:rPr>
                <w:rFonts w:ascii="Arial Nova Cond" w:hAnsi="Arial Nova Cond"/>
                <w:color w:val="FFFFFF" w:themeColor="background1"/>
              </w:rPr>
              <w:t>Capability identified</w:t>
            </w:r>
          </w:p>
        </w:tc>
        <w:tc>
          <w:tcPr>
            <w:tcW w:w="3736" w:type="dxa"/>
            <w:shd w:val="clear" w:color="auto" w:fill="404040"/>
          </w:tcPr>
          <w:p w14:paraId="2C0C2594" w14:textId="77777777" w:rsidR="00621803" w:rsidRPr="00621803" w:rsidRDefault="00621803" w:rsidP="00694986">
            <w:pPr>
              <w:pStyle w:val="DHHSbody"/>
              <w:rPr>
                <w:rFonts w:ascii="Arial Nova Cond" w:hAnsi="Arial Nova Cond"/>
                <w:color w:val="FFFFFF" w:themeColor="background1"/>
              </w:rPr>
            </w:pPr>
            <w:r w:rsidRPr="00621803">
              <w:rPr>
                <w:rFonts w:ascii="Arial Nova Cond" w:hAnsi="Arial Nova Cond"/>
                <w:color w:val="FFFFFF" w:themeColor="background1"/>
              </w:rPr>
              <w:t>Type of Capability</w:t>
            </w:r>
          </w:p>
        </w:tc>
      </w:tr>
      <w:tr w:rsidR="00621803" w:rsidRPr="00621803" w14:paraId="44107C93" w14:textId="6FEB60F8" w:rsidTr="00621803">
        <w:trPr>
          <w:tblHeader/>
        </w:trPr>
        <w:tc>
          <w:tcPr>
            <w:tcW w:w="5670" w:type="dxa"/>
          </w:tcPr>
          <w:p w14:paraId="1031081A" w14:textId="77777777" w:rsidR="00621803" w:rsidRPr="00621803" w:rsidRDefault="00621803" w:rsidP="00621803">
            <w:pPr>
              <w:pStyle w:val="DHHSbody"/>
            </w:pPr>
            <w:bookmarkStart w:id="39" w:name="Title_1012" w:colFirst="0" w:colLast="0"/>
            <w:r w:rsidRPr="00621803">
              <w:t>Raising Awareness</w:t>
            </w:r>
          </w:p>
        </w:tc>
        <w:tc>
          <w:tcPr>
            <w:tcW w:w="3736" w:type="dxa"/>
          </w:tcPr>
          <w:p w14:paraId="33F3F804" w14:textId="050F1F23" w:rsidR="00621803" w:rsidRPr="00A91D62" w:rsidRDefault="00621803" w:rsidP="00621803">
            <w:pPr>
              <w:pStyle w:val="DHHSbody"/>
              <w:rPr>
                <w:b/>
                <w:bCs/>
              </w:rPr>
            </w:pPr>
            <w:r w:rsidRPr="00A91D62">
              <w:rPr>
                <w:b/>
                <w:bCs/>
              </w:rPr>
              <w:t>Core</w:t>
            </w:r>
          </w:p>
        </w:tc>
      </w:tr>
      <w:bookmarkEnd w:id="39"/>
      <w:tr w:rsidR="00621803" w:rsidRPr="00621803" w14:paraId="46180483" w14:textId="317E76EA" w:rsidTr="00621803">
        <w:tc>
          <w:tcPr>
            <w:tcW w:w="5670" w:type="dxa"/>
          </w:tcPr>
          <w:p w14:paraId="4787F6E8" w14:textId="77777777" w:rsidR="00621803" w:rsidRPr="00621803" w:rsidRDefault="00621803" w:rsidP="00621803">
            <w:pPr>
              <w:pStyle w:val="DHHSbody"/>
            </w:pPr>
            <w:r w:rsidRPr="00621803">
              <w:t>Monitoring and Evaluation</w:t>
            </w:r>
          </w:p>
        </w:tc>
        <w:tc>
          <w:tcPr>
            <w:tcW w:w="3736" w:type="dxa"/>
          </w:tcPr>
          <w:p w14:paraId="5BA4B118" w14:textId="302A24EF" w:rsidR="00621803" w:rsidRPr="00A91D62" w:rsidRDefault="00621803" w:rsidP="00621803">
            <w:pPr>
              <w:pStyle w:val="DHHSbody"/>
              <w:rPr>
                <w:b/>
                <w:bCs/>
              </w:rPr>
            </w:pPr>
            <w:r w:rsidRPr="00A91D62">
              <w:rPr>
                <w:b/>
                <w:bCs/>
              </w:rPr>
              <w:t>Core</w:t>
            </w:r>
          </w:p>
        </w:tc>
      </w:tr>
      <w:tr w:rsidR="00621803" w:rsidRPr="00621803" w14:paraId="08BBB7F9" w14:textId="582AC780" w:rsidTr="00621803">
        <w:tc>
          <w:tcPr>
            <w:tcW w:w="5670" w:type="dxa"/>
          </w:tcPr>
          <w:p w14:paraId="2271F474" w14:textId="77777777" w:rsidR="00621803" w:rsidRPr="00621803" w:rsidRDefault="00621803" w:rsidP="00621803">
            <w:pPr>
              <w:pStyle w:val="DHHSbody"/>
            </w:pPr>
            <w:r w:rsidRPr="00621803">
              <w:t>Reporting</w:t>
            </w:r>
          </w:p>
        </w:tc>
        <w:tc>
          <w:tcPr>
            <w:tcW w:w="3736" w:type="dxa"/>
          </w:tcPr>
          <w:p w14:paraId="7C3454E9" w14:textId="5BD7A689" w:rsidR="00621803" w:rsidRPr="00A91D62" w:rsidRDefault="00621803" w:rsidP="00621803">
            <w:pPr>
              <w:pStyle w:val="DHHSbody"/>
              <w:rPr>
                <w:b/>
                <w:bCs/>
              </w:rPr>
            </w:pPr>
            <w:r w:rsidRPr="00A91D62">
              <w:rPr>
                <w:b/>
                <w:bCs/>
              </w:rPr>
              <w:t>Core</w:t>
            </w:r>
          </w:p>
        </w:tc>
      </w:tr>
      <w:tr w:rsidR="00621803" w:rsidRPr="00621803" w14:paraId="6217D655" w14:textId="7EAA5F8F" w:rsidTr="00621803">
        <w:tc>
          <w:tcPr>
            <w:tcW w:w="5670" w:type="dxa"/>
          </w:tcPr>
          <w:p w14:paraId="248D76EB" w14:textId="77777777" w:rsidR="00621803" w:rsidRPr="00621803" w:rsidRDefault="00621803" w:rsidP="00621803">
            <w:pPr>
              <w:pStyle w:val="DHHSbody"/>
            </w:pPr>
            <w:r w:rsidRPr="00621803">
              <w:t>Development of Strategic Responses</w:t>
            </w:r>
          </w:p>
        </w:tc>
        <w:tc>
          <w:tcPr>
            <w:tcW w:w="3736" w:type="dxa"/>
          </w:tcPr>
          <w:p w14:paraId="6920E6F6" w14:textId="7B1CBB12" w:rsidR="00621803" w:rsidRPr="00A91D62" w:rsidRDefault="00621803" w:rsidP="00621803">
            <w:pPr>
              <w:pStyle w:val="DHHSbody"/>
              <w:rPr>
                <w:b/>
                <w:bCs/>
              </w:rPr>
            </w:pPr>
            <w:r w:rsidRPr="00A91D62">
              <w:rPr>
                <w:b/>
                <w:bCs/>
              </w:rPr>
              <w:t>Strategic</w:t>
            </w:r>
          </w:p>
        </w:tc>
      </w:tr>
      <w:tr w:rsidR="00621803" w:rsidRPr="00621803" w14:paraId="0A32E893" w14:textId="2E494881" w:rsidTr="00621803">
        <w:tc>
          <w:tcPr>
            <w:tcW w:w="5670" w:type="dxa"/>
          </w:tcPr>
          <w:p w14:paraId="4786673A" w14:textId="77777777" w:rsidR="00621803" w:rsidRPr="00621803" w:rsidRDefault="00621803" w:rsidP="00621803">
            <w:pPr>
              <w:pStyle w:val="DHHSbody"/>
            </w:pPr>
            <w:r w:rsidRPr="00621803">
              <w:t>Monitoring Compliance</w:t>
            </w:r>
          </w:p>
        </w:tc>
        <w:tc>
          <w:tcPr>
            <w:tcW w:w="3736" w:type="dxa"/>
          </w:tcPr>
          <w:p w14:paraId="4C6F4E3C" w14:textId="1841918F" w:rsidR="00621803" w:rsidRPr="00A91D62" w:rsidRDefault="00621803" w:rsidP="00621803">
            <w:pPr>
              <w:pStyle w:val="DHHSbody"/>
              <w:rPr>
                <w:b/>
                <w:bCs/>
              </w:rPr>
            </w:pPr>
            <w:r w:rsidRPr="00A91D62">
              <w:rPr>
                <w:b/>
                <w:bCs/>
              </w:rPr>
              <w:t>Technical</w:t>
            </w:r>
          </w:p>
        </w:tc>
      </w:tr>
      <w:tr w:rsidR="00621803" w:rsidRPr="00621803" w14:paraId="50460547" w14:textId="651937AD" w:rsidTr="00621803">
        <w:tc>
          <w:tcPr>
            <w:tcW w:w="5670" w:type="dxa"/>
          </w:tcPr>
          <w:p w14:paraId="5E111456" w14:textId="77777777" w:rsidR="00621803" w:rsidRPr="00621803" w:rsidRDefault="00621803" w:rsidP="00621803">
            <w:pPr>
              <w:pStyle w:val="DHHSbody"/>
            </w:pPr>
            <w:r w:rsidRPr="00621803">
              <w:t>Resource Allocation</w:t>
            </w:r>
          </w:p>
        </w:tc>
        <w:tc>
          <w:tcPr>
            <w:tcW w:w="3736" w:type="dxa"/>
          </w:tcPr>
          <w:p w14:paraId="1379C68F" w14:textId="28536551" w:rsidR="00621803" w:rsidRPr="00A91D62" w:rsidRDefault="00621803" w:rsidP="00621803">
            <w:pPr>
              <w:pStyle w:val="DHHSbody"/>
              <w:rPr>
                <w:b/>
                <w:bCs/>
              </w:rPr>
            </w:pPr>
            <w:r w:rsidRPr="00A91D62">
              <w:rPr>
                <w:b/>
                <w:bCs/>
              </w:rPr>
              <w:t>Strategic</w:t>
            </w:r>
          </w:p>
        </w:tc>
      </w:tr>
      <w:tr w:rsidR="00621803" w:rsidRPr="00621803" w14:paraId="62AA113D" w14:textId="41C32634" w:rsidTr="00621803">
        <w:tc>
          <w:tcPr>
            <w:tcW w:w="5670" w:type="dxa"/>
          </w:tcPr>
          <w:p w14:paraId="29454D0F" w14:textId="77777777" w:rsidR="00621803" w:rsidRPr="00621803" w:rsidRDefault="00621803" w:rsidP="00621803">
            <w:pPr>
              <w:pStyle w:val="DHHSbody"/>
            </w:pPr>
            <w:r w:rsidRPr="00621803">
              <w:t>Data Analysis</w:t>
            </w:r>
          </w:p>
        </w:tc>
        <w:tc>
          <w:tcPr>
            <w:tcW w:w="3736" w:type="dxa"/>
          </w:tcPr>
          <w:p w14:paraId="769D72F4" w14:textId="22629D7C" w:rsidR="00621803" w:rsidRPr="00A91D62" w:rsidRDefault="00621803" w:rsidP="00621803">
            <w:pPr>
              <w:pStyle w:val="DHHSbody"/>
              <w:rPr>
                <w:b/>
                <w:bCs/>
              </w:rPr>
            </w:pPr>
            <w:r w:rsidRPr="00A91D62">
              <w:rPr>
                <w:b/>
                <w:bCs/>
              </w:rPr>
              <w:t>Strategic</w:t>
            </w:r>
          </w:p>
        </w:tc>
      </w:tr>
      <w:tr w:rsidR="00621803" w:rsidRPr="00EC3F10" w14:paraId="6C39C081" w14:textId="114FE138" w:rsidTr="00621803">
        <w:tc>
          <w:tcPr>
            <w:tcW w:w="5670" w:type="dxa"/>
          </w:tcPr>
          <w:p w14:paraId="3164345E" w14:textId="6A152E50" w:rsidR="00621803" w:rsidRPr="00EC3F10" w:rsidRDefault="00621803" w:rsidP="00621803">
            <w:pPr>
              <w:pStyle w:val="DHHSbody"/>
            </w:pPr>
            <w:r w:rsidRPr="00621803">
              <w:t xml:space="preserve">Use of Innovative </w:t>
            </w:r>
            <w:r w:rsidRPr="00EC3F10">
              <w:t>Tools and Approaches</w:t>
            </w:r>
          </w:p>
        </w:tc>
        <w:tc>
          <w:tcPr>
            <w:tcW w:w="3736" w:type="dxa"/>
          </w:tcPr>
          <w:p w14:paraId="407FEE72" w14:textId="3C405558" w:rsidR="00621803" w:rsidRPr="00A91D62" w:rsidRDefault="00621803" w:rsidP="00621803">
            <w:pPr>
              <w:pStyle w:val="DHHSbody"/>
              <w:rPr>
                <w:b/>
                <w:bCs/>
              </w:rPr>
            </w:pPr>
            <w:r w:rsidRPr="00A91D62">
              <w:rPr>
                <w:b/>
                <w:bCs/>
              </w:rPr>
              <w:t>Strategic</w:t>
            </w:r>
          </w:p>
        </w:tc>
      </w:tr>
    </w:tbl>
    <w:p w14:paraId="3DB729B3" w14:textId="77777777" w:rsidR="00837361" w:rsidRDefault="00837361">
      <w:pPr>
        <w:rPr>
          <w:rFonts w:ascii="Arial Nova Cond" w:eastAsia="MS Gothic" w:hAnsi="Arial Nova Cond"/>
          <w:color w:val="595959" w:themeColor="text1" w:themeTint="A6"/>
          <w:sz w:val="30"/>
          <w:szCs w:val="30"/>
        </w:rPr>
      </w:pPr>
      <w:r>
        <w:br w:type="page"/>
      </w:r>
    </w:p>
    <w:p w14:paraId="6F5728E3" w14:textId="698F68DF" w:rsidR="00EF211D" w:rsidRPr="00A91D62" w:rsidRDefault="00EF211D" w:rsidP="00981FF6">
      <w:pPr>
        <w:pStyle w:val="Heading3"/>
        <w:rPr>
          <w:color w:val="auto"/>
        </w:rPr>
      </w:pPr>
      <w:bookmarkStart w:id="40" w:name="_Toc86935176"/>
      <w:r w:rsidRPr="00A91D62">
        <w:rPr>
          <w:color w:val="auto"/>
        </w:rPr>
        <w:lastRenderedPageBreak/>
        <w:t>Capabilities identified by staff as priorities for improvement</w:t>
      </w:r>
      <w:bookmarkEnd w:id="40"/>
    </w:p>
    <w:tbl>
      <w:tblPr>
        <w:tblStyle w:val="TableGrid"/>
        <w:tblW w:w="0" w:type="auto"/>
        <w:tblLook w:val="04A0" w:firstRow="1" w:lastRow="0" w:firstColumn="1" w:lastColumn="0" w:noHBand="0" w:noVBand="1"/>
      </w:tblPr>
      <w:tblGrid>
        <w:gridCol w:w="5670"/>
        <w:gridCol w:w="3686"/>
      </w:tblGrid>
      <w:tr w:rsidR="00621803" w:rsidRPr="00621803" w14:paraId="29E5907D" w14:textId="77777777" w:rsidTr="00621803">
        <w:trPr>
          <w:tblHeader/>
        </w:trPr>
        <w:tc>
          <w:tcPr>
            <w:tcW w:w="5670" w:type="dxa"/>
            <w:shd w:val="clear" w:color="auto" w:fill="404040"/>
          </w:tcPr>
          <w:p w14:paraId="31C7985A" w14:textId="36004A4A" w:rsidR="00621803" w:rsidRPr="00621803" w:rsidRDefault="00621803" w:rsidP="00621803">
            <w:pPr>
              <w:pStyle w:val="DHHSbody"/>
              <w:rPr>
                <w:rFonts w:ascii="Arial Nova Cond" w:hAnsi="Arial Nova Cond"/>
                <w:color w:val="FFFFFF" w:themeColor="background1"/>
              </w:rPr>
            </w:pPr>
            <w:r w:rsidRPr="00621803">
              <w:rPr>
                <w:rFonts w:ascii="Arial Nova Cond" w:hAnsi="Arial Nova Cond"/>
                <w:color w:val="FFFFFF" w:themeColor="background1"/>
              </w:rPr>
              <w:t>Capability identified</w:t>
            </w:r>
          </w:p>
        </w:tc>
        <w:tc>
          <w:tcPr>
            <w:tcW w:w="3686" w:type="dxa"/>
            <w:shd w:val="clear" w:color="auto" w:fill="404040"/>
          </w:tcPr>
          <w:p w14:paraId="33609692" w14:textId="78034DAB" w:rsidR="00621803" w:rsidRPr="00621803" w:rsidRDefault="00621803" w:rsidP="00621803">
            <w:pPr>
              <w:pStyle w:val="DHHSbody"/>
              <w:rPr>
                <w:rFonts w:ascii="Arial Nova Cond" w:hAnsi="Arial Nova Cond"/>
                <w:color w:val="FFFFFF" w:themeColor="background1"/>
              </w:rPr>
            </w:pPr>
            <w:r w:rsidRPr="00621803">
              <w:rPr>
                <w:rFonts w:ascii="Arial Nova Cond" w:hAnsi="Arial Nova Cond"/>
                <w:color w:val="FFFFFF" w:themeColor="background1"/>
              </w:rPr>
              <w:t>Type of Capability</w:t>
            </w:r>
          </w:p>
        </w:tc>
      </w:tr>
      <w:tr w:rsidR="00621803" w:rsidRPr="00621803" w14:paraId="3FF0FDC2" w14:textId="77777777" w:rsidTr="00621803">
        <w:trPr>
          <w:tblHeader/>
        </w:trPr>
        <w:tc>
          <w:tcPr>
            <w:tcW w:w="5670" w:type="dxa"/>
          </w:tcPr>
          <w:p w14:paraId="321D9535" w14:textId="6FF022AC" w:rsidR="00621803" w:rsidRPr="00621803" w:rsidRDefault="00621803" w:rsidP="00621803">
            <w:pPr>
              <w:pStyle w:val="DHHSbody"/>
            </w:pPr>
            <w:r w:rsidRPr="00621803">
              <w:t>Sector Understanding</w:t>
            </w:r>
          </w:p>
        </w:tc>
        <w:tc>
          <w:tcPr>
            <w:tcW w:w="3686" w:type="dxa"/>
          </w:tcPr>
          <w:p w14:paraId="52DB1168" w14:textId="39B32488" w:rsidR="00621803" w:rsidRPr="00A91D62" w:rsidRDefault="00621803" w:rsidP="00621803">
            <w:pPr>
              <w:pStyle w:val="DHHSbody"/>
              <w:rPr>
                <w:b/>
                <w:bCs/>
              </w:rPr>
            </w:pPr>
            <w:r w:rsidRPr="00A91D62">
              <w:rPr>
                <w:b/>
                <w:bCs/>
              </w:rPr>
              <w:t>Strategic</w:t>
            </w:r>
          </w:p>
        </w:tc>
        <w:bookmarkStart w:id="41" w:name="Title_10" w:colFirst="0" w:colLast="0"/>
      </w:tr>
      <w:tr w:rsidR="00621803" w:rsidRPr="00621803" w14:paraId="133BE309" w14:textId="77777777" w:rsidTr="00621803">
        <w:tc>
          <w:tcPr>
            <w:tcW w:w="5670" w:type="dxa"/>
          </w:tcPr>
          <w:p w14:paraId="5F469111" w14:textId="6A6F09E8" w:rsidR="00621803" w:rsidRPr="00621803" w:rsidRDefault="00621803" w:rsidP="00621803">
            <w:pPr>
              <w:pStyle w:val="DHHSbody"/>
            </w:pPr>
            <w:r w:rsidRPr="00621803">
              <w:t>Intelligence on Emerging Risks</w:t>
            </w:r>
          </w:p>
        </w:tc>
        <w:tc>
          <w:tcPr>
            <w:tcW w:w="3686" w:type="dxa"/>
          </w:tcPr>
          <w:p w14:paraId="287CEF09" w14:textId="6ECBA567" w:rsidR="00621803" w:rsidRPr="00A91D62" w:rsidRDefault="00621803" w:rsidP="00621803">
            <w:pPr>
              <w:pStyle w:val="DHHSbody"/>
              <w:rPr>
                <w:b/>
                <w:bCs/>
              </w:rPr>
            </w:pPr>
            <w:r w:rsidRPr="00A91D62">
              <w:rPr>
                <w:b/>
                <w:bCs/>
              </w:rPr>
              <w:t>Strategic</w:t>
            </w:r>
          </w:p>
        </w:tc>
        <w:bookmarkEnd w:id="41"/>
      </w:tr>
      <w:tr w:rsidR="00621803" w:rsidRPr="00621803" w14:paraId="311B59E8" w14:textId="77777777" w:rsidTr="00621803">
        <w:tc>
          <w:tcPr>
            <w:tcW w:w="5670" w:type="dxa"/>
          </w:tcPr>
          <w:p w14:paraId="51C23528" w14:textId="40DBF900" w:rsidR="00621803" w:rsidRPr="00621803" w:rsidRDefault="00621803" w:rsidP="00621803">
            <w:pPr>
              <w:pStyle w:val="DHHSbody"/>
            </w:pPr>
            <w:r w:rsidRPr="00621803">
              <w:t>Monitoring Compliance</w:t>
            </w:r>
          </w:p>
        </w:tc>
        <w:tc>
          <w:tcPr>
            <w:tcW w:w="3686" w:type="dxa"/>
          </w:tcPr>
          <w:p w14:paraId="5EF7D8A4" w14:textId="2B3EBB73" w:rsidR="00621803" w:rsidRPr="00A91D62" w:rsidRDefault="00621803" w:rsidP="00621803">
            <w:pPr>
              <w:pStyle w:val="DHHSbody"/>
              <w:rPr>
                <w:b/>
                <w:bCs/>
              </w:rPr>
            </w:pPr>
            <w:r w:rsidRPr="00A91D62">
              <w:rPr>
                <w:b/>
                <w:bCs/>
              </w:rPr>
              <w:t>Technical</w:t>
            </w:r>
          </w:p>
        </w:tc>
      </w:tr>
      <w:tr w:rsidR="00621803" w:rsidRPr="00621803" w14:paraId="31EBCA5A" w14:textId="77777777" w:rsidTr="00621803">
        <w:tc>
          <w:tcPr>
            <w:tcW w:w="5670" w:type="dxa"/>
          </w:tcPr>
          <w:p w14:paraId="5A32E819" w14:textId="51EC482B" w:rsidR="00621803" w:rsidRPr="00621803" w:rsidRDefault="00621803" w:rsidP="00621803">
            <w:pPr>
              <w:pStyle w:val="DHHSbody"/>
            </w:pPr>
            <w:r w:rsidRPr="00621803">
              <w:t>Legislative and Regulatory Reform</w:t>
            </w:r>
          </w:p>
        </w:tc>
        <w:tc>
          <w:tcPr>
            <w:tcW w:w="3686" w:type="dxa"/>
          </w:tcPr>
          <w:p w14:paraId="3A303D51" w14:textId="35C5B56B" w:rsidR="00621803" w:rsidRPr="00A91D62" w:rsidRDefault="00621803" w:rsidP="00621803">
            <w:pPr>
              <w:pStyle w:val="DHHSbody"/>
              <w:rPr>
                <w:b/>
                <w:bCs/>
              </w:rPr>
            </w:pPr>
            <w:r w:rsidRPr="00A91D62">
              <w:rPr>
                <w:b/>
                <w:bCs/>
              </w:rPr>
              <w:t>Technical</w:t>
            </w:r>
          </w:p>
        </w:tc>
      </w:tr>
      <w:tr w:rsidR="00DC701D" w:rsidRPr="00621803" w14:paraId="54B52B3E" w14:textId="77777777" w:rsidTr="00621803">
        <w:tc>
          <w:tcPr>
            <w:tcW w:w="5670" w:type="dxa"/>
          </w:tcPr>
          <w:p w14:paraId="666F0AC0" w14:textId="70998B49" w:rsidR="00DC701D" w:rsidRPr="00621803" w:rsidRDefault="00DC701D" w:rsidP="00DC701D">
            <w:pPr>
              <w:pStyle w:val="DHHSbody"/>
            </w:pPr>
            <w:r w:rsidRPr="00621803">
              <w:t>Raising Awareness</w:t>
            </w:r>
          </w:p>
        </w:tc>
        <w:tc>
          <w:tcPr>
            <w:tcW w:w="3686" w:type="dxa"/>
          </w:tcPr>
          <w:p w14:paraId="799EC4FE" w14:textId="79D898EC" w:rsidR="00DC701D" w:rsidRPr="00A91D62" w:rsidRDefault="00DC701D" w:rsidP="00DC701D">
            <w:pPr>
              <w:pStyle w:val="DHHSbody"/>
              <w:rPr>
                <w:b/>
                <w:bCs/>
              </w:rPr>
            </w:pPr>
            <w:r w:rsidRPr="00A91D62">
              <w:rPr>
                <w:b/>
                <w:bCs/>
              </w:rPr>
              <w:t>Core</w:t>
            </w:r>
          </w:p>
        </w:tc>
      </w:tr>
      <w:tr w:rsidR="00DC701D" w:rsidRPr="00621803" w14:paraId="127BC3F8" w14:textId="77777777" w:rsidTr="00621803">
        <w:tc>
          <w:tcPr>
            <w:tcW w:w="5670" w:type="dxa"/>
          </w:tcPr>
          <w:p w14:paraId="05250741" w14:textId="4D815E6A" w:rsidR="00DC701D" w:rsidRPr="00621803" w:rsidRDefault="00DC701D" w:rsidP="00DC701D">
            <w:pPr>
              <w:pStyle w:val="DHHSbody"/>
            </w:pPr>
            <w:r w:rsidRPr="00621803">
              <w:t>Sector and Stakeholder Engagement</w:t>
            </w:r>
          </w:p>
        </w:tc>
        <w:tc>
          <w:tcPr>
            <w:tcW w:w="3686" w:type="dxa"/>
          </w:tcPr>
          <w:p w14:paraId="7EBBACD8" w14:textId="056F8468" w:rsidR="00DC701D" w:rsidRPr="00A91D62" w:rsidRDefault="00DC701D" w:rsidP="00DC701D">
            <w:pPr>
              <w:pStyle w:val="DHHSbody"/>
              <w:rPr>
                <w:b/>
                <w:bCs/>
              </w:rPr>
            </w:pPr>
            <w:r w:rsidRPr="00A91D62">
              <w:rPr>
                <w:b/>
                <w:bCs/>
              </w:rPr>
              <w:t>Core</w:t>
            </w:r>
          </w:p>
        </w:tc>
      </w:tr>
      <w:tr w:rsidR="00DC701D" w:rsidRPr="00621803" w14:paraId="4558D25F" w14:textId="77777777" w:rsidTr="00621803">
        <w:tc>
          <w:tcPr>
            <w:tcW w:w="5670" w:type="dxa"/>
          </w:tcPr>
          <w:p w14:paraId="60E18886" w14:textId="770FDBC0" w:rsidR="00DC701D" w:rsidRPr="00621803" w:rsidRDefault="00DC701D" w:rsidP="00DC701D">
            <w:pPr>
              <w:pStyle w:val="DHHSbody"/>
            </w:pPr>
            <w:r w:rsidRPr="00621803">
              <w:t>Data Analysis</w:t>
            </w:r>
          </w:p>
        </w:tc>
        <w:tc>
          <w:tcPr>
            <w:tcW w:w="3686" w:type="dxa"/>
          </w:tcPr>
          <w:p w14:paraId="1867BB9E" w14:textId="3DD98BC4" w:rsidR="00DC701D" w:rsidRPr="00A91D62" w:rsidRDefault="00DC701D" w:rsidP="00DC701D">
            <w:pPr>
              <w:pStyle w:val="DHHSbody"/>
              <w:rPr>
                <w:b/>
                <w:bCs/>
              </w:rPr>
            </w:pPr>
            <w:r w:rsidRPr="00A91D62">
              <w:rPr>
                <w:b/>
                <w:bCs/>
              </w:rPr>
              <w:t>Strategic</w:t>
            </w:r>
          </w:p>
        </w:tc>
      </w:tr>
      <w:tr w:rsidR="00DC701D" w:rsidRPr="00621803" w14:paraId="2BD9DB6E" w14:textId="77777777" w:rsidTr="00621803">
        <w:tc>
          <w:tcPr>
            <w:tcW w:w="5670" w:type="dxa"/>
          </w:tcPr>
          <w:p w14:paraId="68424BCF" w14:textId="366E4D63" w:rsidR="00DC701D" w:rsidRPr="00621803" w:rsidRDefault="00DC701D" w:rsidP="00DC701D">
            <w:pPr>
              <w:pStyle w:val="DHHSbody"/>
            </w:pPr>
            <w:r w:rsidRPr="00621803">
              <w:t>Education and Advice to Sector</w:t>
            </w:r>
          </w:p>
        </w:tc>
        <w:tc>
          <w:tcPr>
            <w:tcW w:w="3686" w:type="dxa"/>
          </w:tcPr>
          <w:p w14:paraId="23F7A117" w14:textId="58D82E1F" w:rsidR="00DC701D" w:rsidRPr="00A91D62" w:rsidRDefault="00DC701D" w:rsidP="00DC701D">
            <w:pPr>
              <w:pStyle w:val="DHHSbody"/>
              <w:rPr>
                <w:b/>
                <w:bCs/>
              </w:rPr>
            </w:pPr>
            <w:r w:rsidRPr="00A91D62">
              <w:rPr>
                <w:b/>
                <w:bCs/>
              </w:rPr>
              <w:t>Core</w:t>
            </w:r>
          </w:p>
        </w:tc>
      </w:tr>
      <w:tr w:rsidR="00DC701D" w:rsidRPr="00621803" w14:paraId="7841A8BF" w14:textId="77777777" w:rsidTr="00621803">
        <w:tc>
          <w:tcPr>
            <w:tcW w:w="5670" w:type="dxa"/>
          </w:tcPr>
          <w:p w14:paraId="414A62DF" w14:textId="409B9386" w:rsidR="00DC701D" w:rsidRPr="00621803" w:rsidRDefault="00DC701D" w:rsidP="00DC701D">
            <w:pPr>
              <w:pStyle w:val="DHHSbody"/>
            </w:pPr>
            <w:r w:rsidRPr="00621803">
              <w:t>Monitoring and Evaluation</w:t>
            </w:r>
          </w:p>
        </w:tc>
        <w:tc>
          <w:tcPr>
            <w:tcW w:w="3686" w:type="dxa"/>
          </w:tcPr>
          <w:p w14:paraId="062B5C07" w14:textId="786E3193" w:rsidR="00DC701D" w:rsidRPr="00A91D62" w:rsidRDefault="00DC701D" w:rsidP="00DC701D">
            <w:pPr>
              <w:pStyle w:val="DHHSbody"/>
              <w:rPr>
                <w:b/>
                <w:bCs/>
              </w:rPr>
            </w:pPr>
            <w:r w:rsidRPr="00A91D62">
              <w:rPr>
                <w:b/>
                <w:bCs/>
              </w:rPr>
              <w:t>Core</w:t>
            </w:r>
          </w:p>
        </w:tc>
      </w:tr>
      <w:tr w:rsidR="00DC701D" w14:paraId="62462B0D" w14:textId="77777777" w:rsidTr="00621803">
        <w:tc>
          <w:tcPr>
            <w:tcW w:w="5670" w:type="dxa"/>
          </w:tcPr>
          <w:p w14:paraId="24EC21D6" w14:textId="2B775D3D" w:rsidR="00DC701D" w:rsidRPr="00621803" w:rsidRDefault="00DC701D" w:rsidP="00DC701D">
            <w:pPr>
              <w:pStyle w:val="DHHSbody"/>
            </w:pPr>
            <w:r w:rsidRPr="00621803">
              <w:t>Working with Other Teams</w:t>
            </w:r>
          </w:p>
        </w:tc>
        <w:tc>
          <w:tcPr>
            <w:tcW w:w="3686" w:type="dxa"/>
          </w:tcPr>
          <w:p w14:paraId="75DD2C02" w14:textId="3670DE32" w:rsidR="00DC701D" w:rsidRPr="00A91D62" w:rsidRDefault="00DC701D" w:rsidP="00DC701D">
            <w:pPr>
              <w:pStyle w:val="DHHSbody"/>
              <w:rPr>
                <w:b/>
                <w:bCs/>
              </w:rPr>
            </w:pPr>
            <w:r w:rsidRPr="00A91D62">
              <w:rPr>
                <w:b/>
                <w:bCs/>
              </w:rPr>
              <w:t>Core</w:t>
            </w:r>
          </w:p>
        </w:tc>
      </w:tr>
    </w:tbl>
    <w:p w14:paraId="0FB865AB" w14:textId="77777777" w:rsidR="00EF211D" w:rsidRPr="00A91D62" w:rsidRDefault="00EF211D" w:rsidP="00981FF6">
      <w:pPr>
        <w:pStyle w:val="Heading3"/>
        <w:rPr>
          <w:color w:val="auto"/>
        </w:rPr>
      </w:pPr>
      <w:bookmarkStart w:id="42" w:name="_Toc86935177"/>
      <w:r w:rsidRPr="00A91D62">
        <w:rPr>
          <w:color w:val="auto"/>
        </w:rPr>
        <w:t>Capabilities identified by stakeholders as priorities for improvement</w:t>
      </w:r>
      <w:bookmarkEnd w:id="42"/>
    </w:p>
    <w:tbl>
      <w:tblPr>
        <w:tblStyle w:val="TableGrid"/>
        <w:tblW w:w="9356" w:type="dxa"/>
        <w:tblLook w:val="04A0" w:firstRow="1" w:lastRow="0" w:firstColumn="1" w:lastColumn="0" w:noHBand="0" w:noVBand="1"/>
      </w:tblPr>
      <w:tblGrid>
        <w:gridCol w:w="5670"/>
        <w:gridCol w:w="3686"/>
      </w:tblGrid>
      <w:tr w:rsidR="00621803" w:rsidRPr="00621803" w14:paraId="121A5951" w14:textId="77777777" w:rsidTr="00130952">
        <w:trPr>
          <w:tblHeader/>
        </w:trPr>
        <w:tc>
          <w:tcPr>
            <w:tcW w:w="5670" w:type="dxa"/>
            <w:shd w:val="clear" w:color="auto" w:fill="404040"/>
          </w:tcPr>
          <w:p w14:paraId="38700B00" w14:textId="77777777" w:rsidR="00621803" w:rsidRPr="00621803" w:rsidRDefault="00621803" w:rsidP="00694986">
            <w:pPr>
              <w:pStyle w:val="DHHSbody"/>
              <w:rPr>
                <w:rFonts w:ascii="Arial Nova Cond" w:hAnsi="Arial Nova Cond"/>
                <w:color w:val="FFFFFF" w:themeColor="background1"/>
              </w:rPr>
            </w:pPr>
            <w:r w:rsidRPr="00621803">
              <w:rPr>
                <w:rFonts w:ascii="Arial Nova Cond" w:hAnsi="Arial Nova Cond"/>
                <w:color w:val="FFFFFF" w:themeColor="background1"/>
              </w:rPr>
              <w:t>Capability identified</w:t>
            </w:r>
          </w:p>
        </w:tc>
        <w:tc>
          <w:tcPr>
            <w:tcW w:w="3686" w:type="dxa"/>
            <w:shd w:val="clear" w:color="auto" w:fill="404040"/>
          </w:tcPr>
          <w:p w14:paraId="3D62CB34" w14:textId="77777777" w:rsidR="00621803" w:rsidRPr="00621803" w:rsidRDefault="00621803" w:rsidP="00694986">
            <w:pPr>
              <w:pStyle w:val="DHHSbody"/>
              <w:rPr>
                <w:rFonts w:ascii="Arial Nova Cond" w:hAnsi="Arial Nova Cond"/>
                <w:color w:val="FFFFFF" w:themeColor="background1"/>
              </w:rPr>
            </w:pPr>
            <w:r w:rsidRPr="00621803">
              <w:rPr>
                <w:rFonts w:ascii="Arial Nova Cond" w:hAnsi="Arial Nova Cond"/>
                <w:color w:val="FFFFFF" w:themeColor="background1"/>
              </w:rPr>
              <w:t>Type of Capability</w:t>
            </w:r>
          </w:p>
        </w:tc>
      </w:tr>
      <w:tr w:rsidR="00621803" w:rsidRPr="00621803" w14:paraId="658177B0" w14:textId="111EB21A" w:rsidTr="00130952">
        <w:tc>
          <w:tcPr>
            <w:tcW w:w="5670" w:type="dxa"/>
          </w:tcPr>
          <w:p w14:paraId="30130A5E" w14:textId="77777777" w:rsidR="00621803" w:rsidRPr="00621803" w:rsidRDefault="00621803" w:rsidP="00621803">
            <w:pPr>
              <w:pStyle w:val="DHHSbody"/>
            </w:pPr>
            <w:r w:rsidRPr="00621803">
              <w:t>Understanding Regulatory Objectives</w:t>
            </w:r>
          </w:p>
        </w:tc>
        <w:tc>
          <w:tcPr>
            <w:tcW w:w="3686" w:type="dxa"/>
          </w:tcPr>
          <w:p w14:paraId="61A34FF5" w14:textId="030DA25C" w:rsidR="00621803" w:rsidRPr="00A91D62" w:rsidRDefault="00621803" w:rsidP="00621803">
            <w:pPr>
              <w:pStyle w:val="DHHSbody"/>
              <w:rPr>
                <w:b/>
                <w:bCs/>
              </w:rPr>
            </w:pPr>
            <w:r w:rsidRPr="00A91D62">
              <w:rPr>
                <w:b/>
                <w:bCs/>
              </w:rPr>
              <w:t>Strategic</w:t>
            </w:r>
          </w:p>
        </w:tc>
      </w:tr>
      <w:tr w:rsidR="00621803" w:rsidRPr="00621803" w14:paraId="5B8FC5E5" w14:textId="513F52E7" w:rsidTr="00130952">
        <w:tc>
          <w:tcPr>
            <w:tcW w:w="5670" w:type="dxa"/>
          </w:tcPr>
          <w:p w14:paraId="32D975FA" w14:textId="77777777" w:rsidR="00621803" w:rsidRPr="00621803" w:rsidRDefault="00621803" w:rsidP="00621803">
            <w:pPr>
              <w:pStyle w:val="DHHSbody"/>
            </w:pPr>
            <w:r w:rsidRPr="00621803">
              <w:t>Environmental Scanning</w:t>
            </w:r>
          </w:p>
        </w:tc>
        <w:tc>
          <w:tcPr>
            <w:tcW w:w="3686" w:type="dxa"/>
          </w:tcPr>
          <w:p w14:paraId="055C4D26" w14:textId="3D1A5AF2" w:rsidR="00621803" w:rsidRPr="00A91D62" w:rsidRDefault="00621803" w:rsidP="00621803">
            <w:pPr>
              <w:pStyle w:val="DHHSbody"/>
              <w:rPr>
                <w:b/>
                <w:bCs/>
              </w:rPr>
            </w:pPr>
            <w:r w:rsidRPr="00A91D62">
              <w:rPr>
                <w:b/>
                <w:bCs/>
              </w:rPr>
              <w:t>Strategic</w:t>
            </w:r>
          </w:p>
        </w:tc>
      </w:tr>
      <w:tr w:rsidR="00621803" w:rsidRPr="00621803" w14:paraId="0071FEBC" w14:textId="41086D7E" w:rsidTr="00130952">
        <w:tc>
          <w:tcPr>
            <w:tcW w:w="5670" w:type="dxa"/>
          </w:tcPr>
          <w:p w14:paraId="35A7C65F" w14:textId="77777777" w:rsidR="00621803" w:rsidRPr="00621803" w:rsidRDefault="00621803" w:rsidP="00621803">
            <w:pPr>
              <w:pStyle w:val="DHHSbody"/>
            </w:pPr>
            <w:r w:rsidRPr="00621803">
              <w:t>Monitoring Compliance</w:t>
            </w:r>
          </w:p>
        </w:tc>
        <w:tc>
          <w:tcPr>
            <w:tcW w:w="3686" w:type="dxa"/>
          </w:tcPr>
          <w:p w14:paraId="7B5D4792" w14:textId="69AF5531" w:rsidR="00621803" w:rsidRPr="00A91D62" w:rsidRDefault="00621803" w:rsidP="00621803">
            <w:pPr>
              <w:pStyle w:val="DHHSbody"/>
              <w:rPr>
                <w:b/>
                <w:bCs/>
              </w:rPr>
            </w:pPr>
            <w:r w:rsidRPr="00A91D62">
              <w:rPr>
                <w:b/>
                <w:bCs/>
              </w:rPr>
              <w:t>Technical</w:t>
            </w:r>
          </w:p>
        </w:tc>
      </w:tr>
      <w:tr w:rsidR="00621803" w:rsidRPr="00621803" w14:paraId="0F1563BE" w14:textId="448FB336" w:rsidTr="00130952">
        <w:tc>
          <w:tcPr>
            <w:tcW w:w="5670" w:type="dxa"/>
          </w:tcPr>
          <w:p w14:paraId="30462C11" w14:textId="77777777" w:rsidR="00621803" w:rsidRPr="00621803" w:rsidRDefault="00621803" w:rsidP="00621803">
            <w:pPr>
              <w:pStyle w:val="DHHSbody"/>
            </w:pPr>
            <w:r w:rsidRPr="00621803">
              <w:t>Sector/Stakeholder Engagement</w:t>
            </w:r>
          </w:p>
        </w:tc>
        <w:tc>
          <w:tcPr>
            <w:tcW w:w="3686" w:type="dxa"/>
          </w:tcPr>
          <w:p w14:paraId="57DAEC2B" w14:textId="345B7432" w:rsidR="00621803" w:rsidRPr="00A91D62" w:rsidRDefault="00621803" w:rsidP="00621803">
            <w:pPr>
              <w:pStyle w:val="DHHSbody"/>
              <w:rPr>
                <w:b/>
                <w:bCs/>
              </w:rPr>
            </w:pPr>
            <w:r w:rsidRPr="00A91D62">
              <w:rPr>
                <w:b/>
                <w:bCs/>
              </w:rPr>
              <w:t>Core</w:t>
            </w:r>
          </w:p>
        </w:tc>
      </w:tr>
      <w:tr w:rsidR="00621803" w:rsidRPr="00621803" w14:paraId="160435A7" w14:textId="04A30764" w:rsidTr="00130952">
        <w:tc>
          <w:tcPr>
            <w:tcW w:w="5670" w:type="dxa"/>
          </w:tcPr>
          <w:p w14:paraId="42A02DA7" w14:textId="0CDC8961" w:rsidR="00621803" w:rsidRPr="00621803" w:rsidRDefault="00621803" w:rsidP="00621803">
            <w:pPr>
              <w:pStyle w:val="DHHSbody"/>
            </w:pPr>
            <w:r w:rsidRPr="00621803">
              <w:t>Monitoring and Evaluation</w:t>
            </w:r>
          </w:p>
        </w:tc>
        <w:tc>
          <w:tcPr>
            <w:tcW w:w="3686" w:type="dxa"/>
          </w:tcPr>
          <w:p w14:paraId="7D5F2BAA" w14:textId="33857FC0" w:rsidR="00621803" w:rsidRPr="00A91D62" w:rsidRDefault="00621803" w:rsidP="00621803">
            <w:pPr>
              <w:pStyle w:val="DHHSbody"/>
              <w:rPr>
                <w:b/>
                <w:bCs/>
              </w:rPr>
            </w:pPr>
            <w:r w:rsidRPr="00A91D62">
              <w:rPr>
                <w:b/>
                <w:bCs/>
              </w:rPr>
              <w:t>Core</w:t>
            </w:r>
          </w:p>
        </w:tc>
      </w:tr>
    </w:tbl>
    <w:p w14:paraId="0A0DB375" w14:textId="339814A2" w:rsidR="00DC701D" w:rsidRDefault="00DC701D">
      <w:pPr>
        <w:rPr>
          <w:rFonts w:ascii="Arial" w:eastAsia="Times" w:hAnsi="Arial" w:cs="Arial"/>
          <w:b/>
          <w:bCs/>
          <w:sz w:val="24"/>
          <w:szCs w:val="24"/>
        </w:rPr>
      </w:pPr>
    </w:p>
    <w:p w14:paraId="09C80D62" w14:textId="77777777" w:rsidR="00694986" w:rsidRDefault="00694986" w:rsidP="00694986">
      <w:pPr>
        <w:pStyle w:val="Heading1"/>
        <w:sectPr w:rsidR="00694986" w:rsidSect="00FE6BE9">
          <w:footerReference w:type="even" r:id="rId18"/>
          <w:footerReference w:type="default" r:id="rId19"/>
          <w:pgSz w:w="11906" w:h="16838"/>
          <w:pgMar w:top="1701" w:right="1304" w:bottom="1134" w:left="1304" w:header="454" w:footer="567" w:gutter="0"/>
          <w:cols w:space="720"/>
          <w:docGrid w:linePitch="360"/>
        </w:sectPr>
      </w:pPr>
    </w:p>
    <w:p w14:paraId="35F920F5" w14:textId="3828A17D" w:rsidR="007F7845" w:rsidRPr="00A91D62" w:rsidRDefault="007F7845" w:rsidP="00694986">
      <w:pPr>
        <w:pStyle w:val="Heading1"/>
        <w:rPr>
          <w:color w:val="auto"/>
        </w:rPr>
      </w:pPr>
      <w:bookmarkStart w:id="43" w:name="_Toc86935178"/>
      <w:r w:rsidRPr="00A91D62">
        <w:rPr>
          <w:color w:val="auto"/>
        </w:rPr>
        <w:lastRenderedPageBreak/>
        <w:t xml:space="preserve">KPMG </w:t>
      </w:r>
      <w:r w:rsidR="00900353" w:rsidRPr="00A91D62">
        <w:rPr>
          <w:color w:val="auto"/>
        </w:rPr>
        <w:t>Contacts</w:t>
      </w:r>
      <w:bookmarkEnd w:id="43"/>
      <w:r w:rsidR="00900353" w:rsidRPr="00A91D62">
        <w:rPr>
          <w:color w:val="auto"/>
        </w:rPr>
        <w:t xml:space="preserve"> </w:t>
      </w:r>
    </w:p>
    <w:p w14:paraId="5AD64477" w14:textId="09785037" w:rsidR="00900353" w:rsidRPr="00900353" w:rsidRDefault="007F7845" w:rsidP="007F7845">
      <w:pPr>
        <w:pStyle w:val="DHHSbody"/>
      </w:pPr>
      <w:r>
        <w:t xml:space="preserve">Contacts </w:t>
      </w:r>
      <w:r w:rsidR="00900353" w:rsidRPr="00900353">
        <w:t>in relation to this document:</w:t>
      </w:r>
    </w:p>
    <w:p w14:paraId="73FCBAC5" w14:textId="77777777" w:rsidR="00900353" w:rsidRPr="00900353" w:rsidRDefault="00900353" w:rsidP="00694986">
      <w:pPr>
        <w:pStyle w:val="DHHSbody"/>
        <w:spacing w:after="60"/>
        <w:rPr>
          <w:b/>
          <w:bCs/>
        </w:rPr>
      </w:pPr>
      <w:r w:rsidRPr="00900353">
        <w:rPr>
          <w:b/>
          <w:bCs/>
        </w:rPr>
        <w:t>Corrina Bertram</w:t>
      </w:r>
    </w:p>
    <w:p w14:paraId="41960988" w14:textId="77777777" w:rsidR="00900353" w:rsidRDefault="00900353" w:rsidP="00FF3F56">
      <w:pPr>
        <w:pStyle w:val="DHHSbody"/>
        <w:spacing w:before="60" w:after="60"/>
      </w:pPr>
      <w:r>
        <w:t>Partner</w:t>
      </w:r>
    </w:p>
    <w:p w14:paraId="33F88AE3" w14:textId="77777777" w:rsidR="00900353" w:rsidRDefault="00900353" w:rsidP="00FF3F56">
      <w:pPr>
        <w:pStyle w:val="DHHSbody"/>
        <w:spacing w:before="60" w:after="60"/>
      </w:pPr>
      <w:r>
        <w:t>T:</w:t>
      </w:r>
      <w:r>
        <w:tab/>
        <w:t>+61 3 9838 4564</w:t>
      </w:r>
    </w:p>
    <w:p w14:paraId="60F4F031" w14:textId="1F9CE397" w:rsidR="00900353" w:rsidRDefault="00900353" w:rsidP="00FF3F56">
      <w:pPr>
        <w:pStyle w:val="DHHSbody"/>
        <w:spacing w:before="60" w:after="60"/>
      </w:pPr>
      <w:r>
        <w:t>E:</w:t>
      </w:r>
      <w:r>
        <w:tab/>
      </w:r>
      <w:hyperlink r:id="rId20" w:history="1">
        <w:r w:rsidRPr="00640C82">
          <w:rPr>
            <w:rStyle w:val="Hyperlink"/>
          </w:rPr>
          <w:t>cjbertram@kpmg.com.au</w:t>
        </w:r>
      </w:hyperlink>
      <w:r>
        <w:t xml:space="preserve"> </w:t>
      </w:r>
    </w:p>
    <w:p w14:paraId="7A7A719F" w14:textId="3DA5EF50" w:rsidR="00900353" w:rsidRPr="00900353" w:rsidRDefault="00900353" w:rsidP="00694986">
      <w:pPr>
        <w:pStyle w:val="DHHSbody"/>
        <w:spacing w:after="60"/>
        <w:rPr>
          <w:b/>
          <w:bCs/>
        </w:rPr>
      </w:pPr>
      <w:r w:rsidRPr="00900353">
        <w:rPr>
          <w:b/>
          <w:bCs/>
        </w:rPr>
        <w:t>Adam Mason-Jefferies</w:t>
      </w:r>
    </w:p>
    <w:p w14:paraId="4665D187" w14:textId="77777777" w:rsidR="00900353" w:rsidRDefault="00900353" w:rsidP="00FF3F56">
      <w:pPr>
        <w:pStyle w:val="DHHSbody"/>
        <w:spacing w:before="60" w:after="60"/>
      </w:pPr>
      <w:r>
        <w:t>Director</w:t>
      </w:r>
    </w:p>
    <w:p w14:paraId="4B24101E" w14:textId="77777777" w:rsidR="00900353" w:rsidRDefault="00900353" w:rsidP="00FF3F56">
      <w:pPr>
        <w:pStyle w:val="DHHSbody"/>
        <w:spacing w:before="60" w:after="60"/>
      </w:pPr>
      <w:r>
        <w:t>T:</w:t>
      </w:r>
      <w:r>
        <w:tab/>
        <w:t>+61 3 9288 6026</w:t>
      </w:r>
    </w:p>
    <w:p w14:paraId="418B3434" w14:textId="6AB8D912" w:rsidR="00900353" w:rsidRDefault="00900353" w:rsidP="00FF3F56">
      <w:pPr>
        <w:pStyle w:val="DHHSbody"/>
        <w:spacing w:before="60" w:after="60"/>
      </w:pPr>
      <w:r>
        <w:t>E:</w:t>
      </w:r>
      <w:r>
        <w:tab/>
      </w:r>
      <w:hyperlink r:id="rId21" w:history="1">
        <w:r w:rsidRPr="00640C82">
          <w:rPr>
            <w:rStyle w:val="Hyperlink"/>
          </w:rPr>
          <w:t>amjefferies@kpmg.com.au</w:t>
        </w:r>
      </w:hyperlink>
      <w:r>
        <w:t xml:space="preserve"> </w:t>
      </w:r>
    </w:p>
    <w:p w14:paraId="07435B8B" w14:textId="77777777" w:rsidR="00900353" w:rsidRPr="00900353" w:rsidRDefault="00900353" w:rsidP="00694986">
      <w:pPr>
        <w:pStyle w:val="DHHSbody"/>
        <w:spacing w:after="60"/>
        <w:rPr>
          <w:b/>
          <w:bCs/>
        </w:rPr>
      </w:pPr>
      <w:r w:rsidRPr="00900353">
        <w:rPr>
          <w:b/>
          <w:bCs/>
        </w:rPr>
        <w:t>Ethan Bowering</w:t>
      </w:r>
    </w:p>
    <w:p w14:paraId="3E1B9E51" w14:textId="77777777" w:rsidR="00900353" w:rsidRDefault="00900353" w:rsidP="00FF3F56">
      <w:pPr>
        <w:pStyle w:val="DHHSbody"/>
        <w:spacing w:before="60" w:after="60"/>
      </w:pPr>
      <w:r>
        <w:t>Manager</w:t>
      </w:r>
    </w:p>
    <w:p w14:paraId="44955374" w14:textId="234BAA5A" w:rsidR="00900353" w:rsidRDefault="00900353" w:rsidP="00FF3F56">
      <w:pPr>
        <w:pStyle w:val="DHHSbody"/>
        <w:spacing w:before="60" w:after="60"/>
      </w:pPr>
      <w:r>
        <w:t>T:</w:t>
      </w:r>
      <w:r>
        <w:tab/>
        <w:t xml:space="preserve">+61 3 9288 6172 </w:t>
      </w:r>
    </w:p>
    <w:p w14:paraId="2FAF74AA" w14:textId="75CDB27E" w:rsidR="00900353" w:rsidRDefault="00900353" w:rsidP="00FF3F56">
      <w:pPr>
        <w:pStyle w:val="DHHSbody"/>
        <w:spacing w:before="60" w:after="60"/>
      </w:pPr>
      <w:r>
        <w:t>E:</w:t>
      </w:r>
      <w:r>
        <w:tab/>
      </w:r>
      <w:hyperlink r:id="rId22" w:history="1">
        <w:r w:rsidRPr="00640C82">
          <w:rPr>
            <w:rStyle w:val="Hyperlink"/>
          </w:rPr>
          <w:t>ebowering@kpmg.com.au</w:t>
        </w:r>
      </w:hyperlink>
      <w:r>
        <w:t xml:space="preserve"> </w:t>
      </w:r>
    </w:p>
    <w:p w14:paraId="242EE9B8" w14:textId="5B2B0033" w:rsidR="00900353" w:rsidRDefault="000474E0" w:rsidP="00694986">
      <w:pPr>
        <w:pStyle w:val="DHHSbody"/>
        <w:spacing w:before="240"/>
      </w:pPr>
      <w:hyperlink r:id="rId23" w:history="1">
        <w:r w:rsidR="00900353" w:rsidRPr="00640C82">
          <w:rPr>
            <w:rStyle w:val="Hyperlink"/>
          </w:rPr>
          <w:t>KPMG.com.au</w:t>
        </w:r>
      </w:hyperlink>
      <w:r w:rsidR="00900353">
        <w:t xml:space="preserve"> </w:t>
      </w:r>
    </w:p>
    <w:p w14:paraId="15929483" w14:textId="77777777" w:rsidR="00900353" w:rsidRDefault="00900353" w:rsidP="00900353">
      <w:pPr>
        <w:pStyle w:val="DHHSbody"/>
      </w:pPr>
      <w:r>
        <w:t xml:space="preserve">©2021 KPMG, an Australian </w:t>
      </w:r>
      <w:proofErr w:type="gramStart"/>
      <w:r>
        <w:t>partnership</w:t>
      </w:r>
      <w:proofErr w:type="gramEnd"/>
      <w:r>
        <w:t xml:space="preserve"> and a member firm of the KPMG global organisation of independent member firms affiliated with KPMG International Limited, a private English company limited by guarantee. All rights reserved.</w:t>
      </w:r>
    </w:p>
    <w:p w14:paraId="3358188B" w14:textId="77777777" w:rsidR="00900353" w:rsidRDefault="00900353" w:rsidP="00900353">
      <w:pPr>
        <w:pStyle w:val="DHHSbody"/>
      </w:pPr>
      <w:r>
        <w:t>The KPMG name and logo are trademarks used under license by the independent member firms of the KPMG global organisation.</w:t>
      </w:r>
    </w:p>
    <w:p w14:paraId="55B253C0" w14:textId="77777777" w:rsidR="00900353" w:rsidRDefault="00900353" w:rsidP="00900353">
      <w:pPr>
        <w:pStyle w:val="DHHSbody"/>
      </w:pPr>
      <w:r>
        <w:t xml:space="preserve">The information contained in this document is of a general nature and is not intended to address the objectives, financial situation or needs of any </w:t>
      </w:r>
      <w:proofErr w:type="gramStart"/>
      <w:r>
        <w:t>particular individual</w:t>
      </w:r>
      <w:proofErr w:type="gramEnd"/>
      <w:r>
        <w:t xml:space="preserve"> or entity. It is provided for information purposes only and does not constitute, nor should it be regarded in any manner whatsoever, as advice and is not intended to influence a person in </w:t>
      </w:r>
      <w:proofErr w:type="gramStart"/>
      <w:r>
        <w:t>making a decision</w:t>
      </w:r>
      <w:proofErr w:type="gramEnd"/>
      <w:r>
        <w:t xml:space="preserve">, including, if applicable, in relation to any financial product or an interest in a financial product. Although we endeavour to provide accurate and timely information, there can be no guarantee that such information is accurate as of the date it is received or that it will continue to be accurate in the future. No one should act on such information without appropriate professional advice after a thorough examination of the </w:t>
      </w:r>
      <w:proofErr w:type="gramStart"/>
      <w:r>
        <w:t>particular situation</w:t>
      </w:r>
      <w:proofErr w:type="gramEnd"/>
      <w:r>
        <w:t>.</w:t>
      </w:r>
    </w:p>
    <w:p w14:paraId="3543E2FD" w14:textId="77777777" w:rsidR="00900353" w:rsidRDefault="00900353" w:rsidP="00900353">
      <w:pPr>
        <w:pStyle w:val="DHHSbody"/>
      </w:pPr>
      <w:r>
        <w:t xml:space="preserve">To the extent permissible by law, KPMG and its associated entities shall not be liable for any errors, omissions, </w:t>
      </w:r>
      <w:proofErr w:type="gramStart"/>
      <w:r>
        <w:t>defects</w:t>
      </w:r>
      <w:proofErr w:type="gramEnd"/>
      <w:r>
        <w:t xml:space="preserve"> or misrepresentations in the information or for any loss or damage suffered by persons who use or rely on such information (including for reasons of negligence, negligent misstatement or otherwise).</w:t>
      </w:r>
    </w:p>
    <w:p w14:paraId="628CFDE5" w14:textId="2F6BE84E" w:rsidR="00900353" w:rsidRDefault="00900353" w:rsidP="00900353">
      <w:pPr>
        <w:pStyle w:val="DHHSbody"/>
      </w:pPr>
      <w:r>
        <w:t>Liability limited by a scheme approved under Professional Standards Legislation.</w:t>
      </w:r>
      <w:bookmarkEnd w:id="2"/>
    </w:p>
    <w:p w14:paraId="15557BB4" w14:textId="77777777" w:rsidR="00A91D62" w:rsidRPr="000474E0" w:rsidRDefault="00A91D62" w:rsidP="00A91D62">
      <w:pPr>
        <w:spacing w:before="19"/>
        <w:ind w:left="20" w:right="-16"/>
        <w:rPr>
          <w:rFonts w:ascii="Arial Nova Cond Light" w:hAnsi="Arial Nova Cond Light"/>
          <w:b/>
          <w:sz w:val="22"/>
          <w:szCs w:val="22"/>
        </w:rPr>
      </w:pPr>
      <w:r w:rsidRPr="000474E0">
        <w:rPr>
          <w:rFonts w:ascii="Arial Nova Cond Light" w:hAnsi="Arial Nova Cond Light"/>
          <w:sz w:val="22"/>
          <w:szCs w:val="22"/>
        </w:rPr>
        <w:t xml:space="preserve">©2021 KPMG, an Australian </w:t>
      </w:r>
      <w:proofErr w:type="gramStart"/>
      <w:r w:rsidRPr="000474E0">
        <w:rPr>
          <w:rFonts w:ascii="Arial Nova Cond Light" w:hAnsi="Arial Nova Cond Light"/>
          <w:sz w:val="22"/>
          <w:szCs w:val="22"/>
        </w:rPr>
        <w:t>partnership</w:t>
      </w:r>
      <w:proofErr w:type="gramEnd"/>
      <w:r w:rsidRPr="000474E0">
        <w:rPr>
          <w:rFonts w:ascii="Arial Nova Cond Light" w:hAnsi="Arial Nova Cond Light"/>
          <w:sz w:val="22"/>
          <w:szCs w:val="22"/>
        </w:rPr>
        <w:t xml:space="preserve"> and a member firm of the KPMG global organisation of independent member firms affiliated with KPMG International Limited, a private English company limited by guarantee. All rights reserved. The </w:t>
      </w:r>
      <w:r w:rsidRPr="000474E0">
        <w:rPr>
          <w:rFonts w:ascii="Arial Nova Cond Light" w:hAnsi="Arial Nova Cond Light"/>
          <w:sz w:val="22"/>
          <w:szCs w:val="22"/>
        </w:rPr>
        <w:lastRenderedPageBreak/>
        <w:t xml:space="preserve">KPMG name and logo are trademarks used under license by the independent member firms of the KPMG global organisation. </w:t>
      </w:r>
    </w:p>
    <w:p w14:paraId="59BBD133" w14:textId="7F426BD7" w:rsidR="00A91D62" w:rsidRPr="000474E0" w:rsidRDefault="00A91D62" w:rsidP="00A91D62">
      <w:pPr>
        <w:spacing w:before="19"/>
        <w:ind w:left="20" w:right="-16"/>
        <w:rPr>
          <w:rFonts w:ascii="Arial Nova Cond Light" w:hAnsi="Arial Nova Cond Light"/>
          <w:sz w:val="22"/>
          <w:szCs w:val="22"/>
        </w:rPr>
      </w:pPr>
      <w:r w:rsidRPr="000474E0">
        <w:rPr>
          <w:rFonts w:ascii="Arial Nova Cond Light" w:hAnsi="Arial Nova Cond Light"/>
          <w:sz w:val="22"/>
          <w:szCs w:val="22"/>
        </w:rPr>
        <w:t>Liability limited by a scheme approved under Professional Standards Legislation.</w:t>
      </w:r>
    </w:p>
    <w:sectPr w:rsidR="00A91D62" w:rsidRPr="000474E0" w:rsidSect="00FE6BE9">
      <w:footerReference w:type="even" r:id="rId24"/>
      <w:footerReference w:type="default" r:id="rId25"/>
      <w:pgSz w:w="11906" w:h="16838"/>
      <w:pgMar w:top="1701" w:right="1304" w:bottom="1134" w:left="1304" w:header="45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D36AE" w14:textId="77777777" w:rsidR="00A91D62" w:rsidRDefault="00A91D62">
      <w:r>
        <w:separator/>
      </w:r>
    </w:p>
  </w:endnote>
  <w:endnote w:type="continuationSeparator" w:id="0">
    <w:p w14:paraId="4B2600F4" w14:textId="77777777" w:rsidR="00A91D62" w:rsidRDefault="00A9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ova Cond Light">
    <w:charset w:val="00"/>
    <w:family w:val="swiss"/>
    <w:pitch w:val="variable"/>
    <w:sig w:usb0="0000028F"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Lucida Grande">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for KPMG Light">
    <w:altName w:val="Calibri"/>
    <w:charset w:val="00"/>
    <w:family w:val="swiss"/>
    <w:pitch w:val="variable"/>
    <w:sig w:usb0="800002AF" w:usb1="5000204A" w:usb2="00000000" w:usb3="00000000" w:csb0="0000009F" w:csb1="00000000"/>
  </w:font>
  <w:font w:name="Univers 45 Light">
    <w:altName w:val="Calibri"/>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87A36" w14:textId="77777777" w:rsidR="002131E1" w:rsidRDefault="002131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36480" w14:textId="77777777" w:rsidR="002131E1" w:rsidRDefault="002131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75B0B" w14:textId="77777777" w:rsidR="002131E1" w:rsidRDefault="002131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2D8F6" w14:textId="1770E1D4" w:rsidR="00A91D62" w:rsidRDefault="00A91D62" w:rsidP="00694986">
    <w:pPr>
      <w:pStyle w:val="DHHSfooter"/>
    </w:pPr>
    <w:r>
      <w:t xml:space="preserve">KPMG – </w:t>
    </w:r>
    <w:r w:rsidRPr="00694986">
      <w:t>Agriculture Victoria Regulatory Capability Assessment</w:t>
    </w:r>
    <w:r w:rsidRPr="0031753A">
      <w:tab/>
      <w:t xml:space="preserve">Page </w:t>
    </w:r>
    <w:r w:rsidRPr="0031753A">
      <w:fldChar w:fldCharType="begin"/>
    </w:r>
    <w:r w:rsidRPr="0031753A">
      <w:instrText xml:space="preserve"> PAGE </w:instrText>
    </w:r>
    <w:r w:rsidRPr="0031753A">
      <w:fldChar w:fldCharType="separate"/>
    </w:r>
    <w:r>
      <w:t>3</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C5607" w14:textId="4DFAF285" w:rsidR="00A91D62" w:rsidRPr="00F52D72" w:rsidRDefault="00A91D62" w:rsidP="00F52D72">
    <w:pPr>
      <w:pStyle w:val="DHHSfooter"/>
    </w:pPr>
    <w:r>
      <w:t xml:space="preserve">KPMG – </w:t>
    </w:r>
    <w:r w:rsidRPr="00694986">
      <w:t>Agriculture Victoria Regulatory Capability Assessment</w:t>
    </w:r>
    <w:r w:rsidRPr="0031753A">
      <w:tab/>
      <w:t xml:space="preserve">Page </w:t>
    </w:r>
    <w:r w:rsidRPr="0031753A">
      <w:fldChar w:fldCharType="begin"/>
    </w:r>
    <w:r w:rsidRPr="0031753A">
      <w:instrText xml:space="preserve"> PAGE </w:instrText>
    </w:r>
    <w:r w:rsidRPr="0031753A">
      <w:fldChar w:fldCharType="separate"/>
    </w:r>
    <w:r>
      <w:t>16</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E689E" w14:textId="0A698197" w:rsidR="00A91D62" w:rsidRPr="00ED5F7F" w:rsidRDefault="00A91D62" w:rsidP="00ED5F7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B1D00" w14:textId="09C6EC82" w:rsidR="00A91D62" w:rsidRPr="00A91D62" w:rsidRDefault="00A91D62" w:rsidP="00A91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86F66" w14:textId="77777777" w:rsidR="00A91D62" w:rsidRDefault="00A91D62">
      <w:r>
        <w:separator/>
      </w:r>
    </w:p>
  </w:footnote>
  <w:footnote w:type="continuationSeparator" w:id="0">
    <w:p w14:paraId="1349C91D" w14:textId="77777777" w:rsidR="00A91D62" w:rsidRDefault="00A91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20187" w14:textId="77777777" w:rsidR="002131E1" w:rsidRDefault="002131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5437F" w14:textId="77777777" w:rsidR="002131E1" w:rsidRDefault="002131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0A8D4" w14:textId="77777777" w:rsidR="002131E1" w:rsidRDefault="00213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D43DB"/>
    <w:multiLevelType w:val="multilevel"/>
    <w:tmpl w:val="1376D9DC"/>
    <w:numStyleLink w:val="ZZNumbersdigit"/>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4" w15:restartNumberingAfterBreak="0">
    <w:nsid w:val="51532FFC"/>
    <w:multiLevelType w:val="multilevel"/>
    <w:tmpl w:val="4BE0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4BA1E5A"/>
    <w:multiLevelType w:val="multilevel"/>
    <w:tmpl w:val="57E07CE6"/>
    <w:styleLink w:val="ZZBullets"/>
    <w:lvl w:ilvl="0">
      <w:start w:val="1"/>
      <w:numFmt w:val="bullet"/>
      <w:pStyle w:val="Bulletpoin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Bulletpoin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9A96B06"/>
    <w:multiLevelType w:val="hybridMultilevel"/>
    <w:tmpl w:val="2C507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B16860"/>
    <w:multiLevelType w:val="hybridMultilevel"/>
    <w:tmpl w:val="E09A1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AF5FF0"/>
    <w:multiLevelType w:val="hybridMultilevel"/>
    <w:tmpl w:val="64C2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lvl w:ilvl="0">
        <w:start w:val="1"/>
        <w:numFmt w:val="bullet"/>
        <w:pStyle w:val="Bulletpoint1"/>
        <w:lvlText w:val="•"/>
        <w:lvlJc w:val="left"/>
        <w:pPr>
          <w:ind w:left="284" w:hanging="284"/>
        </w:pPr>
        <w:rPr>
          <w:rFonts w:ascii="Calibri" w:hAnsi="Calibri" w:hint="default"/>
          <w:color w:val="auto"/>
        </w:rPr>
      </w:lvl>
    </w:lvlOverride>
  </w:num>
  <w:num w:numId="2">
    <w:abstractNumId w:val="1"/>
  </w:num>
  <w:num w:numId="3">
    <w:abstractNumId w:val="3"/>
  </w:num>
  <w:num w:numId="4">
    <w:abstractNumId w:val="5"/>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8"/>
  </w:num>
  <w:num w:numId="1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F2D"/>
    <w:rsid w:val="00002780"/>
    <w:rsid w:val="00002990"/>
    <w:rsid w:val="000048AC"/>
    <w:rsid w:val="00014FC4"/>
    <w:rsid w:val="00020AAB"/>
    <w:rsid w:val="000223A4"/>
    <w:rsid w:val="000224A6"/>
    <w:rsid w:val="00022E60"/>
    <w:rsid w:val="00026C19"/>
    <w:rsid w:val="00031263"/>
    <w:rsid w:val="00040C8A"/>
    <w:rsid w:val="000426B2"/>
    <w:rsid w:val="00045348"/>
    <w:rsid w:val="000474E0"/>
    <w:rsid w:val="00052A40"/>
    <w:rsid w:val="00060E93"/>
    <w:rsid w:val="00064936"/>
    <w:rsid w:val="000734F8"/>
    <w:rsid w:val="000736B8"/>
    <w:rsid w:val="000817CB"/>
    <w:rsid w:val="000873EF"/>
    <w:rsid w:val="000A6564"/>
    <w:rsid w:val="000B3792"/>
    <w:rsid w:val="000C6242"/>
    <w:rsid w:val="000C68DB"/>
    <w:rsid w:val="000C770F"/>
    <w:rsid w:val="000D2C32"/>
    <w:rsid w:val="000E120E"/>
    <w:rsid w:val="000E269F"/>
    <w:rsid w:val="000E6F72"/>
    <w:rsid w:val="000F0478"/>
    <w:rsid w:val="000F0A50"/>
    <w:rsid w:val="000F6833"/>
    <w:rsid w:val="00103D5E"/>
    <w:rsid w:val="00104EA7"/>
    <w:rsid w:val="00105FAD"/>
    <w:rsid w:val="0011155B"/>
    <w:rsid w:val="00111A6A"/>
    <w:rsid w:val="001134E1"/>
    <w:rsid w:val="00114961"/>
    <w:rsid w:val="00117480"/>
    <w:rsid w:val="00121BF1"/>
    <w:rsid w:val="001267A9"/>
    <w:rsid w:val="00127A8B"/>
    <w:rsid w:val="00130625"/>
    <w:rsid w:val="00130952"/>
    <w:rsid w:val="00130D83"/>
    <w:rsid w:val="00134BE5"/>
    <w:rsid w:val="001406F4"/>
    <w:rsid w:val="001412D1"/>
    <w:rsid w:val="001423E3"/>
    <w:rsid w:val="001475EA"/>
    <w:rsid w:val="001504F5"/>
    <w:rsid w:val="001517BD"/>
    <w:rsid w:val="00154FD9"/>
    <w:rsid w:val="0016091F"/>
    <w:rsid w:val="0017248D"/>
    <w:rsid w:val="00173626"/>
    <w:rsid w:val="001737E4"/>
    <w:rsid w:val="0017614A"/>
    <w:rsid w:val="001817CD"/>
    <w:rsid w:val="0018235E"/>
    <w:rsid w:val="0018768C"/>
    <w:rsid w:val="00192BA0"/>
    <w:rsid w:val="00193F4F"/>
    <w:rsid w:val="00197303"/>
    <w:rsid w:val="0019796C"/>
    <w:rsid w:val="001A17EA"/>
    <w:rsid w:val="001A1D17"/>
    <w:rsid w:val="001A22AA"/>
    <w:rsid w:val="001A7A18"/>
    <w:rsid w:val="001B1565"/>
    <w:rsid w:val="001B166D"/>
    <w:rsid w:val="001B199D"/>
    <w:rsid w:val="001B1FAD"/>
    <w:rsid w:val="001B28B5"/>
    <w:rsid w:val="001B2975"/>
    <w:rsid w:val="001B2F65"/>
    <w:rsid w:val="001C122D"/>
    <w:rsid w:val="001C72E3"/>
    <w:rsid w:val="001D2A82"/>
    <w:rsid w:val="001D569B"/>
    <w:rsid w:val="001E0EA3"/>
    <w:rsid w:val="001E4995"/>
    <w:rsid w:val="001E7A42"/>
    <w:rsid w:val="001F09DC"/>
    <w:rsid w:val="001F43E6"/>
    <w:rsid w:val="00204032"/>
    <w:rsid w:val="002078E9"/>
    <w:rsid w:val="002130DB"/>
    <w:rsid w:val="002131E1"/>
    <w:rsid w:val="00213772"/>
    <w:rsid w:val="00220749"/>
    <w:rsid w:val="0022422C"/>
    <w:rsid w:val="00224D0E"/>
    <w:rsid w:val="0022724E"/>
    <w:rsid w:val="00230666"/>
    <w:rsid w:val="00231153"/>
    <w:rsid w:val="0023252E"/>
    <w:rsid w:val="0024175F"/>
    <w:rsid w:val="00241C31"/>
    <w:rsid w:val="0024616E"/>
    <w:rsid w:val="00254499"/>
    <w:rsid w:val="002605A2"/>
    <w:rsid w:val="002679D5"/>
    <w:rsid w:val="00270FBA"/>
    <w:rsid w:val="002714FD"/>
    <w:rsid w:val="00275F94"/>
    <w:rsid w:val="00281B9C"/>
    <w:rsid w:val="00284C9B"/>
    <w:rsid w:val="00286E17"/>
    <w:rsid w:val="00287689"/>
    <w:rsid w:val="00291D07"/>
    <w:rsid w:val="0029282C"/>
    <w:rsid w:val="002A141B"/>
    <w:rsid w:val="002A255E"/>
    <w:rsid w:val="002A26B6"/>
    <w:rsid w:val="002A6A4E"/>
    <w:rsid w:val="002A7996"/>
    <w:rsid w:val="002B5A85"/>
    <w:rsid w:val="002B63A7"/>
    <w:rsid w:val="002C2AF6"/>
    <w:rsid w:val="002C5543"/>
    <w:rsid w:val="002C55B6"/>
    <w:rsid w:val="002D0F7F"/>
    <w:rsid w:val="002D7AF9"/>
    <w:rsid w:val="002E0198"/>
    <w:rsid w:val="002E1D7C"/>
    <w:rsid w:val="002E4EDC"/>
    <w:rsid w:val="002E63DA"/>
    <w:rsid w:val="002F449B"/>
    <w:rsid w:val="002F4D86"/>
    <w:rsid w:val="002F5D69"/>
    <w:rsid w:val="002F7C77"/>
    <w:rsid w:val="00300CB3"/>
    <w:rsid w:val="00302FA6"/>
    <w:rsid w:val="0030394B"/>
    <w:rsid w:val="003072C6"/>
    <w:rsid w:val="00310D8E"/>
    <w:rsid w:val="00315BBD"/>
    <w:rsid w:val="0031753A"/>
    <w:rsid w:val="00320293"/>
    <w:rsid w:val="00322CC2"/>
    <w:rsid w:val="00324157"/>
    <w:rsid w:val="003271DC"/>
    <w:rsid w:val="00334B54"/>
    <w:rsid w:val="0033739E"/>
    <w:rsid w:val="00343733"/>
    <w:rsid w:val="00350DDE"/>
    <w:rsid w:val="00355886"/>
    <w:rsid w:val="00356814"/>
    <w:rsid w:val="0037685A"/>
    <w:rsid w:val="0038019F"/>
    <w:rsid w:val="00382071"/>
    <w:rsid w:val="00387C93"/>
    <w:rsid w:val="003A2F25"/>
    <w:rsid w:val="003B2807"/>
    <w:rsid w:val="003C6365"/>
    <w:rsid w:val="003C68F2"/>
    <w:rsid w:val="003D5CFB"/>
    <w:rsid w:val="003E055D"/>
    <w:rsid w:val="003E2636"/>
    <w:rsid w:val="003E2E12"/>
    <w:rsid w:val="003E65F2"/>
    <w:rsid w:val="003F0ABF"/>
    <w:rsid w:val="003F39CE"/>
    <w:rsid w:val="00401108"/>
    <w:rsid w:val="00402927"/>
    <w:rsid w:val="00407413"/>
    <w:rsid w:val="00407993"/>
    <w:rsid w:val="00411833"/>
    <w:rsid w:val="00412F64"/>
    <w:rsid w:val="00413EFA"/>
    <w:rsid w:val="004140FB"/>
    <w:rsid w:val="00417BEB"/>
    <w:rsid w:val="004233A9"/>
    <w:rsid w:val="004239D6"/>
    <w:rsid w:val="004324FF"/>
    <w:rsid w:val="00432A55"/>
    <w:rsid w:val="004332D8"/>
    <w:rsid w:val="0044260A"/>
    <w:rsid w:val="00444931"/>
    <w:rsid w:val="00444D82"/>
    <w:rsid w:val="00447456"/>
    <w:rsid w:val="00454BF7"/>
    <w:rsid w:val="004550D1"/>
    <w:rsid w:val="004564C6"/>
    <w:rsid w:val="004610CC"/>
    <w:rsid w:val="00465464"/>
    <w:rsid w:val="00465E87"/>
    <w:rsid w:val="00472AB9"/>
    <w:rsid w:val="0047786A"/>
    <w:rsid w:val="00477A65"/>
    <w:rsid w:val="00481A3F"/>
    <w:rsid w:val="00482DB3"/>
    <w:rsid w:val="00485F20"/>
    <w:rsid w:val="00497C5F"/>
    <w:rsid w:val="004A0236"/>
    <w:rsid w:val="004A369A"/>
    <w:rsid w:val="004A3B3E"/>
    <w:rsid w:val="004A62E7"/>
    <w:rsid w:val="004B5885"/>
    <w:rsid w:val="004C4AC5"/>
    <w:rsid w:val="004C5777"/>
    <w:rsid w:val="004D0173"/>
    <w:rsid w:val="004D1056"/>
    <w:rsid w:val="004E1EDE"/>
    <w:rsid w:val="004E21E2"/>
    <w:rsid w:val="004E293F"/>
    <w:rsid w:val="004E380D"/>
    <w:rsid w:val="004E50EE"/>
    <w:rsid w:val="004E7922"/>
    <w:rsid w:val="004F0DC6"/>
    <w:rsid w:val="004F0DFC"/>
    <w:rsid w:val="004F3441"/>
    <w:rsid w:val="004F41B2"/>
    <w:rsid w:val="004F4AFC"/>
    <w:rsid w:val="004F52A5"/>
    <w:rsid w:val="00500C8C"/>
    <w:rsid w:val="00501375"/>
    <w:rsid w:val="00501D3B"/>
    <w:rsid w:val="005022C9"/>
    <w:rsid w:val="00503657"/>
    <w:rsid w:val="0050779D"/>
    <w:rsid w:val="005139EA"/>
    <w:rsid w:val="00520BBB"/>
    <w:rsid w:val="00525456"/>
    <w:rsid w:val="00532236"/>
    <w:rsid w:val="005366FB"/>
    <w:rsid w:val="00540CA9"/>
    <w:rsid w:val="00541DFE"/>
    <w:rsid w:val="00543E6C"/>
    <w:rsid w:val="00544184"/>
    <w:rsid w:val="00552012"/>
    <w:rsid w:val="005529FF"/>
    <w:rsid w:val="00553665"/>
    <w:rsid w:val="005552FD"/>
    <w:rsid w:val="005600E5"/>
    <w:rsid w:val="00560772"/>
    <w:rsid w:val="00564E8F"/>
    <w:rsid w:val="005728A4"/>
    <w:rsid w:val="005763FC"/>
    <w:rsid w:val="00576EB4"/>
    <w:rsid w:val="00582768"/>
    <w:rsid w:val="00583461"/>
    <w:rsid w:val="00584377"/>
    <w:rsid w:val="005856A4"/>
    <w:rsid w:val="00590730"/>
    <w:rsid w:val="005A0368"/>
    <w:rsid w:val="005A3051"/>
    <w:rsid w:val="005A53FE"/>
    <w:rsid w:val="005B0718"/>
    <w:rsid w:val="005B7D22"/>
    <w:rsid w:val="005C029E"/>
    <w:rsid w:val="005D0CD4"/>
    <w:rsid w:val="005D1018"/>
    <w:rsid w:val="005D1081"/>
    <w:rsid w:val="005E085D"/>
    <w:rsid w:val="005E2112"/>
    <w:rsid w:val="005E3FA7"/>
    <w:rsid w:val="005E7963"/>
    <w:rsid w:val="005F218C"/>
    <w:rsid w:val="005F3A79"/>
    <w:rsid w:val="005F4523"/>
    <w:rsid w:val="00601D4D"/>
    <w:rsid w:val="006021B4"/>
    <w:rsid w:val="00604BE0"/>
    <w:rsid w:val="00605B5B"/>
    <w:rsid w:val="006062D8"/>
    <w:rsid w:val="00606827"/>
    <w:rsid w:val="00620262"/>
    <w:rsid w:val="00621803"/>
    <w:rsid w:val="00621B4C"/>
    <w:rsid w:val="00626110"/>
    <w:rsid w:val="00627A03"/>
    <w:rsid w:val="00627C52"/>
    <w:rsid w:val="00630937"/>
    <w:rsid w:val="006410DD"/>
    <w:rsid w:val="00641433"/>
    <w:rsid w:val="00642849"/>
    <w:rsid w:val="00646B98"/>
    <w:rsid w:val="00647854"/>
    <w:rsid w:val="00653B84"/>
    <w:rsid w:val="00653E0D"/>
    <w:rsid w:val="00654392"/>
    <w:rsid w:val="0066033B"/>
    <w:rsid w:val="006804B5"/>
    <w:rsid w:val="006818B6"/>
    <w:rsid w:val="00685F08"/>
    <w:rsid w:val="006865C8"/>
    <w:rsid w:val="00686B48"/>
    <w:rsid w:val="00687038"/>
    <w:rsid w:val="0068714E"/>
    <w:rsid w:val="006929F7"/>
    <w:rsid w:val="00692C7B"/>
    <w:rsid w:val="0069374A"/>
    <w:rsid w:val="00694986"/>
    <w:rsid w:val="00694AB8"/>
    <w:rsid w:val="00695EF7"/>
    <w:rsid w:val="0069699D"/>
    <w:rsid w:val="006A0A2F"/>
    <w:rsid w:val="006A6940"/>
    <w:rsid w:val="006B2C51"/>
    <w:rsid w:val="006B6361"/>
    <w:rsid w:val="006B7C90"/>
    <w:rsid w:val="006C6659"/>
    <w:rsid w:val="006D360C"/>
    <w:rsid w:val="006D5AC9"/>
    <w:rsid w:val="006D66ED"/>
    <w:rsid w:val="006D7CBF"/>
    <w:rsid w:val="006D7F48"/>
    <w:rsid w:val="006E18AB"/>
    <w:rsid w:val="006E1FC9"/>
    <w:rsid w:val="006E786B"/>
    <w:rsid w:val="007002B1"/>
    <w:rsid w:val="00704EB7"/>
    <w:rsid w:val="00705742"/>
    <w:rsid w:val="007104FE"/>
    <w:rsid w:val="007121A2"/>
    <w:rsid w:val="00713981"/>
    <w:rsid w:val="007176D6"/>
    <w:rsid w:val="00727D54"/>
    <w:rsid w:val="007344C5"/>
    <w:rsid w:val="00734959"/>
    <w:rsid w:val="00735137"/>
    <w:rsid w:val="0073520D"/>
    <w:rsid w:val="00746124"/>
    <w:rsid w:val="007529DC"/>
    <w:rsid w:val="00780226"/>
    <w:rsid w:val="007810FB"/>
    <w:rsid w:val="00781AB4"/>
    <w:rsid w:val="007923B7"/>
    <w:rsid w:val="00792616"/>
    <w:rsid w:val="007926BB"/>
    <w:rsid w:val="0079344C"/>
    <w:rsid w:val="007942C9"/>
    <w:rsid w:val="007A0283"/>
    <w:rsid w:val="007A2A2F"/>
    <w:rsid w:val="007A6DE0"/>
    <w:rsid w:val="007B1D6A"/>
    <w:rsid w:val="007C02C7"/>
    <w:rsid w:val="007C21EE"/>
    <w:rsid w:val="007C2B7B"/>
    <w:rsid w:val="007C316B"/>
    <w:rsid w:val="007D0D0F"/>
    <w:rsid w:val="007D3A2E"/>
    <w:rsid w:val="007D6652"/>
    <w:rsid w:val="007E343D"/>
    <w:rsid w:val="007F08E2"/>
    <w:rsid w:val="007F320E"/>
    <w:rsid w:val="007F4383"/>
    <w:rsid w:val="007F5EB0"/>
    <w:rsid w:val="007F7845"/>
    <w:rsid w:val="0080075B"/>
    <w:rsid w:val="00801601"/>
    <w:rsid w:val="00810991"/>
    <w:rsid w:val="00814A9B"/>
    <w:rsid w:val="00814F66"/>
    <w:rsid w:val="00817C9E"/>
    <w:rsid w:val="008205AF"/>
    <w:rsid w:val="008225E5"/>
    <w:rsid w:val="00831053"/>
    <w:rsid w:val="008314D2"/>
    <w:rsid w:val="0083254D"/>
    <w:rsid w:val="00836249"/>
    <w:rsid w:val="00836F00"/>
    <w:rsid w:val="00837361"/>
    <w:rsid w:val="00837C5F"/>
    <w:rsid w:val="00846192"/>
    <w:rsid w:val="00846EBA"/>
    <w:rsid w:val="00850806"/>
    <w:rsid w:val="00852347"/>
    <w:rsid w:val="008555F3"/>
    <w:rsid w:val="00856A1B"/>
    <w:rsid w:val="00860DF4"/>
    <w:rsid w:val="008621C3"/>
    <w:rsid w:val="00865486"/>
    <w:rsid w:val="00876275"/>
    <w:rsid w:val="00882B99"/>
    <w:rsid w:val="00886121"/>
    <w:rsid w:val="008A295B"/>
    <w:rsid w:val="008A4F82"/>
    <w:rsid w:val="008A6604"/>
    <w:rsid w:val="008B5482"/>
    <w:rsid w:val="008C0141"/>
    <w:rsid w:val="008C11F4"/>
    <w:rsid w:val="008C2995"/>
    <w:rsid w:val="008C2BEC"/>
    <w:rsid w:val="008C6523"/>
    <w:rsid w:val="008C6D0E"/>
    <w:rsid w:val="008D09D2"/>
    <w:rsid w:val="008D39C5"/>
    <w:rsid w:val="008E1D89"/>
    <w:rsid w:val="008E3E3E"/>
    <w:rsid w:val="008F0227"/>
    <w:rsid w:val="008F3298"/>
    <w:rsid w:val="008F5F87"/>
    <w:rsid w:val="00900353"/>
    <w:rsid w:val="00900A34"/>
    <w:rsid w:val="00907073"/>
    <w:rsid w:val="00910F02"/>
    <w:rsid w:val="009208F5"/>
    <w:rsid w:val="00924F2D"/>
    <w:rsid w:val="009277CC"/>
    <w:rsid w:val="00927D51"/>
    <w:rsid w:val="00932272"/>
    <w:rsid w:val="00932862"/>
    <w:rsid w:val="00935D60"/>
    <w:rsid w:val="009447BB"/>
    <w:rsid w:val="00944C48"/>
    <w:rsid w:val="00946335"/>
    <w:rsid w:val="009513C4"/>
    <w:rsid w:val="00955E55"/>
    <w:rsid w:val="009613F8"/>
    <w:rsid w:val="00962200"/>
    <w:rsid w:val="00963CDC"/>
    <w:rsid w:val="00966F54"/>
    <w:rsid w:val="00975E61"/>
    <w:rsid w:val="00976E31"/>
    <w:rsid w:val="00977C63"/>
    <w:rsid w:val="00980087"/>
    <w:rsid w:val="00980C0B"/>
    <w:rsid w:val="00981FF6"/>
    <w:rsid w:val="0098524F"/>
    <w:rsid w:val="00987ABE"/>
    <w:rsid w:val="009906C7"/>
    <w:rsid w:val="009963CD"/>
    <w:rsid w:val="009A50FB"/>
    <w:rsid w:val="009B266D"/>
    <w:rsid w:val="009B456B"/>
    <w:rsid w:val="009B5CBF"/>
    <w:rsid w:val="009C184A"/>
    <w:rsid w:val="009C2CA5"/>
    <w:rsid w:val="009D3E45"/>
    <w:rsid w:val="009E0BCD"/>
    <w:rsid w:val="009E12F3"/>
    <w:rsid w:val="009F00D5"/>
    <w:rsid w:val="009F0517"/>
    <w:rsid w:val="009F351F"/>
    <w:rsid w:val="009F3F89"/>
    <w:rsid w:val="009F480E"/>
    <w:rsid w:val="00A022A2"/>
    <w:rsid w:val="00A02D15"/>
    <w:rsid w:val="00A11403"/>
    <w:rsid w:val="00A114D4"/>
    <w:rsid w:val="00A12EB9"/>
    <w:rsid w:val="00A200CA"/>
    <w:rsid w:val="00A26B0D"/>
    <w:rsid w:val="00A3735A"/>
    <w:rsid w:val="00A41066"/>
    <w:rsid w:val="00A42F1B"/>
    <w:rsid w:val="00A531F0"/>
    <w:rsid w:val="00A546BC"/>
    <w:rsid w:val="00A55989"/>
    <w:rsid w:val="00A5694A"/>
    <w:rsid w:val="00A63DA4"/>
    <w:rsid w:val="00A7156D"/>
    <w:rsid w:val="00A722B0"/>
    <w:rsid w:val="00A75CD5"/>
    <w:rsid w:val="00A83DF3"/>
    <w:rsid w:val="00A85915"/>
    <w:rsid w:val="00A91D62"/>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447C"/>
    <w:rsid w:val="00B05457"/>
    <w:rsid w:val="00B11FB8"/>
    <w:rsid w:val="00B128A0"/>
    <w:rsid w:val="00B20240"/>
    <w:rsid w:val="00B23281"/>
    <w:rsid w:val="00B27571"/>
    <w:rsid w:val="00B4164B"/>
    <w:rsid w:val="00B53262"/>
    <w:rsid w:val="00B5409A"/>
    <w:rsid w:val="00B55574"/>
    <w:rsid w:val="00B6525D"/>
    <w:rsid w:val="00B65ABA"/>
    <w:rsid w:val="00B65E0E"/>
    <w:rsid w:val="00B66706"/>
    <w:rsid w:val="00B6790F"/>
    <w:rsid w:val="00B71B3B"/>
    <w:rsid w:val="00B808DB"/>
    <w:rsid w:val="00B87D61"/>
    <w:rsid w:val="00B93948"/>
    <w:rsid w:val="00BA4BC7"/>
    <w:rsid w:val="00BA55B7"/>
    <w:rsid w:val="00BA5E47"/>
    <w:rsid w:val="00BA7D57"/>
    <w:rsid w:val="00BB156E"/>
    <w:rsid w:val="00BB3330"/>
    <w:rsid w:val="00BB3B5B"/>
    <w:rsid w:val="00BB47D7"/>
    <w:rsid w:val="00BB4A62"/>
    <w:rsid w:val="00BC01C1"/>
    <w:rsid w:val="00BC36E1"/>
    <w:rsid w:val="00BC3BBD"/>
    <w:rsid w:val="00BC5A34"/>
    <w:rsid w:val="00BD17F5"/>
    <w:rsid w:val="00BD6E05"/>
    <w:rsid w:val="00BE5009"/>
    <w:rsid w:val="00BE54D0"/>
    <w:rsid w:val="00BE72CE"/>
    <w:rsid w:val="00BF6B6C"/>
    <w:rsid w:val="00BF7251"/>
    <w:rsid w:val="00BF7F28"/>
    <w:rsid w:val="00C01909"/>
    <w:rsid w:val="00C0335D"/>
    <w:rsid w:val="00C05787"/>
    <w:rsid w:val="00C1267D"/>
    <w:rsid w:val="00C13059"/>
    <w:rsid w:val="00C13797"/>
    <w:rsid w:val="00C156D4"/>
    <w:rsid w:val="00C167A3"/>
    <w:rsid w:val="00C17898"/>
    <w:rsid w:val="00C2181C"/>
    <w:rsid w:val="00C2657D"/>
    <w:rsid w:val="00C416E1"/>
    <w:rsid w:val="00C47BF8"/>
    <w:rsid w:val="00C51B1C"/>
    <w:rsid w:val="00C527DB"/>
    <w:rsid w:val="00C53DCE"/>
    <w:rsid w:val="00C6539F"/>
    <w:rsid w:val="00C655F2"/>
    <w:rsid w:val="00C65B61"/>
    <w:rsid w:val="00C667C2"/>
    <w:rsid w:val="00C70E53"/>
    <w:rsid w:val="00C72979"/>
    <w:rsid w:val="00C73DA6"/>
    <w:rsid w:val="00C81529"/>
    <w:rsid w:val="00C81BA6"/>
    <w:rsid w:val="00C8377C"/>
    <w:rsid w:val="00C877CD"/>
    <w:rsid w:val="00C902E9"/>
    <w:rsid w:val="00C908B7"/>
    <w:rsid w:val="00C91D81"/>
    <w:rsid w:val="00C92A42"/>
    <w:rsid w:val="00C95A4D"/>
    <w:rsid w:val="00CA18F2"/>
    <w:rsid w:val="00CA1AE1"/>
    <w:rsid w:val="00CA4871"/>
    <w:rsid w:val="00CA6722"/>
    <w:rsid w:val="00CA6D4E"/>
    <w:rsid w:val="00CA7B4B"/>
    <w:rsid w:val="00CB36A8"/>
    <w:rsid w:val="00CC139A"/>
    <w:rsid w:val="00CC1E7A"/>
    <w:rsid w:val="00CC4F64"/>
    <w:rsid w:val="00CD058C"/>
    <w:rsid w:val="00CD128C"/>
    <w:rsid w:val="00CD3B98"/>
    <w:rsid w:val="00CD4216"/>
    <w:rsid w:val="00CD733F"/>
    <w:rsid w:val="00CE0042"/>
    <w:rsid w:val="00CE0942"/>
    <w:rsid w:val="00CE7CA5"/>
    <w:rsid w:val="00CF1D81"/>
    <w:rsid w:val="00CF2DC9"/>
    <w:rsid w:val="00CF7CB6"/>
    <w:rsid w:val="00D02584"/>
    <w:rsid w:val="00D15A6F"/>
    <w:rsid w:val="00D21DFD"/>
    <w:rsid w:val="00D22ADE"/>
    <w:rsid w:val="00D264F3"/>
    <w:rsid w:val="00D311AB"/>
    <w:rsid w:val="00D325A8"/>
    <w:rsid w:val="00D35F2D"/>
    <w:rsid w:val="00D374F8"/>
    <w:rsid w:val="00D442AD"/>
    <w:rsid w:val="00D5618A"/>
    <w:rsid w:val="00D5784B"/>
    <w:rsid w:val="00D63EFB"/>
    <w:rsid w:val="00D646A6"/>
    <w:rsid w:val="00D6516D"/>
    <w:rsid w:val="00D658AF"/>
    <w:rsid w:val="00D77E3F"/>
    <w:rsid w:val="00D81B8C"/>
    <w:rsid w:val="00D83DE9"/>
    <w:rsid w:val="00D8450D"/>
    <w:rsid w:val="00D8686C"/>
    <w:rsid w:val="00D949AB"/>
    <w:rsid w:val="00D95AF9"/>
    <w:rsid w:val="00DA09C9"/>
    <w:rsid w:val="00DA1822"/>
    <w:rsid w:val="00DB5E1F"/>
    <w:rsid w:val="00DC19D8"/>
    <w:rsid w:val="00DC2613"/>
    <w:rsid w:val="00DC4155"/>
    <w:rsid w:val="00DC4512"/>
    <w:rsid w:val="00DC701D"/>
    <w:rsid w:val="00DD3691"/>
    <w:rsid w:val="00DD4B55"/>
    <w:rsid w:val="00DE0136"/>
    <w:rsid w:val="00DE1E90"/>
    <w:rsid w:val="00DE24E6"/>
    <w:rsid w:val="00DF07AD"/>
    <w:rsid w:val="00DF3364"/>
    <w:rsid w:val="00E010B6"/>
    <w:rsid w:val="00E055BB"/>
    <w:rsid w:val="00E11988"/>
    <w:rsid w:val="00E15524"/>
    <w:rsid w:val="00E15DA9"/>
    <w:rsid w:val="00E177B4"/>
    <w:rsid w:val="00E2095D"/>
    <w:rsid w:val="00E26E08"/>
    <w:rsid w:val="00E26FFA"/>
    <w:rsid w:val="00E30414"/>
    <w:rsid w:val="00E40769"/>
    <w:rsid w:val="00E41264"/>
    <w:rsid w:val="00E4216D"/>
    <w:rsid w:val="00E42E8B"/>
    <w:rsid w:val="00E549D0"/>
    <w:rsid w:val="00E60291"/>
    <w:rsid w:val="00E60F12"/>
    <w:rsid w:val="00E652FB"/>
    <w:rsid w:val="00E66C20"/>
    <w:rsid w:val="00E6747D"/>
    <w:rsid w:val="00E71C46"/>
    <w:rsid w:val="00E75ED2"/>
    <w:rsid w:val="00E8280C"/>
    <w:rsid w:val="00E83E4C"/>
    <w:rsid w:val="00E906A2"/>
    <w:rsid w:val="00E9142B"/>
    <w:rsid w:val="00E91933"/>
    <w:rsid w:val="00E9219B"/>
    <w:rsid w:val="00E92A81"/>
    <w:rsid w:val="00E947D9"/>
    <w:rsid w:val="00E969B1"/>
    <w:rsid w:val="00EB5D19"/>
    <w:rsid w:val="00EB6514"/>
    <w:rsid w:val="00EB6552"/>
    <w:rsid w:val="00EC18E6"/>
    <w:rsid w:val="00EC1984"/>
    <w:rsid w:val="00EC234C"/>
    <w:rsid w:val="00EC3F10"/>
    <w:rsid w:val="00EC5E8A"/>
    <w:rsid w:val="00ED1B87"/>
    <w:rsid w:val="00ED3529"/>
    <w:rsid w:val="00ED4227"/>
    <w:rsid w:val="00ED4D17"/>
    <w:rsid w:val="00ED5F7F"/>
    <w:rsid w:val="00EE0C22"/>
    <w:rsid w:val="00EE0CC2"/>
    <w:rsid w:val="00EE6CD3"/>
    <w:rsid w:val="00EF20D7"/>
    <w:rsid w:val="00EF211D"/>
    <w:rsid w:val="00EF2DF7"/>
    <w:rsid w:val="00EF3419"/>
    <w:rsid w:val="00EF4558"/>
    <w:rsid w:val="00EF5F72"/>
    <w:rsid w:val="00F0119C"/>
    <w:rsid w:val="00F02BDB"/>
    <w:rsid w:val="00F0441B"/>
    <w:rsid w:val="00F07623"/>
    <w:rsid w:val="00F22AC1"/>
    <w:rsid w:val="00F26FF3"/>
    <w:rsid w:val="00F3136B"/>
    <w:rsid w:val="00F314F1"/>
    <w:rsid w:val="00F327EA"/>
    <w:rsid w:val="00F33641"/>
    <w:rsid w:val="00F42842"/>
    <w:rsid w:val="00F42C7C"/>
    <w:rsid w:val="00F43E71"/>
    <w:rsid w:val="00F46B86"/>
    <w:rsid w:val="00F46E40"/>
    <w:rsid w:val="00F4760A"/>
    <w:rsid w:val="00F52B8E"/>
    <w:rsid w:val="00F52D72"/>
    <w:rsid w:val="00F53CFD"/>
    <w:rsid w:val="00F54AF5"/>
    <w:rsid w:val="00F54B4C"/>
    <w:rsid w:val="00F557E3"/>
    <w:rsid w:val="00F61E78"/>
    <w:rsid w:val="00F635C5"/>
    <w:rsid w:val="00F736E3"/>
    <w:rsid w:val="00F767E8"/>
    <w:rsid w:val="00F86A3F"/>
    <w:rsid w:val="00F90498"/>
    <w:rsid w:val="00F91297"/>
    <w:rsid w:val="00F9133B"/>
    <w:rsid w:val="00F97730"/>
    <w:rsid w:val="00FA4617"/>
    <w:rsid w:val="00FB32A4"/>
    <w:rsid w:val="00FB594D"/>
    <w:rsid w:val="00FC49BB"/>
    <w:rsid w:val="00FD616B"/>
    <w:rsid w:val="00FE367F"/>
    <w:rsid w:val="00FE6BE9"/>
    <w:rsid w:val="00FE7B69"/>
    <w:rsid w:val="00FF29DC"/>
    <w:rsid w:val="00FF3F56"/>
    <w:rsid w:val="00FF510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48C15C2"/>
  <w15:docId w15:val="{BBD614B0-DD42-4AB6-8419-23173111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35F2D"/>
    <w:rPr>
      <w:rFonts w:ascii="Cambria" w:hAnsi="Cambria"/>
      <w:lang w:eastAsia="en-US"/>
    </w:rPr>
  </w:style>
  <w:style w:type="paragraph" w:styleId="Heading1">
    <w:name w:val="heading 1"/>
    <w:next w:val="BodyText1"/>
    <w:link w:val="Heading1Char"/>
    <w:uiPriority w:val="9"/>
    <w:qFormat/>
    <w:rsid w:val="00694986"/>
    <w:pPr>
      <w:keepNext/>
      <w:keepLines/>
      <w:spacing w:before="240" w:after="240" w:line="264" w:lineRule="auto"/>
      <w:outlineLvl w:val="0"/>
    </w:pPr>
    <w:rPr>
      <w:rFonts w:ascii="Arial Nova Cond Light" w:eastAsia="Times" w:hAnsi="Arial Nova Cond Light"/>
      <w:bCs/>
      <w:color w:val="4C7329"/>
      <w:sz w:val="48"/>
      <w:szCs w:val="48"/>
      <w:lang w:eastAsia="en-US"/>
    </w:rPr>
  </w:style>
  <w:style w:type="paragraph" w:styleId="Heading2">
    <w:name w:val="heading 2"/>
    <w:next w:val="BodyText1"/>
    <w:link w:val="Heading2Char"/>
    <w:uiPriority w:val="9"/>
    <w:qFormat/>
    <w:rsid w:val="00860DF4"/>
    <w:pPr>
      <w:keepNext/>
      <w:keepLines/>
      <w:spacing w:before="240" w:after="180" w:line="264" w:lineRule="auto"/>
      <w:outlineLvl w:val="1"/>
    </w:pPr>
    <w:rPr>
      <w:rFonts w:ascii="Arial Nova Cond" w:hAnsi="Arial Nova Cond"/>
      <w:bCs/>
      <w:color w:val="595959" w:themeColor="text1" w:themeTint="A6"/>
      <w:sz w:val="36"/>
      <w:szCs w:val="36"/>
      <w:lang w:eastAsia="en-US"/>
    </w:rPr>
  </w:style>
  <w:style w:type="paragraph" w:styleId="Heading3">
    <w:name w:val="heading 3"/>
    <w:next w:val="BodyText1"/>
    <w:link w:val="Heading3Char"/>
    <w:uiPriority w:val="9"/>
    <w:qFormat/>
    <w:rsid w:val="00981FF6"/>
    <w:pPr>
      <w:keepNext/>
      <w:keepLines/>
      <w:spacing w:before="240" w:after="120" w:line="264" w:lineRule="auto"/>
      <w:outlineLvl w:val="2"/>
    </w:pPr>
    <w:rPr>
      <w:rFonts w:ascii="Arial Nova Cond" w:eastAsia="MS Gothic" w:hAnsi="Arial Nova Cond"/>
      <w:color w:val="595959" w:themeColor="text1" w:themeTint="A6"/>
      <w:sz w:val="30"/>
      <w:szCs w:val="30"/>
      <w:lang w:eastAsia="en-US"/>
    </w:rPr>
  </w:style>
  <w:style w:type="paragraph" w:styleId="Heading4">
    <w:name w:val="heading 4"/>
    <w:next w:val="BodyText1"/>
    <w:link w:val="Heading4Char"/>
    <w:uiPriority w:val="1"/>
    <w:qFormat/>
    <w:rsid w:val="005D1081"/>
    <w:pPr>
      <w:keepNext/>
      <w:keepLines/>
      <w:spacing w:before="240" w:after="120" w:line="264" w:lineRule="auto"/>
      <w:outlineLvl w:val="3"/>
    </w:pPr>
    <w:rPr>
      <w:rFonts w:ascii="Arial Nova Cond" w:eastAsia="MS Mincho" w:hAnsi="Arial Nova Cond"/>
      <w:color w:val="595959" w:themeColor="text1" w:themeTint="A6"/>
      <w:sz w:val="28"/>
      <w:szCs w:val="28"/>
      <w:lang w:eastAsia="en-US"/>
    </w:rPr>
  </w:style>
  <w:style w:type="paragraph" w:styleId="Heading5">
    <w:name w:val="heading 5"/>
    <w:next w:val="BodyText1"/>
    <w:link w:val="Heading5Char"/>
    <w:uiPriority w:val="9"/>
    <w:qFormat/>
    <w:rsid w:val="005D1081"/>
    <w:pPr>
      <w:keepNext/>
      <w:keepLines/>
      <w:suppressAutoHyphens/>
      <w:spacing w:before="240" w:after="120" w:line="264" w:lineRule="auto"/>
      <w:outlineLvl w:val="4"/>
    </w:pPr>
    <w:rPr>
      <w:rFonts w:ascii="Arial Nova Cond" w:eastAsia="MS Mincho" w:hAnsi="Arial Nova Cond"/>
      <w:iCs/>
      <w:color w:val="7F7F7F" w:themeColor="text1" w:themeTint="8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94986"/>
    <w:rPr>
      <w:rFonts w:ascii="Arial Nova Cond Light" w:eastAsia="Times" w:hAnsi="Arial Nova Cond Light"/>
      <w:bCs/>
      <w:color w:val="4C7329"/>
      <w:sz w:val="48"/>
      <w:szCs w:val="48"/>
      <w:lang w:eastAsia="en-US"/>
    </w:rPr>
  </w:style>
  <w:style w:type="character" w:customStyle="1" w:styleId="Heading2Char">
    <w:name w:val="Heading 2 Char"/>
    <w:link w:val="Heading2"/>
    <w:uiPriority w:val="9"/>
    <w:rsid w:val="00860DF4"/>
    <w:rPr>
      <w:rFonts w:ascii="Arial Nova Cond" w:hAnsi="Arial Nova Cond"/>
      <w:bCs/>
      <w:color w:val="595959" w:themeColor="text1" w:themeTint="A6"/>
      <w:sz w:val="36"/>
      <w:szCs w:val="36"/>
      <w:lang w:eastAsia="en-US"/>
    </w:rPr>
  </w:style>
  <w:style w:type="character" w:customStyle="1" w:styleId="Heading3Char">
    <w:name w:val="Heading 3 Char"/>
    <w:link w:val="Heading3"/>
    <w:uiPriority w:val="9"/>
    <w:rsid w:val="00981FF6"/>
    <w:rPr>
      <w:rFonts w:ascii="Arial Nova Cond" w:eastAsia="MS Gothic" w:hAnsi="Arial Nova Cond"/>
      <w:color w:val="595959" w:themeColor="text1" w:themeTint="A6"/>
      <w:sz w:val="30"/>
      <w:szCs w:val="30"/>
      <w:lang w:eastAsia="en-US"/>
    </w:rPr>
  </w:style>
  <w:style w:type="character" w:customStyle="1" w:styleId="Heading4Char">
    <w:name w:val="Heading 4 Char"/>
    <w:link w:val="Heading4"/>
    <w:uiPriority w:val="1"/>
    <w:rsid w:val="005D1081"/>
    <w:rPr>
      <w:rFonts w:ascii="Arial Nova Cond" w:eastAsia="MS Mincho" w:hAnsi="Arial Nova Cond"/>
      <w:color w:val="595959" w:themeColor="text1" w:themeTint="A6"/>
      <w:sz w:val="28"/>
      <w:szCs w:val="28"/>
      <w:lang w:eastAsia="en-U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Tablebody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D1081"/>
    <w:rPr>
      <w:rFonts w:ascii="Arial Nova Cond" w:eastAsia="MS Mincho" w:hAnsi="Arial Nova Cond"/>
      <w:iCs/>
      <w:color w:val="7F7F7F" w:themeColor="text1" w:themeTint="80"/>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BodyText1">
    <w:name w:val="Body Text1"/>
    <w:link w:val="BodytextChar"/>
    <w:uiPriority w:val="99"/>
    <w:qFormat/>
    <w:rsid w:val="00E549D0"/>
    <w:pPr>
      <w:spacing w:before="120" w:after="120" w:line="270" w:lineRule="atLeast"/>
    </w:pPr>
    <w:rPr>
      <w:rFonts w:ascii="Arial" w:eastAsia="Times" w:hAnsi="Arial"/>
      <w:lang w:eastAsia="en-US"/>
    </w:rPr>
  </w:style>
  <w:style w:type="paragraph" w:customStyle="1" w:styleId="Bulletpoint1">
    <w:name w:val="Bullet point 1"/>
    <w:basedOn w:val="BodyText1"/>
    <w:qFormat/>
    <w:rsid w:val="00EC3F10"/>
    <w:pPr>
      <w:numPr>
        <w:numId w:val="1"/>
      </w:numPr>
      <w:spacing w:after="40" w:line="264" w:lineRule="auto"/>
      <w:ind w:left="397" w:hanging="397"/>
    </w:pPr>
    <w:rPr>
      <w:sz w:val="24"/>
      <w:szCs w:val="24"/>
    </w:rPr>
  </w:style>
  <w:style w:type="paragraph" w:customStyle="1" w:styleId="DHHSnumberloweralpha">
    <w:name w:val="DHHS number lower alpha"/>
    <w:basedOn w:val="BodyText1"/>
    <w:uiPriority w:val="3"/>
    <w:rsid w:val="00CF7CB6"/>
    <w:pPr>
      <w:numPr>
        <w:ilvl w:val="2"/>
        <w:numId w:val="2"/>
      </w:numPr>
    </w:pPr>
  </w:style>
  <w:style w:type="paragraph" w:customStyle="1" w:styleId="DHHSnumberloweralphaindent">
    <w:name w:val="DHHS number lower alpha indent"/>
    <w:basedOn w:val="BodyText1"/>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Tablebodytext">
    <w:name w:val="Table body text"/>
    <w:uiPriority w:val="3"/>
    <w:qFormat/>
    <w:rsid w:val="00E30414"/>
    <w:pPr>
      <w:spacing w:before="80" w:after="60"/>
    </w:pPr>
    <w:rPr>
      <w:rFonts w:ascii="Arial" w:hAnsi="Arial"/>
      <w:lang w:eastAsia="en-US"/>
    </w:rPr>
  </w:style>
  <w:style w:type="paragraph" w:customStyle="1" w:styleId="Tabletextcaption">
    <w:name w:val="Table text caption"/>
    <w:next w:val="BodyText1"/>
    <w:uiPriority w:val="3"/>
    <w:qFormat/>
    <w:rsid w:val="004E21E2"/>
    <w:pPr>
      <w:keepNext/>
      <w:keepLines/>
      <w:spacing w:before="240" w:after="120" w:line="240" w:lineRule="atLeast"/>
    </w:pPr>
    <w:rPr>
      <w:rFonts w:ascii="Arial" w:hAnsi="Arial"/>
      <w:b/>
      <w:lang w:eastAsia="en-US"/>
    </w:rPr>
  </w:style>
  <w:style w:type="paragraph" w:customStyle="1" w:styleId="Figureheadingcaption">
    <w:name w:val="Figure heading caption"/>
    <w:next w:val="BodyText1"/>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Bulletpoint2">
    <w:name w:val="Bullet point 2"/>
    <w:basedOn w:val="BodyText1"/>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BodyText1"/>
    <w:uiPriority w:val="2"/>
    <w:rsid w:val="00CF7CB6"/>
    <w:pPr>
      <w:numPr>
        <w:numId w:val="2"/>
      </w:numPr>
    </w:pPr>
  </w:style>
  <w:style w:type="paragraph" w:customStyle="1" w:styleId="Tablecolumnhead">
    <w:name w:val="Table column head"/>
    <w:uiPriority w:val="3"/>
    <w:qFormat/>
    <w:rsid w:val="00584377"/>
    <w:pPr>
      <w:spacing w:before="120" w:after="120" w:line="230" w:lineRule="atLeast"/>
    </w:pPr>
    <w:rPr>
      <w:rFonts w:ascii="Arial" w:hAnsi="Arial"/>
      <w:bCs/>
      <w:color w:val="201547"/>
      <w:lang w:val="en" w:eastAsia="en-US"/>
    </w:rPr>
  </w:style>
  <w:style w:type="paragraph" w:customStyle="1" w:styleId="DHHSbodyaftertablefigure">
    <w:name w:val="DHHS body after table/figure"/>
    <w:basedOn w:val="BodyText1"/>
    <w:next w:val="BodyText1"/>
    <w:rsid w:val="00876275"/>
    <w:pPr>
      <w:spacing w:before="240"/>
    </w:pPr>
  </w:style>
  <w:style w:type="paragraph" w:customStyle="1" w:styleId="DHHSbullet1lastline">
    <w:name w:val="DHHS bullet 1 last line"/>
    <w:basedOn w:val="Bulletpoint1"/>
    <w:qFormat/>
    <w:rsid w:val="00981FF6"/>
    <w:pPr>
      <w:numPr>
        <w:ilvl w:val="1"/>
      </w:numPr>
      <w:spacing w:after="120"/>
      <w:ind w:left="397" w:hanging="397"/>
    </w:pPr>
  </w:style>
  <w:style w:type="paragraph" w:customStyle="1" w:styleId="DHHSbullet2lastline">
    <w:name w:val="DHHS bullet 2 last line"/>
    <w:basedOn w:val="Bulletpoint2"/>
    <w:uiPriority w:val="2"/>
    <w:qFormat/>
    <w:rsid w:val="00CF7CB6"/>
    <w:pPr>
      <w:numPr>
        <w:ilvl w:val="3"/>
      </w:numPr>
      <w:spacing w:after="120"/>
    </w:pPr>
  </w:style>
  <w:style w:type="paragraph" w:customStyle="1" w:styleId="DHHStablebullet">
    <w:name w:val="DHHS table bullet"/>
    <w:basedOn w:val="Tablebody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BodyText1"/>
    <w:uiPriority w:val="3"/>
    <w:rsid w:val="00CA6D4E"/>
    <w:pPr>
      <w:spacing w:after="0"/>
    </w:pPr>
  </w:style>
  <w:style w:type="paragraph" w:customStyle="1" w:styleId="DHHSquote">
    <w:name w:val="DHHS quote"/>
    <w:basedOn w:val="BodyText1"/>
    <w:uiPriority w:val="4"/>
    <w:rsid w:val="00E75ED2"/>
    <w:pPr>
      <w:ind w:left="397"/>
    </w:pPr>
    <w:rPr>
      <w:szCs w:val="18"/>
    </w:rPr>
  </w:style>
  <w:style w:type="numbering" w:customStyle="1" w:styleId="ZZBullets">
    <w:name w:val="ZZ Bullets"/>
    <w:rsid w:val="00CF7CB6"/>
    <w:pPr>
      <w:numPr>
        <w:numId w:val="4"/>
      </w:numPr>
    </w:pPr>
  </w:style>
  <w:style w:type="paragraph" w:customStyle="1" w:styleId="DHHSbulletindent">
    <w:name w:val="DHHS bullet indent"/>
    <w:basedOn w:val="BodyText1"/>
    <w:uiPriority w:val="4"/>
    <w:rsid w:val="00CF7CB6"/>
    <w:pPr>
      <w:numPr>
        <w:ilvl w:val="4"/>
        <w:numId w:val="1"/>
      </w:numPr>
      <w:spacing w:after="40"/>
    </w:pPr>
  </w:style>
  <w:style w:type="paragraph" w:customStyle="1" w:styleId="DHHSbulletindentlastline">
    <w:name w:val="DHHS bullet indent last line"/>
    <w:basedOn w:val="BodyText1"/>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BodyText1"/>
    <w:uiPriority w:val="3"/>
    <w:rsid w:val="00CF7CB6"/>
    <w:pPr>
      <w:numPr>
        <w:ilvl w:val="4"/>
        <w:numId w:val="2"/>
      </w:numPr>
    </w:pPr>
  </w:style>
  <w:style w:type="paragraph" w:customStyle="1" w:styleId="DHHSnumberlowerromanindent">
    <w:name w:val="DHHS number lower roman indent"/>
    <w:basedOn w:val="BodyText1"/>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BodyText1"/>
    <w:next w:val="Normal"/>
    <w:link w:val="TitleChar"/>
    <w:uiPriority w:val="10"/>
    <w:qFormat/>
    <w:rsid w:val="005D1081"/>
    <w:pPr>
      <w:spacing w:before="240" w:after="2400" w:line="264" w:lineRule="auto"/>
    </w:pPr>
    <w:rPr>
      <w:rFonts w:ascii="Arial Nova Cond" w:hAnsi="Arial Nova Cond"/>
      <w:color w:val="4C7329"/>
      <w:sz w:val="110"/>
      <w:szCs w:val="110"/>
    </w:rPr>
  </w:style>
  <w:style w:type="character" w:customStyle="1" w:styleId="TitleChar">
    <w:name w:val="Title Char"/>
    <w:link w:val="Title"/>
    <w:uiPriority w:val="10"/>
    <w:rsid w:val="005D1081"/>
    <w:rPr>
      <w:rFonts w:ascii="Arial Nova Cond" w:eastAsia="Times" w:hAnsi="Arial Nova Cond"/>
      <w:color w:val="4C7329"/>
      <w:sz w:val="110"/>
      <w:szCs w:val="110"/>
      <w:lang w:eastAsia="en-US"/>
    </w:rPr>
  </w:style>
  <w:style w:type="character" w:customStyle="1" w:styleId="HeaderChar">
    <w:name w:val="Header Char"/>
    <w:link w:val="Header"/>
    <w:uiPriority w:val="99"/>
    <w:rsid w:val="00D35F2D"/>
    <w:rPr>
      <w:rFonts w:ascii="Arial" w:hAnsi="Arial" w:cs="Arial"/>
      <w:sz w:val="18"/>
      <w:szCs w:val="18"/>
      <w:lang w:eastAsia="en-US"/>
    </w:rPr>
  </w:style>
  <w:style w:type="character" w:customStyle="1" w:styleId="FooterChar">
    <w:name w:val="Footer Char"/>
    <w:link w:val="Footer"/>
    <w:uiPriority w:val="99"/>
    <w:rsid w:val="00D35F2D"/>
    <w:rPr>
      <w:rFonts w:ascii="Arial" w:hAnsi="Arial" w:cs="Arial"/>
      <w:sz w:val="18"/>
      <w:szCs w:val="18"/>
      <w:lang w:eastAsia="en-US"/>
    </w:rPr>
  </w:style>
  <w:style w:type="paragraph" w:styleId="BalloonText">
    <w:name w:val="Balloon Text"/>
    <w:basedOn w:val="Normal"/>
    <w:link w:val="BalloonTextChar"/>
    <w:uiPriority w:val="99"/>
    <w:semiHidden/>
    <w:unhideWhenUsed/>
    <w:rsid w:val="00D35F2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D35F2D"/>
    <w:rPr>
      <w:rFonts w:ascii="Tahoma" w:eastAsia="Calibri" w:hAnsi="Tahoma" w:cs="Tahoma"/>
      <w:sz w:val="16"/>
      <w:szCs w:val="16"/>
      <w:lang w:eastAsia="en-US"/>
    </w:rPr>
  </w:style>
  <w:style w:type="paragraph" w:styleId="ListParagraph">
    <w:name w:val="List Paragraph"/>
    <w:basedOn w:val="Normal"/>
    <w:uiPriority w:val="34"/>
    <w:qFormat/>
    <w:rsid w:val="00D35F2D"/>
    <w:pPr>
      <w:spacing w:after="200" w:line="276" w:lineRule="auto"/>
      <w:ind w:left="720"/>
      <w:contextualSpacing/>
    </w:pPr>
    <w:rPr>
      <w:rFonts w:ascii="Calibri" w:eastAsia="Calibri" w:hAnsi="Calibri"/>
      <w:sz w:val="22"/>
      <w:szCs w:val="22"/>
    </w:rPr>
  </w:style>
  <w:style w:type="character" w:styleId="CommentReference">
    <w:name w:val="annotation reference"/>
    <w:uiPriority w:val="99"/>
    <w:semiHidden/>
    <w:unhideWhenUsed/>
    <w:rsid w:val="00D35F2D"/>
    <w:rPr>
      <w:sz w:val="16"/>
      <w:szCs w:val="16"/>
    </w:rPr>
  </w:style>
  <w:style w:type="paragraph" w:styleId="CommentText">
    <w:name w:val="annotation text"/>
    <w:basedOn w:val="Normal"/>
    <w:link w:val="CommentTextChar"/>
    <w:uiPriority w:val="99"/>
    <w:semiHidden/>
    <w:unhideWhenUsed/>
    <w:rsid w:val="00642849"/>
  </w:style>
  <w:style w:type="character" w:customStyle="1" w:styleId="CommentTextChar">
    <w:name w:val="Comment Text Char"/>
    <w:basedOn w:val="DefaultParagraphFont"/>
    <w:link w:val="CommentText"/>
    <w:uiPriority w:val="99"/>
    <w:semiHidden/>
    <w:rsid w:val="00642849"/>
    <w:rPr>
      <w:rFonts w:ascii="Cambria" w:hAnsi="Cambria"/>
      <w:lang w:eastAsia="en-US"/>
    </w:rPr>
  </w:style>
  <w:style w:type="paragraph" w:styleId="CommentSubject">
    <w:name w:val="annotation subject"/>
    <w:basedOn w:val="Normal"/>
    <w:next w:val="Normal"/>
    <w:link w:val="CommentSubjectChar"/>
    <w:uiPriority w:val="99"/>
    <w:semiHidden/>
    <w:unhideWhenUsed/>
    <w:rsid w:val="00642849"/>
    <w:pPr>
      <w:spacing w:after="200"/>
    </w:pPr>
    <w:rPr>
      <w:rFonts w:ascii="Calibri" w:eastAsia="Calibri" w:hAnsi="Calibri"/>
      <w:b/>
      <w:bCs/>
    </w:rPr>
  </w:style>
  <w:style w:type="character" w:customStyle="1" w:styleId="CommentSubjectChar">
    <w:name w:val="Comment Subject Char"/>
    <w:basedOn w:val="DefaultParagraphFont"/>
    <w:link w:val="CommentSubject"/>
    <w:uiPriority w:val="99"/>
    <w:semiHidden/>
    <w:rsid w:val="00642849"/>
    <w:rPr>
      <w:rFonts w:ascii="Calibri" w:eastAsia="Calibri" w:hAnsi="Calibri"/>
      <w:b/>
      <w:bCs/>
      <w:lang w:eastAsia="en-US"/>
    </w:rPr>
  </w:style>
  <w:style w:type="paragraph" w:styleId="Revision">
    <w:name w:val="Revision"/>
    <w:hidden/>
    <w:uiPriority w:val="99"/>
    <w:rsid w:val="00D35F2D"/>
    <w:rPr>
      <w:rFonts w:ascii="Calibri" w:eastAsia="Calibri" w:hAnsi="Calibri"/>
      <w:sz w:val="22"/>
      <w:szCs w:val="22"/>
      <w:lang w:eastAsia="en-US"/>
    </w:rPr>
  </w:style>
  <w:style w:type="paragraph" w:styleId="NormalWeb">
    <w:name w:val="Normal (Web)"/>
    <w:basedOn w:val="Normal"/>
    <w:uiPriority w:val="99"/>
    <w:unhideWhenUsed/>
    <w:rsid w:val="00D35F2D"/>
    <w:pPr>
      <w:spacing w:before="100" w:beforeAutospacing="1" w:after="100" w:afterAutospacing="1"/>
    </w:pPr>
    <w:rPr>
      <w:rFonts w:ascii="Times New Roman" w:hAnsi="Times New Roman"/>
      <w:sz w:val="24"/>
      <w:szCs w:val="24"/>
      <w:lang w:eastAsia="en-AU"/>
    </w:rPr>
  </w:style>
  <w:style w:type="character" w:styleId="IntenseEmphasis">
    <w:name w:val="Intense Emphasis"/>
    <w:uiPriority w:val="21"/>
    <w:qFormat/>
    <w:rsid w:val="00D35F2D"/>
    <w:rPr>
      <w:rFonts w:ascii="Times New Roman" w:hAnsi="Times New Roman" w:cs="Times New Roman" w:hint="default"/>
      <w:b/>
      <w:bCs w:val="0"/>
      <w:color w:val="000000"/>
    </w:rPr>
  </w:style>
  <w:style w:type="paragraph" w:styleId="TOCHeading">
    <w:name w:val="TOC Heading"/>
    <w:basedOn w:val="BodyText1"/>
    <w:next w:val="Normal"/>
    <w:uiPriority w:val="39"/>
    <w:unhideWhenUsed/>
    <w:qFormat/>
    <w:rsid w:val="00EB5D19"/>
    <w:pPr>
      <w:spacing w:before="240" w:after="240"/>
    </w:pPr>
    <w:rPr>
      <w:b/>
      <w:bCs/>
      <w:color w:val="404040" w:themeColor="text1" w:themeTint="BF"/>
      <w:sz w:val="32"/>
      <w:szCs w:val="32"/>
    </w:rPr>
  </w:style>
  <w:style w:type="character" w:customStyle="1" w:styleId="FootnoteTextChar">
    <w:name w:val="Footnote Text Char"/>
    <w:link w:val="FootnoteText"/>
    <w:uiPriority w:val="99"/>
    <w:rsid w:val="00D35F2D"/>
    <w:rPr>
      <w:rFonts w:ascii="Arial" w:eastAsia="MS Gothic" w:hAnsi="Arial" w:cs="Arial"/>
      <w:sz w:val="16"/>
      <w:szCs w:val="16"/>
      <w:lang w:eastAsia="en-US"/>
    </w:rPr>
  </w:style>
  <w:style w:type="character" w:customStyle="1" w:styleId="BodytextChar">
    <w:name w:val="Body text Char"/>
    <w:link w:val="BodyText1"/>
    <w:uiPriority w:val="99"/>
    <w:locked/>
    <w:rsid w:val="00E549D0"/>
    <w:rPr>
      <w:rFonts w:ascii="Arial" w:eastAsia="Times" w:hAnsi="Arial"/>
      <w:lang w:eastAsia="en-US"/>
    </w:rPr>
  </w:style>
  <w:style w:type="numbering" w:customStyle="1" w:styleId="Bullets">
    <w:name w:val="Bullets"/>
    <w:rsid w:val="00D35F2D"/>
    <w:pPr>
      <w:numPr>
        <w:numId w:val="3"/>
      </w:numPr>
    </w:pPr>
  </w:style>
  <w:style w:type="table" w:styleId="ColorfulGrid-Accent1">
    <w:name w:val="Colorful Grid Accent 1"/>
    <w:basedOn w:val="TableNormal"/>
    <w:uiPriority w:val="29"/>
    <w:qFormat/>
    <w:rsid w:val="00FE6BE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HHSbody">
    <w:name w:val="DHHS body"/>
    <w:basedOn w:val="BodyText1"/>
    <w:qFormat/>
    <w:rsid w:val="005D1081"/>
    <w:pPr>
      <w:spacing w:line="264" w:lineRule="auto"/>
    </w:pPr>
    <w:rPr>
      <w:rFonts w:cs="Arial"/>
      <w:sz w:val="24"/>
      <w:szCs w:val="24"/>
    </w:rPr>
  </w:style>
  <w:style w:type="paragraph" w:customStyle="1" w:styleId="DHHSbulletafternumbers1">
    <w:name w:val="DHHS bullet after numbers 1"/>
    <w:basedOn w:val="DHHSbody"/>
    <w:uiPriority w:val="4"/>
    <w:rsid w:val="003E055D"/>
    <w:pPr>
      <w:ind w:left="794" w:hanging="397"/>
    </w:pPr>
  </w:style>
  <w:style w:type="numbering" w:customStyle="1" w:styleId="ZZNumbersdigit">
    <w:name w:val="ZZ Numbers digit"/>
    <w:rsid w:val="003E055D"/>
    <w:pPr>
      <w:numPr>
        <w:numId w:val="5"/>
      </w:numPr>
    </w:pPr>
  </w:style>
  <w:style w:type="paragraph" w:customStyle="1" w:styleId="DHHSbulletafternumbers2">
    <w:name w:val="DHHS bullet after numbers 2"/>
    <w:basedOn w:val="DHHSbody"/>
    <w:rsid w:val="003E055D"/>
    <w:pPr>
      <w:ind w:left="1191" w:hanging="397"/>
    </w:pPr>
  </w:style>
  <w:style w:type="paragraph" w:customStyle="1" w:styleId="DHHStabletext">
    <w:name w:val="DHHS table text"/>
    <w:uiPriority w:val="3"/>
    <w:qFormat/>
    <w:rsid w:val="000C770F"/>
    <w:pPr>
      <w:spacing w:before="80" w:after="60"/>
    </w:pPr>
    <w:rPr>
      <w:rFonts w:ascii="Arial" w:hAnsi="Arial"/>
      <w:lang w:eastAsia="en-US"/>
    </w:rPr>
  </w:style>
  <w:style w:type="paragraph" w:customStyle="1" w:styleId="DHHStablecolhead">
    <w:name w:val="DHHS table col head"/>
    <w:uiPriority w:val="3"/>
    <w:qFormat/>
    <w:rsid w:val="000C770F"/>
    <w:pPr>
      <w:spacing w:before="80" w:after="60"/>
    </w:pPr>
    <w:rPr>
      <w:rFonts w:ascii="Arial" w:hAnsi="Arial"/>
      <w:b/>
      <w:color w:val="FFFFFF" w:themeColor="background1"/>
      <w:lang w:eastAsia="en-US"/>
    </w:rPr>
  </w:style>
  <w:style w:type="paragraph" w:customStyle="1" w:styleId="Heading1purple">
    <w:name w:val="Heading 1 purple"/>
    <w:basedOn w:val="Heading1"/>
    <w:uiPriority w:val="11"/>
    <w:rsid w:val="004E50EE"/>
    <w:pPr>
      <w:spacing w:before="120" w:after="80"/>
    </w:pPr>
    <w:rPr>
      <w:rFonts w:eastAsia="MS Gothic" w:cs="Arial"/>
      <w:color w:val="87189D"/>
      <w:kern w:val="32"/>
      <w:sz w:val="36"/>
      <w:szCs w:val="40"/>
    </w:rPr>
  </w:style>
  <w:style w:type="paragraph" w:customStyle="1" w:styleId="paragraph">
    <w:name w:val="paragraph"/>
    <w:basedOn w:val="Normal"/>
    <w:rsid w:val="00552012"/>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552012"/>
  </w:style>
  <w:style w:type="character" w:customStyle="1" w:styleId="eop">
    <w:name w:val="eop"/>
    <w:basedOn w:val="DefaultParagraphFont"/>
    <w:rsid w:val="00552012"/>
  </w:style>
  <w:style w:type="character" w:customStyle="1" w:styleId="spellingerror">
    <w:name w:val="spellingerror"/>
    <w:basedOn w:val="DefaultParagraphFont"/>
    <w:rsid w:val="00552012"/>
  </w:style>
  <w:style w:type="paragraph" w:customStyle="1" w:styleId="DHHSbullet1">
    <w:name w:val="DHHS bullet 1"/>
    <w:basedOn w:val="DHHSbody"/>
    <w:rsid w:val="00447456"/>
    <w:pPr>
      <w:spacing w:after="40"/>
      <w:ind w:left="284" w:hanging="284"/>
    </w:pPr>
  </w:style>
  <w:style w:type="paragraph" w:customStyle="1" w:styleId="DHHSbullet2">
    <w:name w:val="DHHS bullet 2"/>
    <w:basedOn w:val="DHHSbody"/>
    <w:uiPriority w:val="2"/>
    <w:qFormat/>
    <w:rsid w:val="00447456"/>
    <w:pPr>
      <w:spacing w:after="40"/>
      <w:ind w:left="567" w:hanging="283"/>
    </w:pPr>
  </w:style>
  <w:style w:type="character" w:styleId="UnresolvedMention">
    <w:name w:val="Unresolved Mention"/>
    <w:basedOn w:val="DefaultParagraphFont"/>
    <w:uiPriority w:val="99"/>
    <w:semiHidden/>
    <w:unhideWhenUsed/>
    <w:rsid w:val="00900353"/>
    <w:rPr>
      <w:color w:val="605E5C"/>
      <w:shd w:val="clear" w:color="auto" w:fill="E1DFDD"/>
    </w:rPr>
  </w:style>
  <w:style w:type="paragraph" w:customStyle="1" w:styleId="TableParagraph">
    <w:name w:val="Table Paragraph"/>
    <w:basedOn w:val="Normal"/>
    <w:uiPriority w:val="1"/>
    <w:qFormat/>
    <w:rsid w:val="003E65F2"/>
    <w:pPr>
      <w:widowControl w:val="0"/>
      <w:autoSpaceDE w:val="0"/>
      <w:autoSpaceDN w:val="0"/>
    </w:pPr>
    <w:rPr>
      <w:rFonts w:ascii="Univers for KPMG Light" w:eastAsia="Univers for KPMG Light" w:hAnsi="Univers for KPMG Light" w:cs="Univers for KPMG Light"/>
      <w:sz w:val="22"/>
      <w:szCs w:val="22"/>
      <w:lang w:val="en-US"/>
    </w:rPr>
  </w:style>
  <w:style w:type="paragraph" w:styleId="BodyText">
    <w:name w:val="Body Text"/>
    <w:basedOn w:val="Normal"/>
    <w:link w:val="BodyTextChar0"/>
    <w:uiPriority w:val="1"/>
    <w:qFormat/>
    <w:rsid w:val="003E65F2"/>
    <w:pPr>
      <w:widowControl w:val="0"/>
      <w:autoSpaceDE w:val="0"/>
      <w:autoSpaceDN w:val="0"/>
    </w:pPr>
    <w:rPr>
      <w:rFonts w:ascii="Univers 45 Light" w:eastAsia="Univers 45 Light" w:hAnsi="Univers 45 Light" w:cs="Univers 45 Light"/>
      <w:lang w:val="en-US"/>
    </w:rPr>
  </w:style>
  <w:style w:type="character" w:customStyle="1" w:styleId="BodyTextChar0">
    <w:name w:val="Body Text Char"/>
    <w:basedOn w:val="DefaultParagraphFont"/>
    <w:link w:val="BodyText"/>
    <w:uiPriority w:val="1"/>
    <w:rsid w:val="003E65F2"/>
    <w:rPr>
      <w:rFonts w:ascii="Univers 45 Light" w:eastAsia="Univers 45 Light" w:hAnsi="Univers 45 Light" w:cs="Univers 45 Light"/>
      <w:lang w:val="en-US" w:eastAsia="en-US"/>
    </w:rPr>
  </w:style>
  <w:style w:type="character" w:styleId="SubtleEmphasis">
    <w:name w:val="Subtle Emphasis"/>
    <w:basedOn w:val="DefaultParagraphFont"/>
    <w:uiPriority w:val="65"/>
    <w:qFormat/>
    <w:rsid w:val="00E4126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27077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62904099">
      <w:bodyDiv w:val="1"/>
      <w:marLeft w:val="0"/>
      <w:marRight w:val="0"/>
      <w:marTop w:val="0"/>
      <w:marBottom w:val="0"/>
      <w:divBdr>
        <w:top w:val="none" w:sz="0" w:space="0" w:color="auto"/>
        <w:left w:val="none" w:sz="0" w:space="0" w:color="auto"/>
        <w:bottom w:val="none" w:sz="0" w:space="0" w:color="auto"/>
        <w:right w:val="none" w:sz="0" w:space="0" w:color="auto"/>
      </w:divBdr>
    </w:div>
    <w:div w:id="2077165438">
      <w:bodyDiv w:val="1"/>
      <w:marLeft w:val="0"/>
      <w:marRight w:val="0"/>
      <w:marTop w:val="0"/>
      <w:marBottom w:val="0"/>
      <w:divBdr>
        <w:top w:val="none" w:sz="0" w:space="0" w:color="auto"/>
        <w:left w:val="none" w:sz="0" w:space="0" w:color="auto"/>
        <w:bottom w:val="none" w:sz="0" w:space="0" w:color="auto"/>
        <w:right w:val="none" w:sz="0" w:space="0" w:color="auto"/>
      </w:divBdr>
      <w:divsChild>
        <w:div w:id="1657027952">
          <w:marLeft w:val="0"/>
          <w:marRight w:val="0"/>
          <w:marTop w:val="0"/>
          <w:marBottom w:val="0"/>
          <w:divBdr>
            <w:top w:val="none" w:sz="0" w:space="0" w:color="auto"/>
            <w:left w:val="none" w:sz="0" w:space="0" w:color="auto"/>
            <w:bottom w:val="none" w:sz="0" w:space="0" w:color="auto"/>
            <w:right w:val="none" w:sz="0" w:space="0" w:color="auto"/>
          </w:divBdr>
        </w:div>
        <w:div w:id="329215527">
          <w:marLeft w:val="0"/>
          <w:marRight w:val="0"/>
          <w:marTop w:val="0"/>
          <w:marBottom w:val="0"/>
          <w:divBdr>
            <w:top w:val="none" w:sz="0" w:space="0" w:color="auto"/>
            <w:left w:val="none" w:sz="0" w:space="0" w:color="auto"/>
            <w:bottom w:val="none" w:sz="0" w:space="0" w:color="auto"/>
            <w:right w:val="none" w:sz="0" w:space="0" w:color="auto"/>
          </w:divBdr>
        </w:div>
        <w:div w:id="2047753455">
          <w:marLeft w:val="0"/>
          <w:marRight w:val="0"/>
          <w:marTop w:val="0"/>
          <w:marBottom w:val="0"/>
          <w:divBdr>
            <w:top w:val="none" w:sz="0" w:space="0" w:color="auto"/>
            <w:left w:val="none" w:sz="0" w:space="0" w:color="auto"/>
            <w:bottom w:val="none" w:sz="0" w:space="0" w:color="auto"/>
            <w:right w:val="none" w:sz="0" w:space="0" w:color="auto"/>
          </w:divBdr>
        </w:div>
        <w:div w:id="926235718">
          <w:marLeft w:val="0"/>
          <w:marRight w:val="0"/>
          <w:marTop w:val="0"/>
          <w:marBottom w:val="0"/>
          <w:divBdr>
            <w:top w:val="none" w:sz="0" w:space="0" w:color="auto"/>
            <w:left w:val="none" w:sz="0" w:space="0" w:color="auto"/>
            <w:bottom w:val="none" w:sz="0" w:space="0" w:color="auto"/>
            <w:right w:val="none" w:sz="0" w:space="0" w:color="auto"/>
          </w:divBdr>
        </w:div>
        <w:div w:id="1605265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mjefferies@kpmg.com.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cjbertram@kpmg.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KPMG.com.au" TargetMode="Externa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ebowering@kpmg.com.a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A9170-0851-4299-A809-CFBD31A58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Public Report Agriculture Victoria Capability Assessment (Accessible Word Version)</vt:lpstr>
    </vt:vector>
  </TitlesOfParts>
  <Company>Department of Health and Human Services</Company>
  <LinksUpToDate>false</LinksUpToDate>
  <CharactersWithSpaces>22217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1179698</vt:i4>
      </vt:variant>
      <vt:variant>
        <vt:i4>44</vt:i4>
      </vt:variant>
      <vt:variant>
        <vt:i4>0</vt:i4>
      </vt:variant>
      <vt:variant>
        <vt:i4>5</vt:i4>
      </vt:variant>
      <vt:variant>
        <vt:lpwstr/>
      </vt:variant>
      <vt:variant>
        <vt:lpwstr>_Toc442704424</vt:lpwstr>
      </vt:variant>
      <vt:variant>
        <vt:i4>1179698</vt:i4>
      </vt:variant>
      <vt:variant>
        <vt:i4>38</vt:i4>
      </vt:variant>
      <vt:variant>
        <vt:i4>0</vt:i4>
      </vt:variant>
      <vt:variant>
        <vt:i4>5</vt:i4>
      </vt:variant>
      <vt:variant>
        <vt:lpwstr/>
      </vt:variant>
      <vt:variant>
        <vt:lpwstr>_Toc442704423</vt:lpwstr>
      </vt:variant>
      <vt:variant>
        <vt:i4>1179698</vt:i4>
      </vt:variant>
      <vt:variant>
        <vt:i4>32</vt:i4>
      </vt:variant>
      <vt:variant>
        <vt:i4>0</vt:i4>
      </vt:variant>
      <vt:variant>
        <vt:i4>5</vt:i4>
      </vt:variant>
      <vt:variant>
        <vt:lpwstr/>
      </vt:variant>
      <vt:variant>
        <vt:lpwstr>_Toc442704422</vt:lpwstr>
      </vt:variant>
      <vt:variant>
        <vt:i4>1179698</vt:i4>
      </vt:variant>
      <vt:variant>
        <vt:i4>26</vt:i4>
      </vt:variant>
      <vt:variant>
        <vt:i4>0</vt:i4>
      </vt:variant>
      <vt:variant>
        <vt:i4>5</vt:i4>
      </vt:variant>
      <vt:variant>
        <vt:lpwstr/>
      </vt:variant>
      <vt:variant>
        <vt:lpwstr>_Toc442704421</vt:lpwstr>
      </vt:variant>
      <vt:variant>
        <vt:i4>1179698</vt:i4>
      </vt:variant>
      <vt:variant>
        <vt:i4>20</vt:i4>
      </vt:variant>
      <vt:variant>
        <vt:i4>0</vt:i4>
      </vt:variant>
      <vt:variant>
        <vt:i4>5</vt:i4>
      </vt:variant>
      <vt:variant>
        <vt:lpwstr/>
      </vt:variant>
      <vt:variant>
        <vt:lpwstr>_Toc442704420</vt:lpwstr>
      </vt:variant>
      <vt:variant>
        <vt:i4>1114162</vt:i4>
      </vt:variant>
      <vt:variant>
        <vt:i4>14</vt:i4>
      </vt:variant>
      <vt:variant>
        <vt:i4>0</vt:i4>
      </vt:variant>
      <vt:variant>
        <vt:i4>5</vt:i4>
      </vt:variant>
      <vt:variant>
        <vt:lpwstr/>
      </vt:variant>
      <vt:variant>
        <vt:lpwstr>_Toc442704419</vt:lpwstr>
      </vt:variant>
      <vt:variant>
        <vt:i4>1114162</vt:i4>
      </vt:variant>
      <vt:variant>
        <vt:i4>8</vt:i4>
      </vt:variant>
      <vt:variant>
        <vt:i4>0</vt:i4>
      </vt:variant>
      <vt:variant>
        <vt:i4>5</vt:i4>
      </vt:variant>
      <vt:variant>
        <vt:lpwstr/>
      </vt:variant>
      <vt:variant>
        <vt:lpwstr>_Toc442704418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Report Agriculture Victoria Capability Assessment (Accessible Word Version)</dc:title>
  <dc:subject>Stakeholder engagement toolkit: Department of Health and Human Services</dc:subject>
  <dc:creator>KPMG</dc:creator>
  <cp:keywords>Agriculture Victoria, Regulatory Capability, Assessment</cp:keywords>
  <cp:lastModifiedBy>Bridie L Walsh (DJPR)</cp:lastModifiedBy>
  <cp:revision>3</cp:revision>
  <cp:lastPrinted>2018-02-11T22:40:00Z</cp:lastPrinted>
  <dcterms:created xsi:type="dcterms:W3CDTF">2021-11-04T05:17:00Z</dcterms:created>
  <dcterms:modified xsi:type="dcterms:W3CDTF">2021-11-04T05:18:00Z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