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booklets,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Ballarat,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Wadawurrung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Nicholson,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restoration.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Bellarine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Peninsula.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credentials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Bellarine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DRDC,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Bellarine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Peninsula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agronomist,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phosphorus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phosphorus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suspicion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00:14:49]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 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395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dozen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bio-security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troughs.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land-classed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phalaris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grass-dominant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lucerne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fescue-based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steadily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Stockyard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DSCs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potassium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sulfur-rite.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3.5%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equilibrium.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re-sample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aberration.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retested,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3.5%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3.5%.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sawtooth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droughty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00:26:09]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Bellarine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Peninsula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earthworms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earthworms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nitrogen.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fungi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bacteria.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skeptical,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CO2-Burst.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laboratories.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incubates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00:29:30]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 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millimeters.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dispersive,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sinkholes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rainfall.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 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collapsed,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equilibrium.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sawtooth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CSRO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sawtooth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colvita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nitrogen,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phosphorus,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sulfur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Solivta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3.5%.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00:35:29]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phalaris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phalaris-dominant,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phalaris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phalaris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 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eucalypts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germinates,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N2O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13,250Ks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Hilux.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"Gee,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Fluctuates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FullCAM.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staggered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Walkley-Black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Tasmania,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fluctuates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fluctuate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dissipates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equilibrium.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GPW100,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310.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IPCC,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superimposed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volatility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dissipates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 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$27,000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rainfall.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Asparagopsis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tariffs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sequestering.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Asparagopsis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3-NOP.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Walkley-Black,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Walkley-Black,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booklet,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Bellarine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well-sheltered,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 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 Nicholson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Fiona Conroy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GMT20220915-015952_Recording_1920x1080 (2) (Completed  09/15/22)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20,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Edit?token=ALDWWVtxDLMJ-QsB58Lgxo28aY1KXlCxmwHXqlrO5Fl_U1G-AujQaUAV4HlFEy-cY8a4oS4-ABwn-r3Lp7WyhU1-fqk&amp;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