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webinar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webinar,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webinar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webinar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Ballarat,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Wadawurrung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Behrendt,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Jenkin.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moisture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Wadawurrung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Geelong,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well-placed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Behrendt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Nuttall's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Melbourne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Eckard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Lopez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Peralta,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gurus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catch-ups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Horticulture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Melbourne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 Kelly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webinar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one-to-one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templates,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two-way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policymakers,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arrangements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carbon-neutral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R&amp;D,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tagged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one-on-one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$16,000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one-to-one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briefly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two-way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duplicate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00:12:44]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Melbourne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two-way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snapshot.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unequipped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pre-survey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pre-survey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demonstrated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one-on-one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footprint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simplification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underpinned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underpin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infographic.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horticultural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vineyard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poultry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one-on-one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template.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one-on-one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all-day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preliminary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footprints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carbon-neutral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benchmarking.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confronting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dioxide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equivalents,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benchmarks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benchmarks,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regionally.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benchmark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proxy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follow-up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inefficiencies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one-on-one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worksheets,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infographic,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nitrous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dioxide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inputs,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horticultural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fossil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and/or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manufacturing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estimating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229th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pre-survey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215.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demonstrates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one-on-one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compromising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profitability?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preliminary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open-ended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one-on-one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reiterate,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benchmarks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93%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one-on-one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carbon-neutral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briefly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conducted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webinars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00:32:27]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00:32:34]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Behrendt.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Hamilton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00:33:12]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sheep.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Jenkin,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Banemore,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hectare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on-farm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revegetation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conservation.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off-farm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post-grad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Melbourne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 Behrendt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Jenkin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cross-section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Swamp,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unusual.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'21,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'22,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00:35:46]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cattle.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re-veg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agroforestry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shelterbelts,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underneath,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 Behrendt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'21,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vegetation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lambing,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2,827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equivalents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ewes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footprint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nitrous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fertiliser,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fertiliser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enterprise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cropping.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likewise,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fertilisers,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conservative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vegetation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conservative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coppice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harvested,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vegetation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Jenkin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"Geez,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neutrality.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00:43:04]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00:43:07]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"Geez,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00:43:34]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thing?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yearlings,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lambing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lambs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re-veg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agroforestry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wetland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Herefords,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Herefords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progeny,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cheapest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00:47:20]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cooperation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Optiweigh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Optiweigh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in-paddock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enables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paddocks,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F1s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non-F1s,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yearlings,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reassuring.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reassuring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biodiversity,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00:50:53]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 Behrendt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Anderson.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wrestling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catch-ups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webinars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catch-ups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unfolding,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outreach.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 Kelly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one-on-one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stupid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infographics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anticipation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fibre,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 Behrendt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exporters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increasingly,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premium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neutrality?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net-zero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neutrality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 Kelly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controversial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net-zero.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scheme.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carbon-neutral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agnostic.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agnostic.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terminology.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01:00:41]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 Kelly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calendar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one-to-one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01:01:21]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one-to-one,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crunching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 Kelly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R&amp;D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additives?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panellists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01:04:38]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fertilisers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shelf?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 Kelly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cross-section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low-hanging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low-hanging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towards?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 Behrendt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rapidly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tannins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legumes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storages,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microbial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biomass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summary?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 Kelly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estimates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estimates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panellists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AgVic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webinar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afternoon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 Behrendt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Graeme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GMT20250227-063257_Clip_On-Farm Emissions Action... (Completed  02/27/25)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01, 2025 -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gkyd3A4rYXALze8ZOCruggCaTIgAY8QE6n3Ap8ve7imKAwwjIvDKbo1JMOwmWE4rzYdSGtQ9FbTQ4AzDhxRYGTipGP0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