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3A83" w14:textId="70A7B7C0" w:rsidR="00E37435" w:rsidRDefault="00E37435" w:rsidP="00E37435">
      <w:pPr>
        <w:jc w:val="both"/>
        <w:rPr>
          <w:b/>
          <w:bCs/>
          <w:sz w:val="28"/>
          <w:szCs w:val="28"/>
        </w:rPr>
      </w:pPr>
      <w:r w:rsidRPr="00E37435">
        <w:rPr>
          <w:b/>
          <w:bCs/>
          <w:sz w:val="28"/>
          <w:szCs w:val="28"/>
        </w:rPr>
        <w:t>Australian Grains Genebank Strategic Business Partnership</w:t>
      </w:r>
    </w:p>
    <w:p w14:paraId="26B84AB1" w14:textId="527E6741" w:rsidR="00E37435" w:rsidRDefault="00E37435" w:rsidP="00E37435">
      <w:pPr>
        <w:jc w:val="center"/>
        <w:rPr>
          <w:i/>
          <w:iCs/>
          <w:sz w:val="26"/>
          <w:szCs w:val="26"/>
        </w:rPr>
      </w:pPr>
      <w:r w:rsidRPr="00E37435">
        <w:rPr>
          <w:i/>
          <w:iCs/>
          <w:sz w:val="26"/>
          <w:szCs w:val="26"/>
        </w:rPr>
        <w:t>Unlocking the genetic potential of the Australian Grains Genebank to accelerate cereal, oilseed, and pulse crop improvement for the benefit of Australian grain growers</w:t>
      </w:r>
    </w:p>
    <w:p w14:paraId="7098168D" w14:textId="10294B40" w:rsidR="00E37435" w:rsidRDefault="00E37435" w:rsidP="00E37435">
      <w:pPr>
        <w:jc w:val="center"/>
      </w:pPr>
      <w:r w:rsidRPr="00E37435">
        <w:rPr>
          <w:noProof/>
        </w:rPr>
        <w:drawing>
          <wp:inline distT="0" distB="0" distL="0" distR="0" wp14:anchorId="29213207" wp14:editId="65B49776">
            <wp:extent cx="4714875" cy="2080411"/>
            <wp:effectExtent l="0" t="0" r="0" b="0"/>
            <wp:docPr id="13" name="Picture 12" descr="Australian Grains Genebank building in Horsham Victoria">
              <a:extLst xmlns:a="http://schemas.openxmlformats.org/drawingml/2006/main">
                <a:ext uri="{FF2B5EF4-FFF2-40B4-BE49-F238E27FC236}">
                  <a16:creationId xmlns:a16="http://schemas.microsoft.com/office/drawing/2014/main" id="{896B8A12-0380-F366-E339-7D646C450B56}"/>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ustralian Grains Genebank building in Horsham Victoria">
                      <a:extLst>
                        <a:ext uri="{FF2B5EF4-FFF2-40B4-BE49-F238E27FC236}">
                          <a16:creationId xmlns:a16="http://schemas.microsoft.com/office/drawing/2014/main" id="{896B8A12-0380-F366-E339-7D646C450B56}"/>
                        </a:ext>
                        <a:ext uri="{C183D7F6-B498-43B3-948B-1728B52AA6E4}">
                          <adec:decorative xmlns:adec="http://schemas.microsoft.com/office/drawing/2017/decorative" val="0"/>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9741" r="6959"/>
                    <a:stretch/>
                  </pic:blipFill>
                  <pic:spPr bwMode="auto">
                    <a:xfrm>
                      <a:off x="0" y="0"/>
                      <a:ext cx="4717783" cy="2081694"/>
                    </a:xfrm>
                    <a:prstGeom prst="rect">
                      <a:avLst/>
                    </a:prstGeom>
                    <a:noFill/>
                  </pic:spPr>
                </pic:pic>
              </a:graphicData>
            </a:graphic>
          </wp:inline>
        </w:drawing>
      </w:r>
    </w:p>
    <w:p w14:paraId="0E565661" w14:textId="09AE4B57" w:rsidR="00E37435" w:rsidRPr="00E37435" w:rsidRDefault="00E37435" w:rsidP="008E122F">
      <w:r w:rsidRPr="00E37435">
        <w:t>The Australian Grains Genebank Strategic Partnership is a $30M joint investment between the Victorian State Government and Grains Research and Development Corporation (GRDC) that aims to unlock the genetic potential of plant genetic resources for the benefit of the Australian grain growers.</w:t>
      </w:r>
    </w:p>
    <w:p w14:paraId="213C83B5" w14:textId="2909AEE7" w:rsidR="00E37435" w:rsidRDefault="00E37435" w:rsidP="008E122F">
      <w:r w:rsidRPr="00E37435">
        <w:t>The program of work will transform the Australian Grains Genebank (AGG) from a traditional seedbank facility into a future-oriented bio-digital resource centre through digital and genomic innovation to accelerate cereal, oilseed, and pulse crop improvement and the development of climate-change resilient, high-yielding and high-value grain crop varieties for the benefit of Australian grain growers.</w:t>
      </w:r>
    </w:p>
    <w:p w14:paraId="73879A33" w14:textId="26AE595C" w:rsidR="008E122F" w:rsidRPr="008E122F" w:rsidRDefault="00B30ED8" w:rsidP="00E37435">
      <w:pPr>
        <w:jc w:val="both"/>
      </w:pPr>
      <w:r w:rsidRPr="00E37435">
        <w:rPr>
          <w:noProof/>
        </w:rPr>
        <w:drawing>
          <wp:anchor distT="0" distB="0" distL="114300" distR="114300" simplePos="0" relativeHeight="251663360" behindDoc="0" locked="0" layoutInCell="1" allowOverlap="1" wp14:anchorId="4828D81F" wp14:editId="01237522">
            <wp:simplePos x="0" y="0"/>
            <wp:positionH relativeFrom="column">
              <wp:posOffset>2745105</wp:posOffset>
            </wp:positionH>
            <wp:positionV relativeFrom="paragraph">
              <wp:posOffset>155575</wp:posOffset>
            </wp:positionV>
            <wp:extent cx="1409700" cy="721209"/>
            <wp:effectExtent l="0" t="0" r="0" b="3175"/>
            <wp:wrapNone/>
            <wp:docPr id="15" name="Picture 14" descr="Grains Research and Development Corporation logo">
              <a:hlinkClick xmlns:a="http://schemas.openxmlformats.org/drawingml/2006/main" r:id="rId9"/>
              <a:extLst xmlns:a="http://schemas.openxmlformats.org/drawingml/2006/main">
                <a:ext uri="{FF2B5EF4-FFF2-40B4-BE49-F238E27FC236}">
                  <a16:creationId xmlns:a16="http://schemas.microsoft.com/office/drawing/2014/main" id="{1E4EE5F2-F5AA-0DB1-ECF5-628FA85EDDD8}"/>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Grains Research and Development Corporation logo">
                      <a:hlinkClick r:id="rId9"/>
                      <a:extLst>
                        <a:ext uri="{FF2B5EF4-FFF2-40B4-BE49-F238E27FC236}">
                          <a16:creationId xmlns:a16="http://schemas.microsoft.com/office/drawing/2014/main" id="{1E4EE5F2-F5AA-0DB1-ECF5-628FA85EDDD8}"/>
                        </a:ext>
                        <a:ext uri="{C183D7F6-B498-43B3-948B-1728B52AA6E4}">
                          <adec:decorative xmlns:adec="http://schemas.microsoft.com/office/drawing/2017/decorative" val="0"/>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9700" cy="721209"/>
                    </a:xfrm>
                    <a:prstGeom prst="rect">
                      <a:avLst/>
                    </a:prstGeom>
                  </pic:spPr>
                </pic:pic>
              </a:graphicData>
            </a:graphic>
            <wp14:sizeRelH relativeFrom="page">
              <wp14:pctWidth>0</wp14:pctWidth>
            </wp14:sizeRelH>
            <wp14:sizeRelV relativeFrom="page">
              <wp14:pctHeight>0</wp14:pctHeight>
            </wp14:sizeRelV>
          </wp:anchor>
        </w:drawing>
      </w:r>
    </w:p>
    <w:p w14:paraId="36868994" w14:textId="370A716E" w:rsidR="00E37435" w:rsidRDefault="00B30ED8" w:rsidP="00E37435">
      <w:pPr>
        <w:jc w:val="center"/>
      </w:pPr>
      <w:r w:rsidRPr="00E37435">
        <w:rPr>
          <w:noProof/>
        </w:rPr>
        <w:drawing>
          <wp:anchor distT="0" distB="0" distL="114300" distR="114300" simplePos="0" relativeHeight="251662336" behindDoc="0" locked="0" layoutInCell="1" allowOverlap="1" wp14:anchorId="30554259" wp14:editId="766E50EC">
            <wp:simplePos x="0" y="0"/>
            <wp:positionH relativeFrom="column">
              <wp:posOffset>373380</wp:posOffset>
            </wp:positionH>
            <wp:positionV relativeFrom="paragraph">
              <wp:posOffset>9525</wp:posOffset>
            </wp:positionV>
            <wp:extent cx="1990725" cy="517588"/>
            <wp:effectExtent l="0" t="0" r="0" b="0"/>
            <wp:wrapNone/>
            <wp:docPr id="20" name="Picture 19" descr="Agriculture Victoria logo">
              <a:hlinkClick xmlns:a="http://schemas.openxmlformats.org/drawingml/2006/main" r:id="rId11"/>
              <a:extLst xmlns:a="http://schemas.openxmlformats.org/drawingml/2006/main">
                <a:ext uri="{FF2B5EF4-FFF2-40B4-BE49-F238E27FC236}">
                  <a16:creationId xmlns:a16="http://schemas.microsoft.com/office/drawing/2014/main" id="{876ACB43-9AC7-05E1-D590-0A28F0B4C1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griculture Victoria logo">
                      <a:hlinkClick r:id="rId11"/>
                      <a:extLst>
                        <a:ext uri="{FF2B5EF4-FFF2-40B4-BE49-F238E27FC236}">
                          <a16:creationId xmlns:a16="http://schemas.microsoft.com/office/drawing/2014/main" id="{876ACB43-9AC7-05E1-D590-0A28F0B4C14F}"/>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0725" cy="517588"/>
                    </a:xfrm>
                    <a:prstGeom prst="rect">
                      <a:avLst/>
                    </a:prstGeom>
                  </pic:spPr>
                </pic:pic>
              </a:graphicData>
            </a:graphic>
            <wp14:sizeRelH relativeFrom="page">
              <wp14:pctWidth>0</wp14:pctWidth>
            </wp14:sizeRelH>
            <wp14:sizeRelV relativeFrom="page">
              <wp14:pctHeight>0</wp14:pctHeight>
            </wp14:sizeRelV>
          </wp:anchor>
        </w:drawing>
      </w:r>
      <w:r w:rsidR="00E37435">
        <w:t xml:space="preserve">                </w:t>
      </w:r>
    </w:p>
    <w:p w14:paraId="6F4C3132" w14:textId="77777777" w:rsidR="00B30ED8" w:rsidRDefault="00B30ED8" w:rsidP="00E37435">
      <w:pPr>
        <w:jc w:val="both"/>
        <w:rPr>
          <w:b/>
          <w:bCs/>
          <w:sz w:val="24"/>
          <w:szCs w:val="24"/>
        </w:rPr>
      </w:pPr>
    </w:p>
    <w:p w14:paraId="2A7D3225" w14:textId="77777777" w:rsidR="00B30ED8" w:rsidRDefault="00B30ED8" w:rsidP="00E37435">
      <w:pPr>
        <w:jc w:val="both"/>
        <w:rPr>
          <w:b/>
          <w:bCs/>
          <w:sz w:val="24"/>
          <w:szCs w:val="24"/>
        </w:rPr>
      </w:pPr>
    </w:p>
    <w:p w14:paraId="106C5389" w14:textId="77777777" w:rsidR="00345551" w:rsidRDefault="00345551" w:rsidP="00E37435">
      <w:pPr>
        <w:jc w:val="both"/>
        <w:rPr>
          <w:b/>
          <w:bCs/>
          <w:sz w:val="24"/>
          <w:szCs w:val="24"/>
        </w:rPr>
      </w:pPr>
    </w:p>
    <w:p w14:paraId="6A5BE7F7" w14:textId="59083244" w:rsidR="00E37435" w:rsidRPr="00E37435" w:rsidRDefault="00E37435" w:rsidP="00E37435">
      <w:pPr>
        <w:jc w:val="both"/>
        <w:rPr>
          <w:b/>
          <w:bCs/>
          <w:sz w:val="24"/>
          <w:szCs w:val="24"/>
        </w:rPr>
      </w:pPr>
      <w:r w:rsidRPr="00E37435">
        <w:rPr>
          <w:b/>
          <w:bCs/>
          <w:sz w:val="24"/>
          <w:szCs w:val="24"/>
        </w:rPr>
        <w:t>About the genebank</w:t>
      </w:r>
    </w:p>
    <w:p w14:paraId="1C282805" w14:textId="27369911" w:rsidR="00E37435" w:rsidRPr="00E37435" w:rsidRDefault="00E37435" w:rsidP="008E122F">
      <w:r w:rsidRPr="00E37435">
        <w:t>The AGG is custodian to one of the largest collections of</w:t>
      </w:r>
      <w:r w:rsidRPr="008E122F">
        <w:t xml:space="preserve"> </w:t>
      </w:r>
      <w:r w:rsidRPr="00E37435">
        <w:t>grain crop species globally including cultivated, landrace</w:t>
      </w:r>
      <w:r w:rsidRPr="008E122F">
        <w:t xml:space="preserve"> </w:t>
      </w:r>
      <w:r w:rsidRPr="00E37435">
        <w:t>and wild relative species of temperate and tropical crops. The AGG manages its germplasm in accordance with Australia’s obligation under the International Treaty on Plant Genetic Resources for Food and Agriculture (ITPGRFA) and is committed to facilitating widespread access to genetic resources for crop improvement aimed at developing more resilient and productive grain crop varieties.</w:t>
      </w:r>
    </w:p>
    <w:p w14:paraId="066A05F1" w14:textId="749AF3AB" w:rsidR="00E37435" w:rsidRPr="00E37435" w:rsidRDefault="00E37435" w:rsidP="008E122F">
      <w:r w:rsidRPr="00E37435">
        <w:t>Opened in 2014 as a significant long-term commitment from the Victorian State Government and GRDC, the AGG has the mandate to acquire, conserve, maintain and distribute genetic resources to plant breeders and researchers to underpin the development of more resilient and productive grain crop varieties for the benefit of the Australian grains industry.</w:t>
      </w:r>
      <w:r w:rsidRPr="008E122F">
        <w:rPr>
          <w:noProof/>
        </w:rPr>
        <w:t xml:space="preserve"> </w:t>
      </w:r>
      <w:r w:rsidRPr="00E37435">
        <w:t>The AGG is located at the Grains Innovation Precinct Horsham in the heart of the Wimmera cropping region.</w:t>
      </w:r>
    </w:p>
    <w:p w14:paraId="65F66740" w14:textId="3DB75C09" w:rsidR="00E37435" w:rsidRPr="00E37435" w:rsidRDefault="00E37435" w:rsidP="00E37435">
      <w:pPr>
        <w:jc w:val="both"/>
        <w:rPr>
          <w:b/>
          <w:bCs/>
          <w:sz w:val="24"/>
          <w:szCs w:val="24"/>
        </w:rPr>
      </w:pPr>
      <w:r w:rsidRPr="008E122F">
        <w:rPr>
          <w:noProof/>
        </w:rPr>
        <w:drawing>
          <wp:anchor distT="0" distB="0" distL="114300" distR="114300" simplePos="0" relativeHeight="251658240" behindDoc="0" locked="0" layoutInCell="1" allowOverlap="1" wp14:anchorId="049810A6" wp14:editId="0D00E56D">
            <wp:simplePos x="0" y="0"/>
            <wp:positionH relativeFrom="column">
              <wp:posOffset>2771140</wp:posOffset>
            </wp:positionH>
            <wp:positionV relativeFrom="paragraph">
              <wp:posOffset>170180</wp:posOffset>
            </wp:positionV>
            <wp:extent cx="2068830" cy="1117600"/>
            <wp:effectExtent l="0" t="0" r="7620" b="6350"/>
            <wp:wrapSquare wrapText="bothSides"/>
            <wp:docPr id="16" name="Picture 15">
              <a:extLst xmlns:a="http://schemas.openxmlformats.org/drawingml/2006/main">
                <a:ext uri="{FF2B5EF4-FFF2-40B4-BE49-F238E27FC236}">
                  <a16:creationId xmlns:a16="http://schemas.microsoft.com/office/drawing/2014/main" id="{C76E35D1-521D-03FC-7722-5C40100F9512}"/>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C76E35D1-521D-03FC-7722-5C40100F9512}"/>
                        </a:ext>
                        <a:ext uri="{C183D7F6-B498-43B3-948B-1728B52AA6E4}">
                          <adec:decorative xmlns:adec="http://schemas.microsoft.com/office/drawing/2017/decorative" val="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68830" cy="1117600"/>
                    </a:xfrm>
                    <a:prstGeom prst="rect">
                      <a:avLst/>
                    </a:prstGeom>
                  </pic:spPr>
                </pic:pic>
              </a:graphicData>
            </a:graphic>
            <wp14:sizeRelH relativeFrom="page">
              <wp14:pctWidth>0</wp14:pctWidth>
            </wp14:sizeRelH>
            <wp14:sizeRelV relativeFrom="page">
              <wp14:pctHeight>0</wp14:pctHeight>
            </wp14:sizeRelV>
          </wp:anchor>
        </w:drawing>
      </w:r>
      <w:r w:rsidRPr="00E37435">
        <w:rPr>
          <w:b/>
          <w:bCs/>
        </w:rPr>
        <w:t>I</w:t>
      </w:r>
      <w:r w:rsidRPr="00E37435">
        <w:rPr>
          <w:b/>
          <w:bCs/>
          <w:sz w:val="24"/>
          <w:szCs w:val="24"/>
        </w:rPr>
        <w:t>mportance of the genebank</w:t>
      </w:r>
    </w:p>
    <w:p w14:paraId="38E3E1C9" w14:textId="390A87B9" w:rsidR="00E37435" w:rsidRPr="00E37435" w:rsidRDefault="00E37435" w:rsidP="00E37435">
      <w:r w:rsidRPr="00E37435">
        <w:t>As Australia has few indigenous plant species related to its</w:t>
      </w:r>
      <w:r w:rsidRPr="008E122F">
        <w:t xml:space="preserve"> </w:t>
      </w:r>
      <w:r w:rsidRPr="00E37435">
        <w:t>primary grain crops, it is reliant</w:t>
      </w:r>
      <w:r w:rsidRPr="008E122F">
        <w:t xml:space="preserve"> </w:t>
      </w:r>
      <w:r w:rsidRPr="00E37435">
        <w:t>on plant genetic resources</w:t>
      </w:r>
      <w:r w:rsidRPr="008E122F">
        <w:t xml:space="preserve"> </w:t>
      </w:r>
      <w:r w:rsidRPr="00E37435">
        <w:t>imported and warehoused through the AGG to underpin the development of improved grain crop varieties.</w:t>
      </w:r>
    </w:p>
    <w:p w14:paraId="1959A634" w14:textId="3C428666" w:rsidR="00E37435" w:rsidRPr="008E122F" w:rsidRDefault="00E37435" w:rsidP="00E37435">
      <w:r w:rsidRPr="00E37435">
        <w:t xml:space="preserve">The reliance of the Australian grains industry on the AGG has steadily increased over the years as researcher and breeders seek to overcome current and future production constraints. </w:t>
      </w:r>
    </w:p>
    <w:p w14:paraId="0713CEE2" w14:textId="3D8CDE06" w:rsidR="008E122F" w:rsidRPr="008E122F" w:rsidRDefault="008E122F" w:rsidP="008E122F">
      <w:pPr>
        <w:rPr>
          <w:b/>
          <w:bCs/>
          <w:sz w:val="24"/>
          <w:szCs w:val="24"/>
        </w:rPr>
      </w:pPr>
      <w:r w:rsidRPr="008E122F">
        <w:rPr>
          <w:b/>
          <w:bCs/>
          <w:sz w:val="24"/>
          <w:szCs w:val="24"/>
        </w:rPr>
        <w:t>Contacts for further information</w:t>
      </w:r>
    </w:p>
    <w:p w14:paraId="4389F232" w14:textId="602E55D5" w:rsidR="008E122F" w:rsidRPr="00345551" w:rsidRDefault="00345551" w:rsidP="008E122F">
      <w:pPr>
        <w:pStyle w:val="NoSpacing"/>
        <w:rPr>
          <w:sz w:val="20"/>
          <w:szCs w:val="20"/>
        </w:rPr>
      </w:pPr>
      <w:r w:rsidRPr="00345551">
        <w:rPr>
          <w:noProof/>
          <w:sz w:val="20"/>
          <w:szCs w:val="20"/>
        </w:rPr>
        <w:drawing>
          <wp:anchor distT="0" distB="0" distL="114300" distR="114300" simplePos="0" relativeHeight="251659264" behindDoc="0" locked="0" layoutInCell="1" allowOverlap="1" wp14:anchorId="45970BCD" wp14:editId="17575913">
            <wp:simplePos x="0" y="0"/>
            <wp:positionH relativeFrom="column">
              <wp:posOffset>3016245</wp:posOffset>
            </wp:positionH>
            <wp:positionV relativeFrom="paragraph">
              <wp:posOffset>5080</wp:posOffset>
            </wp:positionV>
            <wp:extent cx="1821446" cy="835025"/>
            <wp:effectExtent l="0" t="0" r="7620" b="3175"/>
            <wp:wrapNone/>
            <wp:docPr id="18" name="Picture 17" descr="Australian Grains Genebank logo&#10;&#10;">
              <a:extLst xmlns:a="http://schemas.openxmlformats.org/drawingml/2006/main">
                <a:ext uri="{FF2B5EF4-FFF2-40B4-BE49-F238E27FC236}">
                  <a16:creationId xmlns:a16="http://schemas.microsoft.com/office/drawing/2014/main" id="{4C485E5F-856E-BC6E-C27E-B5945260C4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Australian Grains Genebank logo&#10;&#10;">
                      <a:extLst>
                        <a:ext uri="{FF2B5EF4-FFF2-40B4-BE49-F238E27FC236}">
                          <a16:creationId xmlns:a16="http://schemas.microsoft.com/office/drawing/2014/main" id="{4C485E5F-856E-BC6E-C27E-B5945260C47E}"/>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9071" cy="838521"/>
                    </a:xfrm>
                    <a:prstGeom prst="rect">
                      <a:avLst/>
                    </a:prstGeom>
                  </pic:spPr>
                </pic:pic>
              </a:graphicData>
            </a:graphic>
            <wp14:sizeRelH relativeFrom="page">
              <wp14:pctWidth>0</wp14:pctWidth>
            </wp14:sizeRelH>
            <wp14:sizeRelV relativeFrom="page">
              <wp14:pctHeight>0</wp14:pctHeight>
            </wp14:sizeRelV>
          </wp:anchor>
        </w:drawing>
      </w:r>
      <w:r w:rsidR="008E122F" w:rsidRPr="00345551">
        <w:rPr>
          <w:b/>
          <w:bCs/>
          <w:sz w:val="20"/>
          <w:szCs w:val="20"/>
        </w:rPr>
        <w:t>Dr Sally Norton, AGG Manager, Curator</w:t>
      </w:r>
    </w:p>
    <w:p w14:paraId="1E1D52A4" w14:textId="29A61521" w:rsidR="008E122F" w:rsidRPr="00345551" w:rsidRDefault="008E122F" w:rsidP="008E122F">
      <w:pPr>
        <w:pStyle w:val="NoSpacing"/>
        <w:rPr>
          <w:sz w:val="20"/>
          <w:szCs w:val="20"/>
        </w:rPr>
      </w:pPr>
      <w:r w:rsidRPr="00345551">
        <w:rPr>
          <w:sz w:val="20"/>
          <w:szCs w:val="20"/>
        </w:rPr>
        <w:t xml:space="preserve">Phone: </w:t>
      </w:r>
      <w:r w:rsidR="00345551" w:rsidRPr="00345551">
        <w:rPr>
          <w:sz w:val="20"/>
          <w:szCs w:val="20"/>
        </w:rPr>
        <w:t>+61 439 176 116</w:t>
      </w:r>
    </w:p>
    <w:p w14:paraId="65F81553" w14:textId="0EADEB7D" w:rsidR="008E122F" w:rsidRDefault="008E122F" w:rsidP="008E122F">
      <w:pPr>
        <w:pStyle w:val="NoSpacing"/>
        <w:rPr>
          <w:sz w:val="20"/>
          <w:szCs w:val="20"/>
        </w:rPr>
      </w:pPr>
      <w:r w:rsidRPr="00345551">
        <w:rPr>
          <w:sz w:val="20"/>
          <w:szCs w:val="20"/>
        </w:rPr>
        <w:t xml:space="preserve">Email: </w:t>
      </w:r>
      <w:hyperlink r:id="rId15" w:history="1">
        <w:r w:rsidRPr="00345551">
          <w:rPr>
            <w:rStyle w:val="Hyperlink"/>
            <w:sz w:val="20"/>
            <w:szCs w:val="20"/>
          </w:rPr>
          <w:t>sally.norton@agriculture.vic.gov.au</w:t>
        </w:r>
      </w:hyperlink>
    </w:p>
    <w:p w14:paraId="3F6606D2" w14:textId="48207D6E" w:rsidR="008E122F" w:rsidRPr="00345551" w:rsidRDefault="008E122F" w:rsidP="008E122F">
      <w:pPr>
        <w:pStyle w:val="NoSpacing"/>
        <w:rPr>
          <w:b/>
          <w:bCs/>
          <w:sz w:val="20"/>
          <w:szCs w:val="20"/>
        </w:rPr>
      </w:pPr>
      <w:r w:rsidRPr="00345551">
        <w:rPr>
          <w:b/>
          <w:bCs/>
          <w:sz w:val="20"/>
          <w:szCs w:val="20"/>
        </w:rPr>
        <w:t xml:space="preserve">A/Prof Matt Hayden </w:t>
      </w:r>
    </w:p>
    <w:p w14:paraId="1750DAA3" w14:textId="6F698D7E" w:rsidR="008E122F" w:rsidRPr="00345551" w:rsidRDefault="008E122F" w:rsidP="008E122F">
      <w:pPr>
        <w:pStyle w:val="NoSpacing"/>
        <w:rPr>
          <w:sz w:val="20"/>
          <w:szCs w:val="20"/>
        </w:rPr>
      </w:pPr>
      <w:r w:rsidRPr="00345551">
        <w:rPr>
          <w:b/>
          <w:bCs/>
          <w:sz w:val="20"/>
          <w:szCs w:val="20"/>
        </w:rPr>
        <w:t>AGG Strategic Partnership Director</w:t>
      </w:r>
    </w:p>
    <w:p w14:paraId="13E05C96" w14:textId="77777777" w:rsidR="008E122F" w:rsidRPr="00345551" w:rsidRDefault="008E122F" w:rsidP="008E122F">
      <w:pPr>
        <w:pStyle w:val="NoSpacing"/>
        <w:rPr>
          <w:sz w:val="20"/>
          <w:szCs w:val="20"/>
        </w:rPr>
      </w:pPr>
      <w:r w:rsidRPr="00345551">
        <w:rPr>
          <w:sz w:val="20"/>
          <w:szCs w:val="20"/>
        </w:rPr>
        <w:t>Phone: 03 9032 7084</w:t>
      </w:r>
    </w:p>
    <w:p w14:paraId="214C90E7" w14:textId="77777777" w:rsidR="008E122F" w:rsidRPr="00345551" w:rsidRDefault="008E122F" w:rsidP="008E122F">
      <w:pPr>
        <w:pStyle w:val="NoSpacing"/>
        <w:rPr>
          <w:sz w:val="20"/>
          <w:szCs w:val="20"/>
        </w:rPr>
      </w:pPr>
      <w:r w:rsidRPr="00345551">
        <w:rPr>
          <w:sz w:val="20"/>
          <w:szCs w:val="20"/>
        </w:rPr>
        <w:t xml:space="preserve">Email: </w:t>
      </w:r>
      <w:hyperlink r:id="rId16" w:history="1">
        <w:r w:rsidRPr="00345551">
          <w:rPr>
            <w:rStyle w:val="Hyperlink"/>
            <w:sz w:val="20"/>
            <w:szCs w:val="20"/>
          </w:rPr>
          <w:t>matthew.hayden@agriculture.vic.gov.au</w:t>
        </w:r>
      </w:hyperlink>
    </w:p>
    <w:p w14:paraId="115FC06B" w14:textId="77777777" w:rsidR="008E122F" w:rsidRPr="00345551" w:rsidRDefault="008E122F" w:rsidP="008E122F">
      <w:pPr>
        <w:pStyle w:val="NoSpacing"/>
        <w:rPr>
          <w:b/>
          <w:bCs/>
          <w:sz w:val="20"/>
          <w:szCs w:val="20"/>
        </w:rPr>
      </w:pPr>
      <w:r w:rsidRPr="00345551">
        <w:rPr>
          <w:b/>
          <w:bCs/>
          <w:sz w:val="20"/>
          <w:szCs w:val="20"/>
        </w:rPr>
        <w:t>AGG website</w:t>
      </w:r>
    </w:p>
    <w:p w14:paraId="5F2ADB3B" w14:textId="21657BD3" w:rsidR="008E122F" w:rsidRPr="00345551" w:rsidRDefault="008E122F" w:rsidP="008E122F">
      <w:pPr>
        <w:pStyle w:val="NoSpacing"/>
        <w:rPr>
          <w:sz w:val="20"/>
          <w:szCs w:val="20"/>
        </w:rPr>
      </w:pPr>
      <w:hyperlink r:id="rId17" w:history="1">
        <w:r w:rsidRPr="00345551">
          <w:rPr>
            <w:rStyle w:val="Hyperlink"/>
            <w:sz w:val="20"/>
            <w:szCs w:val="20"/>
          </w:rPr>
          <w:t>https://agriculture.vic.gov.au/crops-and-horticulture/the-australian-grains-genebank</w:t>
        </w:r>
      </w:hyperlink>
    </w:p>
    <w:p w14:paraId="78B5A345" w14:textId="77777777" w:rsidR="008E122F" w:rsidRDefault="008E122F" w:rsidP="00E37435">
      <w:pPr>
        <w:jc w:val="center"/>
        <w:sectPr w:rsidR="008E122F" w:rsidSect="00345551">
          <w:headerReference w:type="even" r:id="rId18"/>
          <w:footerReference w:type="even" r:id="rId19"/>
          <w:footerReference w:type="default" r:id="rId20"/>
          <w:headerReference w:type="first" r:id="rId21"/>
          <w:footerReference w:type="first" r:id="rId22"/>
          <w:pgSz w:w="16838" w:h="11906" w:orient="landscape"/>
          <w:pgMar w:top="567" w:right="720" w:bottom="720" w:left="720" w:header="708" w:footer="708" w:gutter="0"/>
          <w:cols w:num="2" w:space="425"/>
          <w:docGrid w:linePitch="360"/>
        </w:sectPr>
      </w:pPr>
    </w:p>
    <w:p w14:paraId="4FDF6C0B" w14:textId="59EFED84" w:rsidR="008E122F" w:rsidRPr="008E122F" w:rsidRDefault="008E122F" w:rsidP="008E122F">
      <w:pPr>
        <w:rPr>
          <w:sz w:val="28"/>
          <w:szCs w:val="28"/>
        </w:rPr>
      </w:pPr>
      <w:r w:rsidRPr="008E122F">
        <w:rPr>
          <w:b/>
          <w:bCs/>
          <w:sz w:val="28"/>
          <w:szCs w:val="28"/>
        </w:rPr>
        <w:lastRenderedPageBreak/>
        <w:t>Our priorities on a page</w:t>
      </w:r>
    </w:p>
    <w:tbl>
      <w:tblPr>
        <w:tblStyle w:val="TableGrid"/>
        <w:tblW w:w="0" w:type="auto"/>
        <w:tblInd w:w="-5" w:type="dxa"/>
        <w:tblLook w:val="04A0" w:firstRow="1" w:lastRow="0" w:firstColumn="1" w:lastColumn="0" w:noHBand="0" w:noVBand="1"/>
      </w:tblPr>
      <w:tblGrid>
        <w:gridCol w:w="3145"/>
        <w:gridCol w:w="2096"/>
        <w:gridCol w:w="1049"/>
        <w:gridCol w:w="3145"/>
        <w:gridCol w:w="1048"/>
        <w:gridCol w:w="2097"/>
        <w:gridCol w:w="3145"/>
      </w:tblGrid>
      <w:tr w:rsidR="008E122F" w14:paraId="66FCE261" w14:textId="77777777" w:rsidTr="00843AC8">
        <w:tc>
          <w:tcPr>
            <w:tcW w:w="3145" w:type="dxa"/>
          </w:tcPr>
          <w:p w14:paraId="40E97464" w14:textId="77777777" w:rsidR="008E122F" w:rsidRPr="00B30ED8" w:rsidRDefault="008E122F" w:rsidP="00B30ED8">
            <w:pPr>
              <w:jc w:val="center"/>
              <w:rPr>
                <w:b/>
                <w:bCs/>
                <w:sz w:val="24"/>
                <w:szCs w:val="24"/>
              </w:rPr>
            </w:pPr>
            <w:r w:rsidRPr="00B30ED8">
              <w:rPr>
                <w:b/>
                <w:bCs/>
                <w:sz w:val="24"/>
                <w:szCs w:val="24"/>
              </w:rPr>
              <w:t>1</w:t>
            </w:r>
          </w:p>
          <w:p w14:paraId="5723058E" w14:textId="77777777" w:rsidR="008E122F" w:rsidRPr="00B30ED8" w:rsidRDefault="008E122F" w:rsidP="00B30ED8">
            <w:pPr>
              <w:jc w:val="center"/>
              <w:rPr>
                <w:b/>
                <w:bCs/>
                <w:sz w:val="24"/>
                <w:szCs w:val="24"/>
              </w:rPr>
            </w:pPr>
            <w:r w:rsidRPr="008E122F">
              <w:rPr>
                <w:b/>
                <w:bCs/>
                <w:sz w:val="24"/>
                <w:szCs w:val="24"/>
              </w:rPr>
              <w:t>Genetically characterise plant genetic resources</w:t>
            </w:r>
          </w:p>
          <w:p w14:paraId="65F59B0E" w14:textId="77777777" w:rsidR="008E122F" w:rsidRPr="00B30ED8" w:rsidRDefault="008E122F" w:rsidP="00B30ED8">
            <w:pPr>
              <w:jc w:val="center"/>
              <w:rPr>
                <w:b/>
                <w:bCs/>
                <w:sz w:val="24"/>
                <w:szCs w:val="24"/>
              </w:rPr>
            </w:pPr>
          </w:p>
        </w:tc>
        <w:tc>
          <w:tcPr>
            <w:tcW w:w="3145" w:type="dxa"/>
            <w:gridSpan w:val="2"/>
          </w:tcPr>
          <w:p w14:paraId="74DFBD9C" w14:textId="77777777" w:rsidR="008E122F" w:rsidRPr="00B30ED8" w:rsidRDefault="008E122F" w:rsidP="00B30ED8">
            <w:pPr>
              <w:jc w:val="center"/>
              <w:rPr>
                <w:b/>
                <w:bCs/>
                <w:sz w:val="24"/>
                <w:szCs w:val="24"/>
              </w:rPr>
            </w:pPr>
            <w:r w:rsidRPr="00B30ED8">
              <w:rPr>
                <w:b/>
                <w:bCs/>
                <w:sz w:val="24"/>
                <w:szCs w:val="24"/>
              </w:rPr>
              <w:t>2</w:t>
            </w:r>
          </w:p>
          <w:p w14:paraId="36F453A1" w14:textId="77777777" w:rsidR="008E122F" w:rsidRPr="008E122F" w:rsidRDefault="008E122F" w:rsidP="00B30ED8">
            <w:pPr>
              <w:jc w:val="center"/>
              <w:rPr>
                <w:b/>
                <w:bCs/>
                <w:sz w:val="24"/>
                <w:szCs w:val="24"/>
              </w:rPr>
            </w:pPr>
            <w:r w:rsidRPr="008E122F">
              <w:rPr>
                <w:b/>
                <w:bCs/>
                <w:sz w:val="24"/>
                <w:szCs w:val="24"/>
              </w:rPr>
              <w:t>Digital and genomic innovation</w:t>
            </w:r>
          </w:p>
          <w:p w14:paraId="1A4A4D8B" w14:textId="019CBBDD" w:rsidR="008E122F" w:rsidRPr="00B30ED8" w:rsidRDefault="008E122F" w:rsidP="00B30ED8">
            <w:pPr>
              <w:jc w:val="center"/>
              <w:rPr>
                <w:b/>
                <w:bCs/>
                <w:sz w:val="24"/>
                <w:szCs w:val="24"/>
              </w:rPr>
            </w:pPr>
          </w:p>
        </w:tc>
        <w:tc>
          <w:tcPr>
            <w:tcW w:w="3145" w:type="dxa"/>
          </w:tcPr>
          <w:p w14:paraId="2453F270" w14:textId="4F2716B0" w:rsidR="008E122F" w:rsidRPr="00B30ED8" w:rsidRDefault="008E122F" w:rsidP="00B30ED8">
            <w:pPr>
              <w:jc w:val="center"/>
              <w:rPr>
                <w:b/>
                <w:bCs/>
                <w:sz w:val="24"/>
                <w:szCs w:val="24"/>
              </w:rPr>
            </w:pPr>
            <w:r w:rsidRPr="00B30ED8">
              <w:rPr>
                <w:b/>
                <w:bCs/>
                <w:sz w:val="24"/>
                <w:szCs w:val="24"/>
              </w:rPr>
              <w:t>3</w:t>
            </w:r>
          </w:p>
          <w:p w14:paraId="7EC62462" w14:textId="26805545" w:rsidR="008E122F" w:rsidRPr="00B30ED8" w:rsidRDefault="008E122F" w:rsidP="00B30ED8">
            <w:pPr>
              <w:jc w:val="center"/>
              <w:rPr>
                <w:b/>
                <w:bCs/>
                <w:sz w:val="24"/>
                <w:szCs w:val="24"/>
              </w:rPr>
            </w:pPr>
            <w:r w:rsidRPr="00B30ED8">
              <w:rPr>
                <w:b/>
                <w:bCs/>
                <w:sz w:val="24"/>
                <w:szCs w:val="24"/>
              </w:rPr>
              <w:t xml:space="preserve">International genebank </w:t>
            </w:r>
            <w:r w:rsidRPr="00B30ED8">
              <w:rPr>
                <w:b/>
                <w:bCs/>
                <w:sz w:val="24"/>
                <w:szCs w:val="24"/>
              </w:rPr>
              <w:br/>
              <w:t>community engagement</w:t>
            </w:r>
          </w:p>
          <w:p w14:paraId="2F8D7EBA" w14:textId="126EC78E" w:rsidR="008E122F" w:rsidRPr="00B30ED8" w:rsidRDefault="008E122F" w:rsidP="00B30ED8">
            <w:pPr>
              <w:jc w:val="center"/>
              <w:rPr>
                <w:b/>
                <w:bCs/>
                <w:sz w:val="24"/>
                <w:szCs w:val="24"/>
              </w:rPr>
            </w:pPr>
          </w:p>
        </w:tc>
        <w:tc>
          <w:tcPr>
            <w:tcW w:w="3145" w:type="dxa"/>
            <w:gridSpan w:val="2"/>
          </w:tcPr>
          <w:p w14:paraId="750FE2EA" w14:textId="77777777" w:rsidR="008E122F" w:rsidRPr="00B30ED8" w:rsidRDefault="008E122F" w:rsidP="00B30ED8">
            <w:pPr>
              <w:jc w:val="center"/>
              <w:rPr>
                <w:b/>
                <w:bCs/>
                <w:sz w:val="24"/>
                <w:szCs w:val="24"/>
              </w:rPr>
            </w:pPr>
            <w:r w:rsidRPr="00B30ED8">
              <w:rPr>
                <w:b/>
                <w:bCs/>
                <w:sz w:val="24"/>
                <w:szCs w:val="24"/>
              </w:rPr>
              <w:t>4</w:t>
            </w:r>
          </w:p>
          <w:p w14:paraId="056954B0" w14:textId="77777777" w:rsidR="008E122F" w:rsidRPr="008E122F" w:rsidRDefault="008E122F" w:rsidP="00B30ED8">
            <w:pPr>
              <w:jc w:val="center"/>
              <w:rPr>
                <w:b/>
                <w:bCs/>
                <w:sz w:val="24"/>
                <w:szCs w:val="24"/>
              </w:rPr>
            </w:pPr>
            <w:r w:rsidRPr="008E122F">
              <w:rPr>
                <w:b/>
                <w:bCs/>
                <w:sz w:val="24"/>
                <w:szCs w:val="24"/>
              </w:rPr>
              <w:t>Community of Practise for each major crop</w:t>
            </w:r>
          </w:p>
          <w:p w14:paraId="62436602" w14:textId="390E4F95" w:rsidR="008E122F" w:rsidRPr="00B30ED8" w:rsidRDefault="008E122F" w:rsidP="00B30ED8">
            <w:pPr>
              <w:jc w:val="center"/>
              <w:rPr>
                <w:b/>
                <w:bCs/>
                <w:sz w:val="24"/>
                <w:szCs w:val="24"/>
              </w:rPr>
            </w:pPr>
          </w:p>
        </w:tc>
        <w:tc>
          <w:tcPr>
            <w:tcW w:w="3145" w:type="dxa"/>
          </w:tcPr>
          <w:p w14:paraId="021C76A0" w14:textId="77777777" w:rsidR="008E122F" w:rsidRPr="00B30ED8" w:rsidRDefault="008E122F" w:rsidP="00B30ED8">
            <w:pPr>
              <w:jc w:val="center"/>
              <w:rPr>
                <w:b/>
                <w:bCs/>
                <w:sz w:val="24"/>
                <w:szCs w:val="24"/>
              </w:rPr>
            </w:pPr>
            <w:r w:rsidRPr="00B30ED8">
              <w:rPr>
                <w:b/>
                <w:bCs/>
                <w:sz w:val="24"/>
                <w:szCs w:val="24"/>
              </w:rPr>
              <w:t>5</w:t>
            </w:r>
          </w:p>
          <w:p w14:paraId="4F96EA00" w14:textId="77777777" w:rsidR="008E122F" w:rsidRPr="008E122F" w:rsidRDefault="008E122F" w:rsidP="00B30ED8">
            <w:pPr>
              <w:jc w:val="center"/>
              <w:rPr>
                <w:b/>
                <w:bCs/>
                <w:sz w:val="24"/>
                <w:szCs w:val="24"/>
              </w:rPr>
            </w:pPr>
            <w:r w:rsidRPr="008E122F">
              <w:rPr>
                <w:b/>
                <w:bCs/>
                <w:sz w:val="24"/>
                <w:szCs w:val="24"/>
              </w:rPr>
              <w:t>Investment in infrastructure and intellectual capacity</w:t>
            </w:r>
          </w:p>
          <w:p w14:paraId="4EAD3CA8" w14:textId="25211B2E" w:rsidR="008E122F" w:rsidRPr="00B30ED8" w:rsidRDefault="008E122F" w:rsidP="00B30ED8">
            <w:pPr>
              <w:jc w:val="center"/>
              <w:rPr>
                <w:b/>
                <w:bCs/>
                <w:sz w:val="24"/>
                <w:szCs w:val="24"/>
              </w:rPr>
            </w:pPr>
          </w:p>
        </w:tc>
      </w:tr>
      <w:tr w:rsidR="008E122F" w14:paraId="6D7B3011" w14:textId="77777777" w:rsidTr="00843AC8">
        <w:tc>
          <w:tcPr>
            <w:tcW w:w="3145" w:type="dxa"/>
          </w:tcPr>
          <w:p w14:paraId="059B8A16" w14:textId="77777777" w:rsidR="008E122F" w:rsidRPr="00B30ED8" w:rsidRDefault="008E122F" w:rsidP="00B30ED8">
            <w:pPr>
              <w:rPr>
                <w:b/>
                <w:bCs/>
              </w:rPr>
            </w:pPr>
            <w:r w:rsidRPr="00B30ED8">
              <w:rPr>
                <w:b/>
                <w:bCs/>
              </w:rPr>
              <w:t>Goal</w:t>
            </w:r>
          </w:p>
          <w:p w14:paraId="3B0D212B" w14:textId="77777777" w:rsidR="008E122F" w:rsidRPr="00B30ED8" w:rsidRDefault="008E122F" w:rsidP="00B30ED8">
            <w:pPr>
              <w:rPr>
                <w:sz w:val="20"/>
                <w:szCs w:val="20"/>
              </w:rPr>
            </w:pPr>
            <w:r w:rsidRPr="00B30ED8">
              <w:rPr>
                <w:sz w:val="20"/>
                <w:szCs w:val="20"/>
              </w:rPr>
              <w:t>To use DNA genotyping to characterise plant genetic resources warehoused within the AGG</w:t>
            </w:r>
          </w:p>
          <w:p w14:paraId="0E858BEB" w14:textId="77777777" w:rsidR="008E122F" w:rsidRPr="00B30ED8" w:rsidRDefault="008E122F" w:rsidP="008E122F">
            <w:pPr>
              <w:rPr>
                <w:sz w:val="20"/>
                <w:szCs w:val="20"/>
              </w:rPr>
            </w:pPr>
          </w:p>
        </w:tc>
        <w:tc>
          <w:tcPr>
            <w:tcW w:w="3145" w:type="dxa"/>
            <w:gridSpan w:val="2"/>
          </w:tcPr>
          <w:p w14:paraId="2CD890FC" w14:textId="77777777" w:rsidR="008E122F" w:rsidRPr="008E122F" w:rsidRDefault="008E122F" w:rsidP="008E122F">
            <w:pPr>
              <w:rPr>
                <w:b/>
                <w:bCs/>
              </w:rPr>
            </w:pPr>
            <w:r w:rsidRPr="008E122F">
              <w:rPr>
                <w:b/>
                <w:bCs/>
              </w:rPr>
              <w:t>Goal</w:t>
            </w:r>
          </w:p>
          <w:p w14:paraId="0B3ECBF9" w14:textId="77777777" w:rsidR="008E122F" w:rsidRPr="008E122F" w:rsidRDefault="008E122F" w:rsidP="008E122F">
            <w:pPr>
              <w:rPr>
                <w:sz w:val="20"/>
                <w:szCs w:val="20"/>
              </w:rPr>
            </w:pPr>
            <w:r w:rsidRPr="008E122F">
              <w:rPr>
                <w:sz w:val="20"/>
                <w:szCs w:val="20"/>
              </w:rPr>
              <w:t>To establish web-based data visualisation and analysis tools to make crop biodiversity within the AGG highly accessibility to researchers and breeders.</w:t>
            </w:r>
          </w:p>
          <w:p w14:paraId="34556055" w14:textId="77777777" w:rsidR="008E122F" w:rsidRPr="00B30ED8" w:rsidRDefault="008E122F" w:rsidP="008E122F">
            <w:pPr>
              <w:rPr>
                <w:sz w:val="20"/>
                <w:szCs w:val="20"/>
              </w:rPr>
            </w:pPr>
          </w:p>
        </w:tc>
        <w:tc>
          <w:tcPr>
            <w:tcW w:w="3145" w:type="dxa"/>
          </w:tcPr>
          <w:p w14:paraId="2AEAF3A0" w14:textId="77777777" w:rsidR="008E122F" w:rsidRPr="008E122F" w:rsidRDefault="008E122F" w:rsidP="008E122F">
            <w:pPr>
              <w:rPr>
                <w:b/>
                <w:bCs/>
              </w:rPr>
            </w:pPr>
            <w:r w:rsidRPr="008E122F">
              <w:rPr>
                <w:b/>
                <w:bCs/>
              </w:rPr>
              <w:t>Goal</w:t>
            </w:r>
          </w:p>
          <w:p w14:paraId="12911473" w14:textId="6DEF8016" w:rsidR="008E122F" w:rsidRPr="008E122F" w:rsidRDefault="008E122F" w:rsidP="008E122F">
            <w:pPr>
              <w:rPr>
                <w:sz w:val="20"/>
                <w:szCs w:val="20"/>
              </w:rPr>
            </w:pPr>
            <w:r w:rsidRPr="008E122F">
              <w:rPr>
                <w:sz w:val="20"/>
                <w:szCs w:val="20"/>
              </w:rPr>
              <w:t xml:space="preserve">To participate in international initiatives to advance </w:t>
            </w:r>
            <w:r w:rsidR="004C52F1" w:rsidRPr="008E122F">
              <w:rPr>
                <w:sz w:val="20"/>
                <w:szCs w:val="20"/>
              </w:rPr>
              <w:t>best practise</w:t>
            </w:r>
            <w:r w:rsidRPr="008E122F">
              <w:rPr>
                <w:sz w:val="20"/>
                <w:szCs w:val="20"/>
              </w:rPr>
              <w:t xml:space="preserve"> genebank management and contribute to data resource and platform establishment.</w:t>
            </w:r>
          </w:p>
          <w:p w14:paraId="4A5D6BEE" w14:textId="77777777" w:rsidR="008E122F" w:rsidRPr="00B30ED8" w:rsidRDefault="008E122F" w:rsidP="008E122F">
            <w:pPr>
              <w:rPr>
                <w:sz w:val="20"/>
                <w:szCs w:val="20"/>
              </w:rPr>
            </w:pPr>
          </w:p>
        </w:tc>
        <w:tc>
          <w:tcPr>
            <w:tcW w:w="3145" w:type="dxa"/>
            <w:gridSpan w:val="2"/>
          </w:tcPr>
          <w:p w14:paraId="1E8BCA13" w14:textId="77777777" w:rsidR="008E122F" w:rsidRPr="008E122F" w:rsidRDefault="008E122F" w:rsidP="008E122F">
            <w:pPr>
              <w:rPr>
                <w:b/>
                <w:bCs/>
              </w:rPr>
            </w:pPr>
            <w:r w:rsidRPr="008E122F">
              <w:rPr>
                <w:b/>
                <w:bCs/>
              </w:rPr>
              <w:t>Goal</w:t>
            </w:r>
          </w:p>
          <w:p w14:paraId="73D4059A" w14:textId="77777777" w:rsidR="008E122F" w:rsidRPr="008E122F" w:rsidRDefault="008E122F" w:rsidP="008E122F">
            <w:pPr>
              <w:rPr>
                <w:sz w:val="20"/>
                <w:szCs w:val="20"/>
              </w:rPr>
            </w:pPr>
            <w:r w:rsidRPr="008E122F">
              <w:rPr>
                <w:sz w:val="20"/>
                <w:szCs w:val="20"/>
              </w:rPr>
              <w:t>To drive a high level of awareness for the importance of plant genetic resource conservation and their role in sustaining national productivity targets into the future.</w:t>
            </w:r>
          </w:p>
          <w:p w14:paraId="7D025523" w14:textId="77777777" w:rsidR="008E122F" w:rsidRPr="00B30ED8" w:rsidRDefault="008E122F" w:rsidP="008E122F">
            <w:pPr>
              <w:rPr>
                <w:sz w:val="20"/>
                <w:szCs w:val="20"/>
              </w:rPr>
            </w:pPr>
          </w:p>
        </w:tc>
        <w:tc>
          <w:tcPr>
            <w:tcW w:w="3145" w:type="dxa"/>
          </w:tcPr>
          <w:p w14:paraId="52E83E81" w14:textId="77777777" w:rsidR="008E122F" w:rsidRPr="008E122F" w:rsidRDefault="008E122F" w:rsidP="008E122F">
            <w:pPr>
              <w:rPr>
                <w:b/>
                <w:bCs/>
              </w:rPr>
            </w:pPr>
            <w:r w:rsidRPr="008E122F">
              <w:rPr>
                <w:b/>
                <w:bCs/>
              </w:rPr>
              <w:t>Goal</w:t>
            </w:r>
          </w:p>
          <w:p w14:paraId="32B2C6B0" w14:textId="77777777" w:rsidR="008E122F" w:rsidRPr="008E122F" w:rsidRDefault="008E122F" w:rsidP="008E122F">
            <w:pPr>
              <w:rPr>
                <w:sz w:val="20"/>
                <w:szCs w:val="20"/>
              </w:rPr>
            </w:pPr>
            <w:r w:rsidRPr="008E122F">
              <w:rPr>
                <w:sz w:val="20"/>
                <w:szCs w:val="20"/>
              </w:rPr>
              <w:t>To attract infrastructure funding and develop intellectual capacity to future proof the AGG as a key national innovation asset for global food security and climate change adaptation.</w:t>
            </w:r>
          </w:p>
          <w:p w14:paraId="5D890B16" w14:textId="77777777" w:rsidR="008E122F" w:rsidRPr="00B30ED8" w:rsidRDefault="008E122F" w:rsidP="008E122F">
            <w:pPr>
              <w:rPr>
                <w:sz w:val="20"/>
                <w:szCs w:val="20"/>
              </w:rPr>
            </w:pPr>
          </w:p>
        </w:tc>
      </w:tr>
      <w:tr w:rsidR="008E122F" w14:paraId="4427FBF1" w14:textId="77777777" w:rsidTr="00843AC8">
        <w:tc>
          <w:tcPr>
            <w:tcW w:w="3145" w:type="dxa"/>
          </w:tcPr>
          <w:p w14:paraId="2701CEC4" w14:textId="77777777" w:rsidR="008E122F" w:rsidRPr="00B30ED8" w:rsidRDefault="008E122F" w:rsidP="00B30ED8">
            <w:pPr>
              <w:rPr>
                <w:b/>
                <w:bCs/>
              </w:rPr>
            </w:pPr>
            <w:r w:rsidRPr="00B30ED8">
              <w:rPr>
                <w:b/>
                <w:bCs/>
              </w:rPr>
              <w:t>Priorities</w:t>
            </w:r>
          </w:p>
          <w:p w14:paraId="0B660BE6" w14:textId="32DD842E" w:rsidR="008E122F" w:rsidRPr="00B30ED8" w:rsidRDefault="008E122F" w:rsidP="00B30ED8">
            <w:pPr>
              <w:rPr>
                <w:sz w:val="20"/>
                <w:szCs w:val="20"/>
              </w:rPr>
            </w:pPr>
            <w:r w:rsidRPr="00B30ED8">
              <w:rPr>
                <w:sz w:val="20"/>
                <w:szCs w:val="20"/>
              </w:rPr>
              <w:t>Understand within-collection diversity and relate the collection diversity to other international genebanks for grain crops.</w:t>
            </w:r>
          </w:p>
          <w:p w14:paraId="7724A7D5" w14:textId="77777777" w:rsidR="00B30ED8" w:rsidRPr="00B30ED8" w:rsidRDefault="00B30ED8" w:rsidP="00B30ED8">
            <w:pPr>
              <w:rPr>
                <w:sz w:val="20"/>
                <w:szCs w:val="20"/>
              </w:rPr>
            </w:pPr>
          </w:p>
          <w:p w14:paraId="64E33019" w14:textId="77777777" w:rsidR="008E122F" w:rsidRPr="00B30ED8" w:rsidRDefault="008E122F" w:rsidP="00B30ED8">
            <w:pPr>
              <w:rPr>
                <w:sz w:val="20"/>
                <w:szCs w:val="20"/>
              </w:rPr>
            </w:pPr>
            <w:r w:rsidRPr="00B30ED8">
              <w:rPr>
                <w:sz w:val="20"/>
                <w:szCs w:val="20"/>
              </w:rPr>
              <w:t>Increase curation accuracy.</w:t>
            </w:r>
          </w:p>
          <w:p w14:paraId="7AB91C19" w14:textId="54478F63" w:rsidR="008E122F" w:rsidRPr="00B30ED8" w:rsidRDefault="008E122F" w:rsidP="00B30ED8">
            <w:pPr>
              <w:rPr>
                <w:sz w:val="20"/>
                <w:szCs w:val="20"/>
              </w:rPr>
            </w:pPr>
            <w:r w:rsidRPr="00B30ED8">
              <w:rPr>
                <w:sz w:val="20"/>
                <w:szCs w:val="20"/>
              </w:rPr>
              <w:t>Improve operational efficiencies.</w:t>
            </w:r>
          </w:p>
          <w:p w14:paraId="5854B04A" w14:textId="77777777" w:rsidR="00B30ED8" w:rsidRPr="00B30ED8" w:rsidRDefault="00B30ED8" w:rsidP="00B30ED8">
            <w:pPr>
              <w:rPr>
                <w:sz w:val="20"/>
                <w:szCs w:val="20"/>
              </w:rPr>
            </w:pPr>
          </w:p>
          <w:p w14:paraId="2A77F64D" w14:textId="77777777" w:rsidR="008E122F" w:rsidRPr="00B30ED8" w:rsidRDefault="008E122F" w:rsidP="00B30ED8">
            <w:pPr>
              <w:rPr>
                <w:sz w:val="20"/>
                <w:szCs w:val="20"/>
              </w:rPr>
            </w:pPr>
            <w:r w:rsidRPr="00B30ED8">
              <w:rPr>
                <w:sz w:val="20"/>
                <w:szCs w:val="20"/>
              </w:rPr>
              <w:t>Establish core diversity sets for each crop focused on meeting current and future production constraints and the impacts of climate change.</w:t>
            </w:r>
          </w:p>
          <w:p w14:paraId="29EFFDA7" w14:textId="77777777" w:rsidR="008E122F" w:rsidRPr="00B30ED8" w:rsidRDefault="008E122F" w:rsidP="008E122F">
            <w:pPr>
              <w:rPr>
                <w:sz w:val="20"/>
                <w:szCs w:val="20"/>
              </w:rPr>
            </w:pPr>
          </w:p>
        </w:tc>
        <w:tc>
          <w:tcPr>
            <w:tcW w:w="3145" w:type="dxa"/>
            <w:gridSpan w:val="2"/>
          </w:tcPr>
          <w:p w14:paraId="2F70C1E1" w14:textId="77777777" w:rsidR="008E122F" w:rsidRPr="008E122F" w:rsidRDefault="008E122F" w:rsidP="008E122F">
            <w:pPr>
              <w:rPr>
                <w:b/>
                <w:bCs/>
              </w:rPr>
            </w:pPr>
            <w:r w:rsidRPr="008E122F">
              <w:rPr>
                <w:b/>
                <w:bCs/>
              </w:rPr>
              <w:t>Priorities</w:t>
            </w:r>
          </w:p>
          <w:p w14:paraId="13CA9BD9" w14:textId="77777777" w:rsidR="008E122F" w:rsidRPr="008E122F" w:rsidRDefault="008E122F" w:rsidP="008E122F">
            <w:pPr>
              <w:rPr>
                <w:sz w:val="20"/>
                <w:szCs w:val="20"/>
              </w:rPr>
            </w:pPr>
            <w:r w:rsidRPr="008E122F">
              <w:rPr>
                <w:sz w:val="20"/>
                <w:szCs w:val="20"/>
              </w:rPr>
              <w:t>Link plant genetic resources across international genebanks and to research and breeding knowledge through genotypes.</w:t>
            </w:r>
          </w:p>
          <w:p w14:paraId="5EC995C4" w14:textId="43FBF33B" w:rsidR="008E122F" w:rsidRPr="00B30ED8" w:rsidRDefault="008E122F" w:rsidP="008E122F">
            <w:pPr>
              <w:rPr>
                <w:sz w:val="20"/>
                <w:szCs w:val="20"/>
              </w:rPr>
            </w:pPr>
            <w:r w:rsidRPr="008E122F">
              <w:rPr>
                <w:sz w:val="20"/>
                <w:szCs w:val="20"/>
              </w:rPr>
              <w:t>Enable users of plant genetic resources to make informed selections meeting their research and breeding objectives.</w:t>
            </w:r>
          </w:p>
          <w:p w14:paraId="33AEEAF0" w14:textId="77777777" w:rsidR="00B30ED8" w:rsidRPr="008E122F" w:rsidRDefault="00B30ED8" w:rsidP="008E122F">
            <w:pPr>
              <w:rPr>
                <w:sz w:val="20"/>
                <w:szCs w:val="20"/>
              </w:rPr>
            </w:pPr>
          </w:p>
          <w:p w14:paraId="76837A68" w14:textId="77777777" w:rsidR="008E122F" w:rsidRPr="008E122F" w:rsidRDefault="008E122F" w:rsidP="008E122F">
            <w:pPr>
              <w:rPr>
                <w:sz w:val="20"/>
                <w:szCs w:val="20"/>
              </w:rPr>
            </w:pPr>
            <w:r w:rsidRPr="008E122F">
              <w:rPr>
                <w:sz w:val="20"/>
                <w:szCs w:val="20"/>
              </w:rPr>
              <w:t>Enable molecular passport data for plant genetic resources to be visualised in a biologically informed context that integrates publicly available breeding and research knowledge.</w:t>
            </w:r>
          </w:p>
          <w:p w14:paraId="76E2C4B5" w14:textId="77777777" w:rsidR="008E122F" w:rsidRPr="00B30ED8" w:rsidRDefault="008E122F" w:rsidP="008E122F">
            <w:pPr>
              <w:rPr>
                <w:sz w:val="20"/>
                <w:szCs w:val="20"/>
              </w:rPr>
            </w:pPr>
          </w:p>
        </w:tc>
        <w:tc>
          <w:tcPr>
            <w:tcW w:w="3145" w:type="dxa"/>
          </w:tcPr>
          <w:p w14:paraId="152B9A93" w14:textId="77777777" w:rsidR="008E122F" w:rsidRPr="008E122F" w:rsidRDefault="008E122F" w:rsidP="008E122F">
            <w:pPr>
              <w:rPr>
                <w:b/>
                <w:bCs/>
              </w:rPr>
            </w:pPr>
            <w:r w:rsidRPr="008E122F">
              <w:rPr>
                <w:b/>
                <w:bCs/>
              </w:rPr>
              <w:t>Priorities</w:t>
            </w:r>
          </w:p>
          <w:p w14:paraId="44D5A41D" w14:textId="5877BE1F" w:rsidR="008E122F" w:rsidRPr="00B30ED8" w:rsidRDefault="008E122F" w:rsidP="008E122F">
            <w:pPr>
              <w:rPr>
                <w:sz w:val="20"/>
                <w:szCs w:val="20"/>
              </w:rPr>
            </w:pPr>
            <w:r w:rsidRPr="008E122F">
              <w:rPr>
                <w:sz w:val="20"/>
                <w:szCs w:val="20"/>
              </w:rPr>
              <w:t>Strengthen genebank management and operations through implementation of advances in best practise standards.</w:t>
            </w:r>
          </w:p>
          <w:p w14:paraId="04C5894D" w14:textId="77777777" w:rsidR="00B30ED8" w:rsidRPr="008E122F" w:rsidRDefault="00B30ED8" w:rsidP="008E122F">
            <w:pPr>
              <w:rPr>
                <w:sz w:val="20"/>
                <w:szCs w:val="20"/>
              </w:rPr>
            </w:pPr>
          </w:p>
          <w:p w14:paraId="5305B48A" w14:textId="293100E0" w:rsidR="008E122F" w:rsidRPr="00B30ED8" w:rsidRDefault="008E122F" w:rsidP="008E122F">
            <w:pPr>
              <w:rPr>
                <w:sz w:val="20"/>
                <w:szCs w:val="20"/>
              </w:rPr>
            </w:pPr>
            <w:r w:rsidRPr="008E122F">
              <w:rPr>
                <w:sz w:val="20"/>
                <w:szCs w:val="20"/>
              </w:rPr>
              <w:t>Collectively advance capabilities in genebank data management, data resources and data infrastructure.</w:t>
            </w:r>
          </w:p>
          <w:p w14:paraId="57FB6A2A" w14:textId="77777777" w:rsidR="00B30ED8" w:rsidRPr="008E122F" w:rsidRDefault="00B30ED8" w:rsidP="008E122F">
            <w:pPr>
              <w:rPr>
                <w:sz w:val="20"/>
                <w:szCs w:val="20"/>
              </w:rPr>
            </w:pPr>
          </w:p>
          <w:p w14:paraId="74A15A2C" w14:textId="797C4E9E" w:rsidR="008E122F" w:rsidRPr="00B30ED8" w:rsidRDefault="008E122F" w:rsidP="008E122F">
            <w:pPr>
              <w:rPr>
                <w:sz w:val="20"/>
                <w:szCs w:val="20"/>
              </w:rPr>
            </w:pPr>
            <w:r w:rsidRPr="008E122F">
              <w:rPr>
                <w:sz w:val="20"/>
                <w:szCs w:val="20"/>
              </w:rPr>
              <w:t>Establish interoperable data platforms for efficient coordination of data collection, storage and exchange across genebanks so that valuable alleles and genes can be readily identified and deployed in research and breeding.</w:t>
            </w:r>
          </w:p>
        </w:tc>
        <w:tc>
          <w:tcPr>
            <w:tcW w:w="3145" w:type="dxa"/>
            <w:gridSpan w:val="2"/>
          </w:tcPr>
          <w:p w14:paraId="3A833464" w14:textId="77777777" w:rsidR="008E122F" w:rsidRPr="008E122F" w:rsidRDefault="008E122F" w:rsidP="008E122F">
            <w:pPr>
              <w:rPr>
                <w:b/>
                <w:bCs/>
              </w:rPr>
            </w:pPr>
            <w:r w:rsidRPr="008E122F">
              <w:rPr>
                <w:b/>
                <w:bCs/>
              </w:rPr>
              <w:t>Priorities</w:t>
            </w:r>
          </w:p>
          <w:p w14:paraId="567DAA5B" w14:textId="6324B076" w:rsidR="008E122F" w:rsidRPr="00B30ED8" w:rsidRDefault="008E122F" w:rsidP="008E122F">
            <w:pPr>
              <w:rPr>
                <w:sz w:val="20"/>
                <w:szCs w:val="20"/>
              </w:rPr>
            </w:pPr>
            <w:r w:rsidRPr="008E122F">
              <w:rPr>
                <w:sz w:val="20"/>
                <w:szCs w:val="20"/>
              </w:rPr>
              <w:t>Align AGG operations towards more targeted use of plant genetic resources.</w:t>
            </w:r>
          </w:p>
          <w:p w14:paraId="11928B97" w14:textId="77777777" w:rsidR="00B30ED8" w:rsidRPr="008E122F" w:rsidRDefault="00B30ED8" w:rsidP="008E122F">
            <w:pPr>
              <w:rPr>
                <w:sz w:val="20"/>
                <w:szCs w:val="20"/>
              </w:rPr>
            </w:pPr>
          </w:p>
          <w:p w14:paraId="2DFD5095" w14:textId="3E01E8D6" w:rsidR="008E122F" w:rsidRPr="00B30ED8" w:rsidRDefault="008E122F" w:rsidP="008E122F">
            <w:pPr>
              <w:rPr>
                <w:sz w:val="20"/>
                <w:szCs w:val="20"/>
              </w:rPr>
            </w:pPr>
            <w:r w:rsidRPr="008E122F">
              <w:rPr>
                <w:sz w:val="20"/>
                <w:szCs w:val="20"/>
              </w:rPr>
              <w:t>Stronger integration and two-way flow of information between the AGG and users of its plant genetic resources.</w:t>
            </w:r>
          </w:p>
          <w:p w14:paraId="6A4E306F" w14:textId="77777777" w:rsidR="00B30ED8" w:rsidRPr="008E122F" w:rsidRDefault="00B30ED8" w:rsidP="008E122F">
            <w:pPr>
              <w:rPr>
                <w:sz w:val="20"/>
                <w:szCs w:val="20"/>
              </w:rPr>
            </w:pPr>
          </w:p>
          <w:p w14:paraId="6A0930B4" w14:textId="54A4F23B" w:rsidR="008E122F" w:rsidRPr="00B30ED8" w:rsidRDefault="008E122F" w:rsidP="008E122F">
            <w:pPr>
              <w:rPr>
                <w:sz w:val="20"/>
                <w:szCs w:val="20"/>
              </w:rPr>
            </w:pPr>
            <w:r w:rsidRPr="008E122F">
              <w:rPr>
                <w:sz w:val="20"/>
                <w:szCs w:val="20"/>
              </w:rPr>
              <w:t>Ensure the Australian grains industry has the valuable genetic variation it needs to meet production challenges.</w:t>
            </w:r>
          </w:p>
          <w:p w14:paraId="56EDAE74" w14:textId="77777777" w:rsidR="00B30ED8" w:rsidRPr="008E122F" w:rsidRDefault="00B30ED8" w:rsidP="008E122F">
            <w:pPr>
              <w:rPr>
                <w:sz w:val="20"/>
                <w:szCs w:val="20"/>
              </w:rPr>
            </w:pPr>
          </w:p>
          <w:p w14:paraId="6D0D4517" w14:textId="30E0F3B8" w:rsidR="008E122F" w:rsidRPr="00B30ED8" w:rsidRDefault="008E122F" w:rsidP="008E122F">
            <w:pPr>
              <w:rPr>
                <w:sz w:val="20"/>
                <w:szCs w:val="20"/>
              </w:rPr>
            </w:pPr>
            <w:r w:rsidRPr="008E122F">
              <w:rPr>
                <w:sz w:val="20"/>
                <w:szCs w:val="20"/>
              </w:rPr>
              <w:t>Co-ordinate to collectively characterise plant genetic resources to ensure their genetic and economic potential can be fully realised.</w:t>
            </w:r>
          </w:p>
        </w:tc>
        <w:tc>
          <w:tcPr>
            <w:tcW w:w="3145" w:type="dxa"/>
          </w:tcPr>
          <w:p w14:paraId="6FBD86A3" w14:textId="77777777" w:rsidR="008E122F" w:rsidRPr="008E122F" w:rsidRDefault="008E122F" w:rsidP="008E122F">
            <w:pPr>
              <w:rPr>
                <w:b/>
                <w:bCs/>
              </w:rPr>
            </w:pPr>
            <w:r w:rsidRPr="008E122F">
              <w:rPr>
                <w:b/>
                <w:bCs/>
              </w:rPr>
              <w:t>Priorities</w:t>
            </w:r>
          </w:p>
          <w:p w14:paraId="54E30384" w14:textId="774A7CFE" w:rsidR="008E122F" w:rsidRPr="00B30ED8" w:rsidRDefault="008E122F" w:rsidP="008E122F">
            <w:pPr>
              <w:rPr>
                <w:sz w:val="20"/>
                <w:szCs w:val="20"/>
              </w:rPr>
            </w:pPr>
            <w:r w:rsidRPr="008E122F">
              <w:rPr>
                <w:sz w:val="20"/>
                <w:szCs w:val="20"/>
              </w:rPr>
              <w:t>Increase infrastructure capacity to meet industry needs to 2050 and beyond.</w:t>
            </w:r>
          </w:p>
          <w:p w14:paraId="7FAA08D7" w14:textId="77777777" w:rsidR="00B30ED8" w:rsidRPr="008E122F" w:rsidRDefault="00B30ED8" w:rsidP="008E122F">
            <w:pPr>
              <w:rPr>
                <w:sz w:val="20"/>
                <w:szCs w:val="20"/>
              </w:rPr>
            </w:pPr>
          </w:p>
          <w:p w14:paraId="240AB2CD" w14:textId="392227F4" w:rsidR="008E122F" w:rsidRPr="00B30ED8" w:rsidRDefault="008E122F" w:rsidP="008E122F">
            <w:pPr>
              <w:rPr>
                <w:sz w:val="20"/>
                <w:szCs w:val="20"/>
              </w:rPr>
            </w:pPr>
            <w:r w:rsidRPr="008E122F">
              <w:rPr>
                <w:sz w:val="20"/>
                <w:szCs w:val="20"/>
              </w:rPr>
              <w:t>Consolidate operations at the location of the AGG to drive scale-based efficiency gains.</w:t>
            </w:r>
          </w:p>
          <w:p w14:paraId="6E637B41" w14:textId="77777777" w:rsidR="00B30ED8" w:rsidRPr="008E122F" w:rsidRDefault="00B30ED8" w:rsidP="008E122F">
            <w:pPr>
              <w:rPr>
                <w:sz w:val="20"/>
                <w:szCs w:val="20"/>
              </w:rPr>
            </w:pPr>
          </w:p>
          <w:p w14:paraId="31206DFB" w14:textId="35FEF7B7" w:rsidR="008E122F" w:rsidRPr="00B30ED8" w:rsidRDefault="008E122F" w:rsidP="008E122F">
            <w:pPr>
              <w:rPr>
                <w:sz w:val="20"/>
                <w:szCs w:val="20"/>
              </w:rPr>
            </w:pPr>
            <w:r w:rsidRPr="00B30ED8">
              <w:rPr>
                <w:sz w:val="20"/>
                <w:szCs w:val="20"/>
              </w:rPr>
              <w:t>Develop intellectual capacity through higher degree research training to sustain the AGG as a bio-digital resource centre into the future.</w:t>
            </w:r>
          </w:p>
        </w:tc>
      </w:tr>
      <w:tr w:rsidR="008E122F" w14:paraId="4E5545F0" w14:textId="77777777" w:rsidTr="00843A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1" w:type="dxa"/>
            <w:gridSpan w:val="2"/>
          </w:tcPr>
          <w:p w14:paraId="5B14C73A" w14:textId="77777777" w:rsidR="008E122F" w:rsidRPr="00B30ED8" w:rsidRDefault="008E122F" w:rsidP="008E122F">
            <w:pPr>
              <w:rPr>
                <w:b/>
                <w:bCs/>
                <w:sz w:val="24"/>
                <w:szCs w:val="24"/>
              </w:rPr>
            </w:pPr>
            <w:r w:rsidRPr="00B30ED8">
              <w:rPr>
                <w:b/>
                <w:bCs/>
                <w:sz w:val="24"/>
                <w:szCs w:val="24"/>
              </w:rPr>
              <w:t>Outcomes</w:t>
            </w:r>
          </w:p>
          <w:p w14:paraId="0CD76DE3" w14:textId="472BD503" w:rsidR="008E122F" w:rsidRDefault="008E122F" w:rsidP="008E122F">
            <w:pPr>
              <w:pStyle w:val="ListParagraph"/>
              <w:numPr>
                <w:ilvl w:val="0"/>
                <w:numId w:val="1"/>
              </w:numPr>
            </w:pPr>
            <w:r w:rsidRPr="008E122F">
              <w:t>Australian grains industry has facilitated and informed access to the plant genetic resources it needs to sustain national productivity and resilience targets into the future.</w:t>
            </w:r>
          </w:p>
        </w:tc>
        <w:tc>
          <w:tcPr>
            <w:tcW w:w="5242" w:type="dxa"/>
            <w:gridSpan w:val="3"/>
          </w:tcPr>
          <w:p w14:paraId="73FA846C" w14:textId="77777777" w:rsidR="00B30ED8" w:rsidRPr="00B30ED8" w:rsidRDefault="00B30ED8" w:rsidP="00B30ED8">
            <w:pPr>
              <w:ind w:left="720"/>
              <w:rPr>
                <w:sz w:val="24"/>
                <w:szCs w:val="24"/>
              </w:rPr>
            </w:pPr>
          </w:p>
          <w:p w14:paraId="3F9F4EFE" w14:textId="787801ED" w:rsidR="008E122F" w:rsidRDefault="00B30ED8" w:rsidP="00843AC8">
            <w:pPr>
              <w:numPr>
                <w:ilvl w:val="0"/>
                <w:numId w:val="1"/>
              </w:numPr>
            </w:pPr>
            <w:r w:rsidRPr="00B30ED8">
              <w:t>AGG operates more efficiently and sustainably without compromising its ability to meet its national and international obligations.</w:t>
            </w:r>
          </w:p>
        </w:tc>
        <w:tc>
          <w:tcPr>
            <w:tcW w:w="5242" w:type="dxa"/>
            <w:gridSpan w:val="2"/>
          </w:tcPr>
          <w:p w14:paraId="76B40915" w14:textId="73CD650F" w:rsidR="00B30ED8" w:rsidRPr="00B30ED8" w:rsidRDefault="00B30ED8" w:rsidP="00B30ED8">
            <w:pPr>
              <w:jc w:val="center"/>
              <w:rPr>
                <w:b/>
                <w:bCs/>
                <w:sz w:val="28"/>
                <w:szCs w:val="28"/>
              </w:rPr>
            </w:pPr>
            <w:r w:rsidRPr="00B30ED8">
              <w:rPr>
                <w:b/>
                <w:bCs/>
                <w:sz w:val="28"/>
                <w:szCs w:val="28"/>
              </w:rPr>
              <w:t>Australian Grains Genebank</w:t>
            </w:r>
          </w:p>
          <w:p w14:paraId="119A2B1F" w14:textId="4AC5B1DD" w:rsidR="00B30ED8" w:rsidRPr="00B30ED8" w:rsidRDefault="00B30ED8" w:rsidP="00B30ED8">
            <w:pPr>
              <w:jc w:val="center"/>
              <w:rPr>
                <w:b/>
                <w:bCs/>
                <w:sz w:val="28"/>
                <w:szCs w:val="28"/>
              </w:rPr>
            </w:pPr>
            <w:r w:rsidRPr="00B30ED8">
              <w:rPr>
                <w:b/>
                <w:bCs/>
                <w:sz w:val="28"/>
                <w:szCs w:val="28"/>
              </w:rPr>
              <w:t>Strategic Business Partnership</w:t>
            </w:r>
          </w:p>
          <w:p w14:paraId="13D3F410" w14:textId="2B77E06E" w:rsidR="00B30ED8" w:rsidRDefault="00B30ED8" w:rsidP="00B30ED8">
            <w:pPr>
              <w:jc w:val="center"/>
            </w:pPr>
          </w:p>
          <w:p w14:paraId="140885B5" w14:textId="5F06AA5C" w:rsidR="00B30ED8" w:rsidRPr="00B30ED8" w:rsidRDefault="00B30ED8" w:rsidP="00B30ED8">
            <w:pPr>
              <w:jc w:val="center"/>
            </w:pPr>
            <w:r w:rsidRPr="00B30ED8">
              <w:rPr>
                <w:noProof/>
              </w:rPr>
              <w:drawing>
                <wp:anchor distT="0" distB="0" distL="114300" distR="114300" simplePos="0" relativeHeight="251661312" behindDoc="0" locked="0" layoutInCell="1" allowOverlap="1" wp14:anchorId="04E2F8B9" wp14:editId="6884ADD0">
                  <wp:simplePos x="0" y="0"/>
                  <wp:positionH relativeFrom="column">
                    <wp:posOffset>86995</wp:posOffset>
                  </wp:positionH>
                  <wp:positionV relativeFrom="paragraph">
                    <wp:posOffset>60960</wp:posOffset>
                  </wp:positionV>
                  <wp:extent cx="1557655" cy="405130"/>
                  <wp:effectExtent l="0" t="0" r="4445" b="0"/>
                  <wp:wrapNone/>
                  <wp:docPr id="9" name="Picture 8" descr="Agriculture Victoria logo">
                    <a:hlinkClick xmlns:a="http://schemas.openxmlformats.org/drawingml/2006/main" r:id="rId11"/>
                    <a:extLst xmlns:a="http://schemas.openxmlformats.org/drawingml/2006/main">
                      <a:ext uri="{FF2B5EF4-FFF2-40B4-BE49-F238E27FC236}">
                        <a16:creationId xmlns:a16="http://schemas.microsoft.com/office/drawing/2014/main" id="{A910FF5F-9BBB-7656-EA2D-C12658F38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griculture Victoria logo">
                            <a:hlinkClick r:id="rId11"/>
                            <a:extLst>
                              <a:ext uri="{FF2B5EF4-FFF2-40B4-BE49-F238E27FC236}">
                                <a16:creationId xmlns:a16="http://schemas.microsoft.com/office/drawing/2014/main" id="{A910FF5F-9BBB-7656-EA2D-C12658F38991}"/>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57655" cy="405130"/>
                          </a:xfrm>
                          <a:prstGeom prst="rect">
                            <a:avLst/>
                          </a:prstGeom>
                        </pic:spPr>
                      </pic:pic>
                    </a:graphicData>
                  </a:graphic>
                  <wp14:sizeRelH relativeFrom="page">
                    <wp14:pctWidth>0</wp14:pctWidth>
                  </wp14:sizeRelH>
                  <wp14:sizeRelV relativeFrom="page">
                    <wp14:pctHeight>0</wp14:pctHeight>
                  </wp14:sizeRelV>
                </wp:anchor>
              </w:drawing>
            </w:r>
            <w:r w:rsidRPr="00B30ED8">
              <w:rPr>
                <w:noProof/>
              </w:rPr>
              <w:drawing>
                <wp:anchor distT="0" distB="0" distL="114300" distR="114300" simplePos="0" relativeHeight="251660288" behindDoc="0" locked="0" layoutInCell="1" allowOverlap="1" wp14:anchorId="1CA4D1BA" wp14:editId="7E2E899C">
                  <wp:simplePos x="0" y="0"/>
                  <wp:positionH relativeFrom="column">
                    <wp:posOffset>1953895</wp:posOffset>
                  </wp:positionH>
                  <wp:positionV relativeFrom="paragraph">
                    <wp:posOffset>12700</wp:posOffset>
                  </wp:positionV>
                  <wp:extent cx="1381125" cy="404495"/>
                  <wp:effectExtent l="0" t="0" r="0" b="0"/>
                  <wp:wrapNone/>
                  <wp:docPr id="4" name="Picture 3" descr="Grains Research and Development Corporation logo">
                    <a:hlinkClick xmlns:a="http://schemas.openxmlformats.org/drawingml/2006/main" r:id="rId9"/>
                    <a:extLst xmlns:a="http://schemas.openxmlformats.org/drawingml/2006/main">
                      <a:ext uri="{FF2B5EF4-FFF2-40B4-BE49-F238E27FC236}">
                        <a16:creationId xmlns:a16="http://schemas.microsoft.com/office/drawing/2014/main" id="{CAD735DB-1814-9A99-DC82-F45EAC3D5FBF}"/>
                      </a:ext>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ins Research and Development Corporation logo">
                            <a:hlinkClick r:id="rId9"/>
                            <a:extLst>
                              <a:ext uri="{FF2B5EF4-FFF2-40B4-BE49-F238E27FC236}">
                                <a16:creationId xmlns:a16="http://schemas.microsoft.com/office/drawing/2014/main" id="{CAD735DB-1814-9A99-DC82-F45EAC3D5FBF}"/>
                              </a:ext>
                              <a:ext uri="{C183D7F6-B498-43B3-948B-1728B52AA6E4}">
                                <adec:decorative xmlns:adec="http://schemas.microsoft.com/office/drawing/2017/decorative" val="0"/>
                              </a:ext>
                            </a:extLst>
                          </pic:cNvPr>
                          <pic:cNvPicPr>
                            <a:picLocks noChangeAspect="1"/>
                          </pic:cNvPicPr>
                        </pic:nvPicPr>
                        <pic:blipFill>
                          <a:blip r:embed="rId24" cstate="print">
                            <a:extLst>
                              <a:ext uri="{28A0092B-C50C-407E-A947-70E740481C1C}">
                                <a14:useLocalDpi xmlns:a14="http://schemas.microsoft.com/office/drawing/2010/main" val="0"/>
                              </a:ext>
                            </a:extLst>
                          </a:blip>
                          <a:srcRect/>
                          <a:stretch/>
                        </pic:blipFill>
                        <pic:spPr>
                          <a:xfrm>
                            <a:off x="0" y="0"/>
                            <a:ext cx="1381125" cy="404495"/>
                          </a:xfrm>
                          <a:prstGeom prst="rect">
                            <a:avLst/>
                          </a:prstGeom>
                        </pic:spPr>
                      </pic:pic>
                    </a:graphicData>
                  </a:graphic>
                  <wp14:sizeRelH relativeFrom="page">
                    <wp14:pctWidth>0</wp14:pctWidth>
                  </wp14:sizeRelH>
                  <wp14:sizeRelV relativeFrom="page">
                    <wp14:pctHeight>0</wp14:pctHeight>
                  </wp14:sizeRelV>
                </wp:anchor>
              </w:drawing>
            </w:r>
          </w:p>
          <w:p w14:paraId="5DA64295" w14:textId="0D970E23" w:rsidR="008E122F" w:rsidRDefault="00B30ED8" w:rsidP="00B30ED8">
            <w:r>
              <w:t xml:space="preserve">       </w:t>
            </w:r>
          </w:p>
        </w:tc>
      </w:tr>
    </w:tbl>
    <w:p w14:paraId="64C71945" w14:textId="77777777" w:rsidR="008E122F" w:rsidRDefault="008E122F" w:rsidP="00B30ED8"/>
    <w:sectPr w:rsidR="008E122F" w:rsidSect="008E122F">
      <w:type w:val="continuous"/>
      <w:pgSz w:w="16838" w:h="11906" w:orient="landscape"/>
      <w:pgMar w:top="426" w:right="536" w:bottom="284" w:left="56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4900" w14:textId="77777777" w:rsidR="007A7905" w:rsidRDefault="007A7905" w:rsidP="00B30ED8">
      <w:pPr>
        <w:spacing w:after="0" w:line="240" w:lineRule="auto"/>
      </w:pPr>
      <w:r>
        <w:separator/>
      </w:r>
    </w:p>
  </w:endnote>
  <w:endnote w:type="continuationSeparator" w:id="0">
    <w:p w14:paraId="7C10C6FF" w14:textId="77777777" w:rsidR="007A7905" w:rsidRDefault="007A7905" w:rsidP="00B30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5C8" w14:textId="5DE2B717" w:rsidR="00B30ED8" w:rsidRDefault="00345551">
    <w:pPr>
      <w:pStyle w:val="Footer"/>
    </w:pPr>
    <w:r>
      <w:rPr>
        <w:noProof/>
      </w:rPr>
      <mc:AlternateContent>
        <mc:Choice Requires="wps">
          <w:drawing>
            <wp:anchor distT="0" distB="0" distL="0" distR="0" simplePos="0" relativeHeight="251661312" behindDoc="0" locked="0" layoutInCell="1" allowOverlap="1" wp14:anchorId="5D96E2B1" wp14:editId="2AE172B7">
              <wp:simplePos x="635" y="635"/>
              <wp:positionH relativeFrom="page">
                <wp:align>center</wp:align>
              </wp:positionH>
              <wp:positionV relativeFrom="page">
                <wp:align>bottom</wp:align>
              </wp:positionV>
              <wp:extent cx="622300" cy="391160"/>
              <wp:effectExtent l="0" t="0" r="6350" b="0"/>
              <wp:wrapNone/>
              <wp:docPr id="204560376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186AB01" w14:textId="365B29FE"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96E2B1" id="_x0000_t202" coordsize="21600,21600" o:spt="202" path="m,l,21600r21600,l21600,xe">
              <v:stroke joinstyle="miter"/>
              <v:path gradientshapeok="t" o:connecttype="rect"/>
            </v:shapetype>
            <v:shape id="_x0000_s1027" type="#_x0000_t202" alt="OFFICIAL" style="position:absolute;margin-left:0;margin-top:0;width:49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fill o:detectmouseclick="t"/>
              <v:textbox style="mso-fit-shape-to-text:t" inset="0,0,0,15pt">
                <w:txbxContent>
                  <w:p w14:paraId="5186AB01" w14:textId="365B29FE"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A6B2" w14:textId="1D762986" w:rsidR="00345551" w:rsidRDefault="00345551">
    <w:pPr>
      <w:pStyle w:val="Footer"/>
    </w:pPr>
    <w:r>
      <w:rPr>
        <w:noProof/>
      </w:rPr>
      <mc:AlternateContent>
        <mc:Choice Requires="wps">
          <w:drawing>
            <wp:anchor distT="0" distB="0" distL="0" distR="0" simplePos="0" relativeHeight="251662336" behindDoc="0" locked="0" layoutInCell="1" allowOverlap="1" wp14:anchorId="5923BB9E" wp14:editId="2D5ECC52">
              <wp:simplePos x="361950" y="6940550"/>
              <wp:positionH relativeFrom="page">
                <wp:align>center</wp:align>
              </wp:positionH>
              <wp:positionV relativeFrom="page">
                <wp:align>bottom</wp:align>
              </wp:positionV>
              <wp:extent cx="622300" cy="391160"/>
              <wp:effectExtent l="0" t="0" r="6350" b="0"/>
              <wp:wrapNone/>
              <wp:docPr id="163474208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7A75485" w14:textId="39622292"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23BB9E" id="_x0000_t202" coordsize="21600,21600" o:spt="202" path="m,l,21600r21600,l21600,xe">
              <v:stroke joinstyle="miter"/>
              <v:path gradientshapeok="t" o:connecttype="rect"/>
            </v:shapetype>
            <v:shape id="Text Box 3" o:spid="_x0000_s1028" type="#_x0000_t202" alt="OFFICIAL" style="position:absolute;margin-left:0;margin-top:0;width:49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fill o:detectmouseclick="t"/>
              <v:textbox style="mso-fit-shape-to-text:t" inset="0,0,0,15pt">
                <w:txbxContent>
                  <w:p w14:paraId="07A75485" w14:textId="39622292"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D5A7" w14:textId="43BACE49" w:rsidR="00B30ED8" w:rsidRDefault="00345551">
    <w:pPr>
      <w:pStyle w:val="Footer"/>
    </w:pPr>
    <w:r>
      <w:rPr>
        <w:noProof/>
      </w:rPr>
      <mc:AlternateContent>
        <mc:Choice Requires="wps">
          <w:drawing>
            <wp:anchor distT="0" distB="0" distL="0" distR="0" simplePos="0" relativeHeight="251660288" behindDoc="0" locked="0" layoutInCell="1" allowOverlap="1" wp14:anchorId="7088A454" wp14:editId="23311B17">
              <wp:simplePos x="635" y="635"/>
              <wp:positionH relativeFrom="page">
                <wp:align>center</wp:align>
              </wp:positionH>
              <wp:positionV relativeFrom="page">
                <wp:align>bottom</wp:align>
              </wp:positionV>
              <wp:extent cx="622300" cy="391160"/>
              <wp:effectExtent l="0" t="0" r="6350" b="0"/>
              <wp:wrapNone/>
              <wp:docPr id="946534342"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4B64D63" w14:textId="70C3B803"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8A454" id="_x0000_t202" coordsize="21600,21600" o:spt="202" path="m,l,21600r21600,l21600,xe">
              <v:stroke joinstyle="miter"/>
              <v:path gradientshapeok="t" o:connecttype="rect"/>
            </v:shapetype>
            <v:shape id="_x0000_s1030"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fill o:detectmouseclick="t"/>
              <v:textbox style="mso-fit-shape-to-text:t" inset="0,0,0,15pt">
                <w:txbxContent>
                  <w:p w14:paraId="54B64D63" w14:textId="70C3B803" w:rsidR="00345551" w:rsidRPr="00345551" w:rsidRDefault="00345551" w:rsidP="00345551">
                    <w:pPr>
                      <w:spacing w:after="0"/>
                      <w:rPr>
                        <w:rFonts w:ascii="Aptos" w:eastAsia="Aptos" w:hAnsi="Aptos" w:cs="Aptos"/>
                        <w:noProof/>
                        <w:color w:val="000000"/>
                        <w:sz w:val="24"/>
                        <w:szCs w:val="24"/>
                      </w:rPr>
                    </w:pPr>
                    <w:r w:rsidRPr="00345551">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FC36D" w14:textId="77777777" w:rsidR="007A7905" w:rsidRDefault="007A7905" w:rsidP="00B30ED8">
      <w:pPr>
        <w:spacing w:after="0" w:line="240" w:lineRule="auto"/>
      </w:pPr>
      <w:r>
        <w:separator/>
      </w:r>
    </w:p>
  </w:footnote>
  <w:footnote w:type="continuationSeparator" w:id="0">
    <w:p w14:paraId="5F431D7F" w14:textId="77777777" w:rsidR="007A7905" w:rsidRDefault="007A7905" w:rsidP="00B30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21C2" w14:textId="053A6E68" w:rsidR="00B30ED8" w:rsidRDefault="00B30ED8">
    <w:pPr>
      <w:pStyle w:val="Header"/>
    </w:pPr>
    <w:r>
      <w:rPr>
        <w:noProof/>
      </w:rPr>
      <mc:AlternateContent>
        <mc:Choice Requires="wps">
          <w:drawing>
            <wp:anchor distT="0" distB="0" distL="0" distR="0" simplePos="0" relativeHeight="251659264" behindDoc="0" locked="0" layoutInCell="1" allowOverlap="1" wp14:anchorId="2DAA3F7C" wp14:editId="1C17E8F8">
              <wp:simplePos x="635" y="635"/>
              <wp:positionH relativeFrom="column">
                <wp:align>center</wp:align>
              </wp:positionH>
              <wp:positionV relativeFrom="paragraph">
                <wp:posOffset>635</wp:posOffset>
              </wp:positionV>
              <wp:extent cx="443865" cy="443865"/>
              <wp:effectExtent l="0" t="0" r="18415" b="13970"/>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36F880" w14:textId="34E807B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AA3F7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136F880" w14:textId="34E807B0"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C0EE" w14:textId="75F88F9E" w:rsidR="00B30ED8" w:rsidRDefault="00B30ED8">
    <w:pPr>
      <w:pStyle w:val="Header"/>
    </w:pPr>
    <w:r>
      <w:rPr>
        <w:noProof/>
      </w:rPr>
      <mc:AlternateContent>
        <mc:Choice Requires="wps">
          <w:drawing>
            <wp:anchor distT="0" distB="0" distL="0" distR="0" simplePos="0" relativeHeight="251658240" behindDoc="0" locked="0" layoutInCell="1" allowOverlap="1" wp14:anchorId="5BAA94B0" wp14:editId="72E379E9">
              <wp:simplePos x="635" y="635"/>
              <wp:positionH relativeFrom="column">
                <wp:align>center</wp:align>
              </wp:positionH>
              <wp:positionV relativeFrom="paragraph">
                <wp:posOffset>635</wp:posOffset>
              </wp:positionV>
              <wp:extent cx="443865" cy="443865"/>
              <wp:effectExtent l="0" t="0" r="18415" b="13970"/>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2DE5D" w14:textId="4F999EC1"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AA94B0"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882DE5D" w14:textId="4F999EC1" w:rsidR="00B30ED8" w:rsidRPr="00B30ED8" w:rsidRDefault="00B30ED8">
                    <w:pPr>
                      <w:rPr>
                        <w:rFonts w:ascii="Arial" w:eastAsia="Arial" w:hAnsi="Arial" w:cs="Arial"/>
                        <w:noProof/>
                        <w:color w:val="000000"/>
                        <w:sz w:val="24"/>
                        <w:szCs w:val="24"/>
                      </w:rPr>
                    </w:pPr>
                    <w:r w:rsidRPr="00B30ED8">
                      <w:rPr>
                        <w:rFonts w:ascii="Arial" w:eastAsia="Arial" w:hAnsi="Arial" w:cs="Arial"/>
                        <w:noProof/>
                        <w:color w:val="00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A26B8"/>
    <w:multiLevelType w:val="hybridMultilevel"/>
    <w:tmpl w:val="54686F0E"/>
    <w:lvl w:ilvl="0" w:tplc="0AAE27FC">
      <w:start w:val="1"/>
      <w:numFmt w:val="bullet"/>
      <w:lvlText w:val="•"/>
      <w:lvlJc w:val="left"/>
      <w:pPr>
        <w:tabs>
          <w:tab w:val="num" w:pos="720"/>
        </w:tabs>
        <w:ind w:left="720" w:hanging="360"/>
      </w:pPr>
      <w:rPr>
        <w:rFonts w:ascii="Arial" w:hAnsi="Arial" w:hint="default"/>
      </w:rPr>
    </w:lvl>
    <w:lvl w:ilvl="1" w:tplc="6C6CE7CE" w:tentative="1">
      <w:start w:val="1"/>
      <w:numFmt w:val="bullet"/>
      <w:lvlText w:val="•"/>
      <w:lvlJc w:val="left"/>
      <w:pPr>
        <w:tabs>
          <w:tab w:val="num" w:pos="1440"/>
        </w:tabs>
        <w:ind w:left="1440" w:hanging="360"/>
      </w:pPr>
      <w:rPr>
        <w:rFonts w:ascii="Arial" w:hAnsi="Arial" w:hint="default"/>
      </w:rPr>
    </w:lvl>
    <w:lvl w:ilvl="2" w:tplc="478EAA6A" w:tentative="1">
      <w:start w:val="1"/>
      <w:numFmt w:val="bullet"/>
      <w:lvlText w:val="•"/>
      <w:lvlJc w:val="left"/>
      <w:pPr>
        <w:tabs>
          <w:tab w:val="num" w:pos="2160"/>
        </w:tabs>
        <w:ind w:left="2160" w:hanging="360"/>
      </w:pPr>
      <w:rPr>
        <w:rFonts w:ascii="Arial" w:hAnsi="Arial" w:hint="default"/>
      </w:rPr>
    </w:lvl>
    <w:lvl w:ilvl="3" w:tplc="549C5F46" w:tentative="1">
      <w:start w:val="1"/>
      <w:numFmt w:val="bullet"/>
      <w:lvlText w:val="•"/>
      <w:lvlJc w:val="left"/>
      <w:pPr>
        <w:tabs>
          <w:tab w:val="num" w:pos="2880"/>
        </w:tabs>
        <w:ind w:left="2880" w:hanging="360"/>
      </w:pPr>
      <w:rPr>
        <w:rFonts w:ascii="Arial" w:hAnsi="Arial" w:hint="default"/>
      </w:rPr>
    </w:lvl>
    <w:lvl w:ilvl="4" w:tplc="87626516" w:tentative="1">
      <w:start w:val="1"/>
      <w:numFmt w:val="bullet"/>
      <w:lvlText w:val="•"/>
      <w:lvlJc w:val="left"/>
      <w:pPr>
        <w:tabs>
          <w:tab w:val="num" w:pos="3600"/>
        </w:tabs>
        <w:ind w:left="3600" w:hanging="360"/>
      </w:pPr>
      <w:rPr>
        <w:rFonts w:ascii="Arial" w:hAnsi="Arial" w:hint="default"/>
      </w:rPr>
    </w:lvl>
    <w:lvl w:ilvl="5" w:tplc="5CD82892" w:tentative="1">
      <w:start w:val="1"/>
      <w:numFmt w:val="bullet"/>
      <w:lvlText w:val="•"/>
      <w:lvlJc w:val="left"/>
      <w:pPr>
        <w:tabs>
          <w:tab w:val="num" w:pos="4320"/>
        </w:tabs>
        <w:ind w:left="4320" w:hanging="360"/>
      </w:pPr>
      <w:rPr>
        <w:rFonts w:ascii="Arial" w:hAnsi="Arial" w:hint="default"/>
      </w:rPr>
    </w:lvl>
    <w:lvl w:ilvl="6" w:tplc="CEA0622C" w:tentative="1">
      <w:start w:val="1"/>
      <w:numFmt w:val="bullet"/>
      <w:lvlText w:val="•"/>
      <w:lvlJc w:val="left"/>
      <w:pPr>
        <w:tabs>
          <w:tab w:val="num" w:pos="5040"/>
        </w:tabs>
        <w:ind w:left="5040" w:hanging="360"/>
      </w:pPr>
      <w:rPr>
        <w:rFonts w:ascii="Arial" w:hAnsi="Arial" w:hint="default"/>
      </w:rPr>
    </w:lvl>
    <w:lvl w:ilvl="7" w:tplc="CD560CCE" w:tentative="1">
      <w:start w:val="1"/>
      <w:numFmt w:val="bullet"/>
      <w:lvlText w:val="•"/>
      <w:lvlJc w:val="left"/>
      <w:pPr>
        <w:tabs>
          <w:tab w:val="num" w:pos="5760"/>
        </w:tabs>
        <w:ind w:left="5760" w:hanging="360"/>
      </w:pPr>
      <w:rPr>
        <w:rFonts w:ascii="Arial" w:hAnsi="Arial" w:hint="default"/>
      </w:rPr>
    </w:lvl>
    <w:lvl w:ilvl="8" w:tplc="775C73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BDC631B"/>
    <w:multiLevelType w:val="hybridMultilevel"/>
    <w:tmpl w:val="87E6EAC4"/>
    <w:lvl w:ilvl="0" w:tplc="DEAAB3B8">
      <w:start w:val="1"/>
      <w:numFmt w:val="bullet"/>
      <w:lvlText w:val="•"/>
      <w:lvlJc w:val="left"/>
      <w:pPr>
        <w:tabs>
          <w:tab w:val="num" w:pos="720"/>
        </w:tabs>
        <w:ind w:left="720" w:hanging="360"/>
      </w:pPr>
      <w:rPr>
        <w:rFonts w:ascii="Arial" w:hAnsi="Arial" w:hint="default"/>
      </w:rPr>
    </w:lvl>
    <w:lvl w:ilvl="1" w:tplc="4D623980" w:tentative="1">
      <w:start w:val="1"/>
      <w:numFmt w:val="bullet"/>
      <w:lvlText w:val="•"/>
      <w:lvlJc w:val="left"/>
      <w:pPr>
        <w:tabs>
          <w:tab w:val="num" w:pos="1440"/>
        </w:tabs>
        <w:ind w:left="1440" w:hanging="360"/>
      </w:pPr>
      <w:rPr>
        <w:rFonts w:ascii="Arial" w:hAnsi="Arial" w:hint="default"/>
      </w:rPr>
    </w:lvl>
    <w:lvl w:ilvl="2" w:tplc="6582B004" w:tentative="1">
      <w:start w:val="1"/>
      <w:numFmt w:val="bullet"/>
      <w:lvlText w:val="•"/>
      <w:lvlJc w:val="left"/>
      <w:pPr>
        <w:tabs>
          <w:tab w:val="num" w:pos="2160"/>
        </w:tabs>
        <w:ind w:left="2160" w:hanging="360"/>
      </w:pPr>
      <w:rPr>
        <w:rFonts w:ascii="Arial" w:hAnsi="Arial" w:hint="default"/>
      </w:rPr>
    </w:lvl>
    <w:lvl w:ilvl="3" w:tplc="005C115E" w:tentative="1">
      <w:start w:val="1"/>
      <w:numFmt w:val="bullet"/>
      <w:lvlText w:val="•"/>
      <w:lvlJc w:val="left"/>
      <w:pPr>
        <w:tabs>
          <w:tab w:val="num" w:pos="2880"/>
        </w:tabs>
        <w:ind w:left="2880" w:hanging="360"/>
      </w:pPr>
      <w:rPr>
        <w:rFonts w:ascii="Arial" w:hAnsi="Arial" w:hint="default"/>
      </w:rPr>
    </w:lvl>
    <w:lvl w:ilvl="4" w:tplc="A5C2B180" w:tentative="1">
      <w:start w:val="1"/>
      <w:numFmt w:val="bullet"/>
      <w:lvlText w:val="•"/>
      <w:lvlJc w:val="left"/>
      <w:pPr>
        <w:tabs>
          <w:tab w:val="num" w:pos="3600"/>
        </w:tabs>
        <w:ind w:left="3600" w:hanging="360"/>
      </w:pPr>
      <w:rPr>
        <w:rFonts w:ascii="Arial" w:hAnsi="Arial" w:hint="default"/>
      </w:rPr>
    </w:lvl>
    <w:lvl w:ilvl="5" w:tplc="0FA6D4F0" w:tentative="1">
      <w:start w:val="1"/>
      <w:numFmt w:val="bullet"/>
      <w:lvlText w:val="•"/>
      <w:lvlJc w:val="left"/>
      <w:pPr>
        <w:tabs>
          <w:tab w:val="num" w:pos="4320"/>
        </w:tabs>
        <w:ind w:left="4320" w:hanging="360"/>
      </w:pPr>
      <w:rPr>
        <w:rFonts w:ascii="Arial" w:hAnsi="Arial" w:hint="default"/>
      </w:rPr>
    </w:lvl>
    <w:lvl w:ilvl="6" w:tplc="74F44DEE" w:tentative="1">
      <w:start w:val="1"/>
      <w:numFmt w:val="bullet"/>
      <w:lvlText w:val="•"/>
      <w:lvlJc w:val="left"/>
      <w:pPr>
        <w:tabs>
          <w:tab w:val="num" w:pos="5040"/>
        </w:tabs>
        <w:ind w:left="5040" w:hanging="360"/>
      </w:pPr>
      <w:rPr>
        <w:rFonts w:ascii="Arial" w:hAnsi="Arial" w:hint="default"/>
      </w:rPr>
    </w:lvl>
    <w:lvl w:ilvl="7" w:tplc="15DE6062" w:tentative="1">
      <w:start w:val="1"/>
      <w:numFmt w:val="bullet"/>
      <w:lvlText w:val="•"/>
      <w:lvlJc w:val="left"/>
      <w:pPr>
        <w:tabs>
          <w:tab w:val="num" w:pos="5760"/>
        </w:tabs>
        <w:ind w:left="5760" w:hanging="360"/>
      </w:pPr>
      <w:rPr>
        <w:rFonts w:ascii="Arial" w:hAnsi="Arial" w:hint="default"/>
      </w:rPr>
    </w:lvl>
    <w:lvl w:ilvl="8" w:tplc="1AF0C1EE" w:tentative="1">
      <w:start w:val="1"/>
      <w:numFmt w:val="bullet"/>
      <w:lvlText w:val="•"/>
      <w:lvlJc w:val="left"/>
      <w:pPr>
        <w:tabs>
          <w:tab w:val="num" w:pos="6480"/>
        </w:tabs>
        <w:ind w:left="6480" w:hanging="360"/>
      </w:pPr>
      <w:rPr>
        <w:rFonts w:ascii="Arial" w:hAnsi="Arial" w:hint="default"/>
      </w:rPr>
    </w:lvl>
  </w:abstractNum>
  <w:num w:numId="1" w16cid:durableId="331954931">
    <w:abstractNumId w:val="0"/>
  </w:num>
  <w:num w:numId="2" w16cid:durableId="200188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35"/>
    <w:rsid w:val="002A461A"/>
    <w:rsid w:val="00345551"/>
    <w:rsid w:val="004241C2"/>
    <w:rsid w:val="004C52F1"/>
    <w:rsid w:val="005E6E22"/>
    <w:rsid w:val="007A7905"/>
    <w:rsid w:val="00843AC8"/>
    <w:rsid w:val="00862E50"/>
    <w:rsid w:val="008E122F"/>
    <w:rsid w:val="00916B53"/>
    <w:rsid w:val="00B30ED8"/>
    <w:rsid w:val="00E37435"/>
    <w:rsid w:val="00ED6D17"/>
    <w:rsid w:val="00F32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74134"/>
  <w15:chartTrackingRefBased/>
  <w15:docId w15:val="{5C49A1CC-7BC3-4668-AA64-7C0BA553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22F"/>
    <w:rPr>
      <w:color w:val="0563C1" w:themeColor="hyperlink"/>
      <w:u w:val="single"/>
    </w:rPr>
  </w:style>
  <w:style w:type="character" w:styleId="UnresolvedMention">
    <w:name w:val="Unresolved Mention"/>
    <w:basedOn w:val="DefaultParagraphFont"/>
    <w:uiPriority w:val="99"/>
    <w:semiHidden/>
    <w:unhideWhenUsed/>
    <w:rsid w:val="008E122F"/>
    <w:rPr>
      <w:color w:val="605E5C"/>
      <w:shd w:val="clear" w:color="auto" w:fill="E1DFDD"/>
    </w:rPr>
  </w:style>
  <w:style w:type="paragraph" w:styleId="NoSpacing">
    <w:name w:val="No Spacing"/>
    <w:uiPriority w:val="1"/>
    <w:qFormat/>
    <w:rsid w:val="008E122F"/>
    <w:pPr>
      <w:spacing w:after="0" w:line="240" w:lineRule="auto"/>
    </w:pPr>
  </w:style>
  <w:style w:type="table" w:styleId="TableGrid">
    <w:name w:val="Table Grid"/>
    <w:basedOn w:val="TableNormal"/>
    <w:uiPriority w:val="39"/>
    <w:rsid w:val="008E1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122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8E122F"/>
    <w:pPr>
      <w:ind w:left="720"/>
      <w:contextualSpacing/>
    </w:pPr>
  </w:style>
  <w:style w:type="paragraph" w:styleId="Header">
    <w:name w:val="header"/>
    <w:basedOn w:val="Normal"/>
    <w:link w:val="HeaderChar"/>
    <w:uiPriority w:val="99"/>
    <w:unhideWhenUsed/>
    <w:rsid w:val="00B30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ED8"/>
  </w:style>
  <w:style w:type="paragraph" w:styleId="Footer">
    <w:name w:val="footer"/>
    <w:basedOn w:val="Normal"/>
    <w:link w:val="FooterChar"/>
    <w:uiPriority w:val="99"/>
    <w:unhideWhenUsed/>
    <w:rsid w:val="00B30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2153">
      <w:bodyDiv w:val="1"/>
      <w:marLeft w:val="0"/>
      <w:marRight w:val="0"/>
      <w:marTop w:val="0"/>
      <w:marBottom w:val="0"/>
      <w:divBdr>
        <w:top w:val="none" w:sz="0" w:space="0" w:color="auto"/>
        <w:left w:val="none" w:sz="0" w:space="0" w:color="auto"/>
        <w:bottom w:val="none" w:sz="0" w:space="0" w:color="auto"/>
        <w:right w:val="none" w:sz="0" w:space="0" w:color="auto"/>
      </w:divBdr>
    </w:div>
    <w:div w:id="228616095">
      <w:bodyDiv w:val="1"/>
      <w:marLeft w:val="0"/>
      <w:marRight w:val="0"/>
      <w:marTop w:val="0"/>
      <w:marBottom w:val="0"/>
      <w:divBdr>
        <w:top w:val="none" w:sz="0" w:space="0" w:color="auto"/>
        <w:left w:val="none" w:sz="0" w:space="0" w:color="auto"/>
        <w:bottom w:val="none" w:sz="0" w:space="0" w:color="auto"/>
        <w:right w:val="none" w:sz="0" w:space="0" w:color="auto"/>
      </w:divBdr>
    </w:div>
    <w:div w:id="241261754">
      <w:bodyDiv w:val="1"/>
      <w:marLeft w:val="0"/>
      <w:marRight w:val="0"/>
      <w:marTop w:val="0"/>
      <w:marBottom w:val="0"/>
      <w:divBdr>
        <w:top w:val="none" w:sz="0" w:space="0" w:color="auto"/>
        <w:left w:val="none" w:sz="0" w:space="0" w:color="auto"/>
        <w:bottom w:val="none" w:sz="0" w:space="0" w:color="auto"/>
        <w:right w:val="none" w:sz="0" w:space="0" w:color="auto"/>
      </w:divBdr>
    </w:div>
    <w:div w:id="288586096">
      <w:bodyDiv w:val="1"/>
      <w:marLeft w:val="0"/>
      <w:marRight w:val="0"/>
      <w:marTop w:val="0"/>
      <w:marBottom w:val="0"/>
      <w:divBdr>
        <w:top w:val="none" w:sz="0" w:space="0" w:color="auto"/>
        <w:left w:val="none" w:sz="0" w:space="0" w:color="auto"/>
        <w:bottom w:val="none" w:sz="0" w:space="0" w:color="auto"/>
        <w:right w:val="none" w:sz="0" w:space="0" w:color="auto"/>
      </w:divBdr>
    </w:div>
    <w:div w:id="477502988">
      <w:bodyDiv w:val="1"/>
      <w:marLeft w:val="0"/>
      <w:marRight w:val="0"/>
      <w:marTop w:val="0"/>
      <w:marBottom w:val="0"/>
      <w:divBdr>
        <w:top w:val="none" w:sz="0" w:space="0" w:color="auto"/>
        <w:left w:val="none" w:sz="0" w:space="0" w:color="auto"/>
        <w:bottom w:val="none" w:sz="0" w:space="0" w:color="auto"/>
        <w:right w:val="none" w:sz="0" w:space="0" w:color="auto"/>
      </w:divBdr>
    </w:div>
    <w:div w:id="618344192">
      <w:bodyDiv w:val="1"/>
      <w:marLeft w:val="0"/>
      <w:marRight w:val="0"/>
      <w:marTop w:val="0"/>
      <w:marBottom w:val="0"/>
      <w:divBdr>
        <w:top w:val="none" w:sz="0" w:space="0" w:color="auto"/>
        <w:left w:val="none" w:sz="0" w:space="0" w:color="auto"/>
        <w:bottom w:val="none" w:sz="0" w:space="0" w:color="auto"/>
        <w:right w:val="none" w:sz="0" w:space="0" w:color="auto"/>
      </w:divBdr>
    </w:div>
    <w:div w:id="750809922">
      <w:bodyDiv w:val="1"/>
      <w:marLeft w:val="0"/>
      <w:marRight w:val="0"/>
      <w:marTop w:val="0"/>
      <w:marBottom w:val="0"/>
      <w:divBdr>
        <w:top w:val="none" w:sz="0" w:space="0" w:color="auto"/>
        <w:left w:val="none" w:sz="0" w:space="0" w:color="auto"/>
        <w:bottom w:val="none" w:sz="0" w:space="0" w:color="auto"/>
        <w:right w:val="none" w:sz="0" w:space="0" w:color="auto"/>
      </w:divBdr>
    </w:div>
    <w:div w:id="911744904">
      <w:bodyDiv w:val="1"/>
      <w:marLeft w:val="0"/>
      <w:marRight w:val="0"/>
      <w:marTop w:val="0"/>
      <w:marBottom w:val="0"/>
      <w:divBdr>
        <w:top w:val="none" w:sz="0" w:space="0" w:color="auto"/>
        <w:left w:val="none" w:sz="0" w:space="0" w:color="auto"/>
        <w:bottom w:val="none" w:sz="0" w:space="0" w:color="auto"/>
        <w:right w:val="none" w:sz="0" w:space="0" w:color="auto"/>
      </w:divBdr>
    </w:div>
    <w:div w:id="986785526">
      <w:bodyDiv w:val="1"/>
      <w:marLeft w:val="0"/>
      <w:marRight w:val="0"/>
      <w:marTop w:val="0"/>
      <w:marBottom w:val="0"/>
      <w:divBdr>
        <w:top w:val="none" w:sz="0" w:space="0" w:color="auto"/>
        <w:left w:val="none" w:sz="0" w:space="0" w:color="auto"/>
        <w:bottom w:val="none" w:sz="0" w:space="0" w:color="auto"/>
        <w:right w:val="none" w:sz="0" w:space="0" w:color="auto"/>
      </w:divBdr>
    </w:div>
    <w:div w:id="1005673152">
      <w:bodyDiv w:val="1"/>
      <w:marLeft w:val="0"/>
      <w:marRight w:val="0"/>
      <w:marTop w:val="0"/>
      <w:marBottom w:val="0"/>
      <w:divBdr>
        <w:top w:val="none" w:sz="0" w:space="0" w:color="auto"/>
        <w:left w:val="none" w:sz="0" w:space="0" w:color="auto"/>
        <w:bottom w:val="none" w:sz="0" w:space="0" w:color="auto"/>
        <w:right w:val="none" w:sz="0" w:space="0" w:color="auto"/>
      </w:divBdr>
    </w:div>
    <w:div w:id="1025978818">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61854471">
      <w:bodyDiv w:val="1"/>
      <w:marLeft w:val="0"/>
      <w:marRight w:val="0"/>
      <w:marTop w:val="0"/>
      <w:marBottom w:val="0"/>
      <w:divBdr>
        <w:top w:val="none" w:sz="0" w:space="0" w:color="auto"/>
        <w:left w:val="none" w:sz="0" w:space="0" w:color="auto"/>
        <w:bottom w:val="none" w:sz="0" w:space="0" w:color="auto"/>
        <w:right w:val="none" w:sz="0" w:space="0" w:color="auto"/>
      </w:divBdr>
    </w:div>
    <w:div w:id="1271668968">
      <w:bodyDiv w:val="1"/>
      <w:marLeft w:val="0"/>
      <w:marRight w:val="0"/>
      <w:marTop w:val="0"/>
      <w:marBottom w:val="0"/>
      <w:divBdr>
        <w:top w:val="none" w:sz="0" w:space="0" w:color="auto"/>
        <w:left w:val="none" w:sz="0" w:space="0" w:color="auto"/>
        <w:bottom w:val="none" w:sz="0" w:space="0" w:color="auto"/>
        <w:right w:val="none" w:sz="0" w:space="0" w:color="auto"/>
      </w:divBdr>
    </w:div>
    <w:div w:id="1413357184">
      <w:bodyDiv w:val="1"/>
      <w:marLeft w:val="0"/>
      <w:marRight w:val="0"/>
      <w:marTop w:val="0"/>
      <w:marBottom w:val="0"/>
      <w:divBdr>
        <w:top w:val="none" w:sz="0" w:space="0" w:color="auto"/>
        <w:left w:val="none" w:sz="0" w:space="0" w:color="auto"/>
        <w:bottom w:val="none" w:sz="0" w:space="0" w:color="auto"/>
        <w:right w:val="none" w:sz="0" w:space="0" w:color="auto"/>
      </w:divBdr>
    </w:div>
    <w:div w:id="1518690504">
      <w:bodyDiv w:val="1"/>
      <w:marLeft w:val="0"/>
      <w:marRight w:val="0"/>
      <w:marTop w:val="0"/>
      <w:marBottom w:val="0"/>
      <w:divBdr>
        <w:top w:val="none" w:sz="0" w:space="0" w:color="auto"/>
        <w:left w:val="none" w:sz="0" w:space="0" w:color="auto"/>
        <w:bottom w:val="none" w:sz="0" w:space="0" w:color="auto"/>
        <w:right w:val="none" w:sz="0" w:space="0" w:color="auto"/>
      </w:divBdr>
    </w:div>
    <w:div w:id="1546868384">
      <w:bodyDiv w:val="1"/>
      <w:marLeft w:val="0"/>
      <w:marRight w:val="0"/>
      <w:marTop w:val="0"/>
      <w:marBottom w:val="0"/>
      <w:divBdr>
        <w:top w:val="none" w:sz="0" w:space="0" w:color="auto"/>
        <w:left w:val="none" w:sz="0" w:space="0" w:color="auto"/>
        <w:bottom w:val="none" w:sz="0" w:space="0" w:color="auto"/>
        <w:right w:val="none" w:sz="0" w:space="0" w:color="auto"/>
      </w:divBdr>
    </w:div>
    <w:div w:id="1610623264">
      <w:bodyDiv w:val="1"/>
      <w:marLeft w:val="0"/>
      <w:marRight w:val="0"/>
      <w:marTop w:val="0"/>
      <w:marBottom w:val="0"/>
      <w:divBdr>
        <w:top w:val="none" w:sz="0" w:space="0" w:color="auto"/>
        <w:left w:val="none" w:sz="0" w:space="0" w:color="auto"/>
        <w:bottom w:val="none" w:sz="0" w:space="0" w:color="auto"/>
        <w:right w:val="none" w:sz="0" w:space="0" w:color="auto"/>
      </w:divBdr>
      <w:divsChild>
        <w:div w:id="1621570483">
          <w:marLeft w:val="432"/>
          <w:marRight w:val="0"/>
          <w:marTop w:val="240"/>
          <w:marBottom w:val="0"/>
          <w:divBdr>
            <w:top w:val="none" w:sz="0" w:space="0" w:color="auto"/>
            <w:left w:val="none" w:sz="0" w:space="0" w:color="auto"/>
            <w:bottom w:val="none" w:sz="0" w:space="0" w:color="auto"/>
            <w:right w:val="none" w:sz="0" w:space="0" w:color="auto"/>
          </w:divBdr>
        </w:div>
      </w:divsChild>
    </w:div>
    <w:div w:id="1760053679">
      <w:bodyDiv w:val="1"/>
      <w:marLeft w:val="0"/>
      <w:marRight w:val="0"/>
      <w:marTop w:val="0"/>
      <w:marBottom w:val="0"/>
      <w:divBdr>
        <w:top w:val="none" w:sz="0" w:space="0" w:color="auto"/>
        <w:left w:val="none" w:sz="0" w:space="0" w:color="auto"/>
        <w:bottom w:val="none" w:sz="0" w:space="0" w:color="auto"/>
        <w:right w:val="none" w:sz="0" w:space="0" w:color="auto"/>
      </w:divBdr>
      <w:divsChild>
        <w:div w:id="992027246">
          <w:marLeft w:val="432"/>
          <w:marRight w:val="0"/>
          <w:marTop w:val="120"/>
          <w:marBottom w:val="0"/>
          <w:divBdr>
            <w:top w:val="none" w:sz="0" w:space="0" w:color="auto"/>
            <w:left w:val="none" w:sz="0" w:space="0" w:color="auto"/>
            <w:bottom w:val="none" w:sz="0" w:space="0" w:color="auto"/>
            <w:right w:val="none" w:sz="0" w:space="0" w:color="auto"/>
          </w:divBdr>
        </w:div>
      </w:divsChild>
    </w:div>
    <w:div w:id="1762792296">
      <w:bodyDiv w:val="1"/>
      <w:marLeft w:val="0"/>
      <w:marRight w:val="0"/>
      <w:marTop w:val="0"/>
      <w:marBottom w:val="0"/>
      <w:divBdr>
        <w:top w:val="none" w:sz="0" w:space="0" w:color="auto"/>
        <w:left w:val="none" w:sz="0" w:space="0" w:color="auto"/>
        <w:bottom w:val="none" w:sz="0" w:space="0" w:color="auto"/>
        <w:right w:val="none" w:sz="0" w:space="0" w:color="auto"/>
      </w:divBdr>
    </w:div>
    <w:div w:id="1768234280">
      <w:bodyDiv w:val="1"/>
      <w:marLeft w:val="0"/>
      <w:marRight w:val="0"/>
      <w:marTop w:val="0"/>
      <w:marBottom w:val="0"/>
      <w:divBdr>
        <w:top w:val="none" w:sz="0" w:space="0" w:color="auto"/>
        <w:left w:val="none" w:sz="0" w:space="0" w:color="auto"/>
        <w:bottom w:val="none" w:sz="0" w:space="0" w:color="auto"/>
        <w:right w:val="none" w:sz="0" w:space="0" w:color="auto"/>
      </w:divBdr>
    </w:div>
    <w:div w:id="1801534451">
      <w:bodyDiv w:val="1"/>
      <w:marLeft w:val="0"/>
      <w:marRight w:val="0"/>
      <w:marTop w:val="0"/>
      <w:marBottom w:val="0"/>
      <w:divBdr>
        <w:top w:val="none" w:sz="0" w:space="0" w:color="auto"/>
        <w:left w:val="none" w:sz="0" w:space="0" w:color="auto"/>
        <w:bottom w:val="none" w:sz="0" w:space="0" w:color="auto"/>
        <w:right w:val="none" w:sz="0" w:space="0" w:color="auto"/>
      </w:divBdr>
    </w:div>
    <w:div w:id="1874265874">
      <w:bodyDiv w:val="1"/>
      <w:marLeft w:val="0"/>
      <w:marRight w:val="0"/>
      <w:marTop w:val="0"/>
      <w:marBottom w:val="0"/>
      <w:divBdr>
        <w:top w:val="none" w:sz="0" w:space="0" w:color="auto"/>
        <w:left w:val="none" w:sz="0" w:space="0" w:color="auto"/>
        <w:bottom w:val="none" w:sz="0" w:space="0" w:color="auto"/>
        <w:right w:val="none" w:sz="0" w:space="0" w:color="auto"/>
      </w:divBdr>
    </w:div>
    <w:div w:id="1926376778">
      <w:bodyDiv w:val="1"/>
      <w:marLeft w:val="0"/>
      <w:marRight w:val="0"/>
      <w:marTop w:val="0"/>
      <w:marBottom w:val="0"/>
      <w:divBdr>
        <w:top w:val="none" w:sz="0" w:space="0" w:color="auto"/>
        <w:left w:val="none" w:sz="0" w:space="0" w:color="auto"/>
        <w:bottom w:val="none" w:sz="0" w:space="0" w:color="auto"/>
        <w:right w:val="none" w:sz="0" w:space="0" w:color="auto"/>
      </w:divBdr>
    </w:div>
    <w:div w:id="1994136794">
      <w:bodyDiv w:val="1"/>
      <w:marLeft w:val="0"/>
      <w:marRight w:val="0"/>
      <w:marTop w:val="0"/>
      <w:marBottom w:val="0"/>
      <w:divBdr>
        <w:top w:val="none" w:sz="0" w:space="0" w:color="auto"/>
        <w:left w:val="none" w:sz="0" w:space="0" w:color="auto"/>
        <w:bottom w:val="none" w:sz="0" w:space="0" w:color="auto"/>
        <w:right w:val="none" w:sz="0" w:space="0" w:color="auto"/>
      </w:divBdr>
    </w:div>
    <w:div w:id="2034380301">
      <w:bodyDiv w:val="1"/>
      <w:marLeft w:val="0"/>
      <w:marRight w:val="0"/>
      <w:marTop w:val="0"/>
      <w:marBottom w:val="0"/>
      <w:divBdr>
        <w:top w:val="none" w:sz="0" w:space="0" w:color="auto"/>
        <w:left w:val="none" w:sz="0" w:space="0" w:color="auto"/>
        <w:bottom w:val="none" w:sz="0" w:space="0" w:color="auto"/>
        <w:right w:val="none" w:sz="0" w:space="0" w:color="auto"/>
      </w:divBdr>
    </w:div>
    <w:div w:id="208826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griculture.vic.gov.au/crops-and-horticulture/the-australian-grains-geneban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atthew.hayden@agriculture.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vic.gov.au/" TargetMode="Externa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mailto:sally.norton@agriculture.vic.gov.au" TargetMode="External"/><Relationship Id="rId23"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rdc.com.au/" TargetMode="External"/><Relationship Id="rId14" Type="http://schemas.openxmlformats.org/officeDocument/2006/relationships/image" Target="media/image5.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984F3-C1B8-4F36-B19E-C9EB8DD3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922</Words>
  <Characters>5424</Characters>
  <Application>Microsoft Office Word</Application>
  <DocSecurity>0</DocSecurity>
  <Lines>132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 Norton (DEECA)</dc:creator>
  <cp:keywords/>
  <dc:description/>
  <cp:lastModifiedBy>Sally L Norton (DEECA)</cp:lastModifiedBy>
  <cp:revision>6</cp:revision>
  <dcterms:created xsi:type="dcterms:W3CDTF">2026-02-08T21:56:00Z</dcterms:created>
  <dcterms:modified xsi:type="dcterms:W3CDTF">2026-02-09T01:10:00Z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7,386af7c6,79ed6fb8,61702f47</vt:lpwstr>
  </property>
  <property fmtid="{D5CDD505-2E9C-101B-9397-08002B2CF9AE}" pid="6" name="ClassificationContentMarkingFooterFontProps">
    <vt:lpwstr>#000000,12,Aptos</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2023-04-04T01:28:44Z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8098f122-62e6-4960-9bf4-3bef99a74984</vt:lpwstr>
  </property>
  <property fmtid="{D5CDD505-2E9C-101B-9397-08002B2CF9AE}" pid="14" name="MSIP_Label_d00a4df9-c942-4b09-b23a-6c1023f6de27_ContentBits">
    <vt:lpwstr>3</vt:lpwstr>
  </property>
  <property fmtid="{D5CDD505-2E9C-101B-9397-08002B2CF9AE}" pid="15" name="MSIP_Label_4257e2ab-f512-40e2-9c9a-c64247360765_Enabled">
    <vt:lpwstr>true</vt:lpwstr>
  </property>
  <property fmtid="{D5CDD505-2E9C-101B-9397-08002B2CF9AE}" pid="16" name="MSIP_Label_4257e2ab-f512-40e2-9c9a-c64247360765_SetDate">
    <vt:lpwstr>2026-02-08T21:52:56Z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7353636d-0188-4178-81bf-82e9e6842a85</vt:lpwstr>
  </property>
  <property fmtid="{D5CDD505-2E9C-101B-9397-08002B2CF9AE}" pid="21" name="MSIP_Label_4257e2ab-f512-40e2-9c9a-c64247360765_ContentBits">
    <vt:lpwstr>2</vt:lpwstr>
  </property>
  <property fmtid="{D5CDD505-2E9C-101B-9397-08002B2CF9AE}" pid="22" name="MSIP_Label_4257e2ab-f512-40e2-9c9a-c64247360765_Tag">
    <vt:lpwstr>10, 0, 1, 1</vt:lpwstr>
  </property>
</Properties>
</file>