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7C89" w14:textId="57B29239" w:rsidR="00275082" w:rsidRDefault="00275082" w:rsidP="00275082">
      <w:pPr>
        <w:pStyle w:val="Agbodytext"/>
        <w:spacing w:line="260" w:lineRule="exact"/>
      </w:pPr>
      <w:bookmarkStart w:id="0" w:name="_Toc106305998"/>
      <w:bookmarkEnd w:id="0"/>
      <w:r w:rsidRPr="00ED4C33">
        <w:t xml:space="preserve">This update includes VCAT cases from </w:t>
      </w:r>
      <w:r w:rsidR="00185015">
        <w:t xml:space="preserve">January </w:t>
      </w:r>
      <w:r w:rsidRPr="00ED4C33">
        <w:t xml:space="preserve">to </w:t>
      </w:r>
      <w:r w:rsidR="00185015">
        <w:t xml:space="preserve">March </w:t>
      </w:r>
      <w:r w:rsidRPr="00ED4C33">
        <w:t>202</w:t>
      </w:r>
      <w:r w:rsidR="00185015">
        <w:t>5</w:t>
      </w:r>
      <w:r w:rsidRPr="00ED4C33">
        <w:t>. It provides council officers a summary of recent decisions that impact rural zoned land. The Agriculture Victoria Planning and Advisory Service does not provide comment as to the merits of each case or the reasons provided by the members.</w:t>
      </w:r>
    </w:p>
    <w:p w14:paraId="3019740E" w14:textId="77777777" w:rsidR="00275082" w:rsidRDefault="00275082" w:rsidP="00275082">
      <w:pPr>
        <w:pStyle w:val="Heading2"/>
      </w:pPr>
      <w:r>
        <w:t>Dwelling – Use of land</w:t>
      </w:r>
    </w:p>
    <w:tbl>
      <w:tblPr>
        <w:tblStyle w:val="TableGrid"/>
        <w:tblW w:w="10205" w:type="dxa"/>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2388"/>
        <w:gridCol w:w="937"/>
        <w:gridCol w:w="1353"/>
        <w:gridCol w:w="5527"/>
      </w:tblGrid>
      <w:tr w:rsidR="00275082" w14:paraId="7FC77860" w14:textId="77777777" w:rsidTr="005225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5B860038" w14:textId="77777777" w:rsidR="00275082" w:rsidRPr="00D641D4" w:rsidRDefault="00275082">
            <w:pPr>
              <w:pStyle w:val="BodyText"/>
              <w:rPr>
                <w:sz w:val="18"/>
                <w:szCs w:val="18"/>
              </w:rPr>
            </w:pPr>
            <w:r w:rsidRPr="00D641D4">
              <w:rPr>
                <w:sz w:val="18"/>
                <w:szCs w:val="18"/>
              </w:rPr>
              <w:t>Citation</w:t>
            </w:r>
          </w:p>
        </w:tc>
        <w:tc>
          <w:tcPr>
            <w:tcW w:w="937" w:type="dxa"/>
          </w:tcPr>
          <w:p w14:paraId="3EC35AF5"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67853115"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7BB8E8CA"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275082" w14:paraId="01488A8E" w14:textId="77777777" w:rsidTr="0052258C">
        <w:tc>
          <w:tcPr>
            <w:cnfStyle w:val="001000000000" w:firstRow="0" w:lastRow="0" w:firstColumn="1" w:lastColumn="0" w:oddVBand="0" w:evenVBand="0" w:oddHBand="0" w:evenHBand="0" w:firstRowFirstColumn="0" w:firstRowLastColumn="0" w:lastRowFirstColumn="0" w:lastRowLastColumn="0"/>
            <w:tcW w:w="2388" w:type="dxa"/>
          </w:tcPr>
          <w:p w14:paraId="4CE4B7DC" w14:textId="01055CA5" w:rsidR="00275082" w:rsidRDefault="00552E5E">
            <w:pPr>
              <w:pStyle w:val="BodyText"/>
            </w:pPr>
            <w:hyperlink r:id="rId14" w:history="1">
              <w:proofErr w:type="spellStart"/>
              <w:r w:rsidRPr="0000353D">
                <w:rPr>
                  <w:rStyle w:val="Hyperlink"/>
                </w:rPr>
                <w:t>Blashki</w:t>
              </w:r>
              <w:proofErr w:type="spellEnd"/>
              <w:r w:rsidRPr="0000353D">
                <w:rPr>
                  <w:rStyle w:val="Hyperlink"/>
                </w:rPr>
                <w:t xml:space="preserve"> v Mornington Peninsula SC [2025] VCAT 217</w:t>
              </w:r>
            </w:hyperlink>
          </w:p>
          <w:p w14:paraId="226209C4" w14:textId="6DE4C029" w:rsidR="00552E5E" w:rsidRPr="00F57D26" w:rsidRDefault="00F57D26" w:rsidP="00F57D26">
            <w:pPr>
              <w:pStyle w:val="BodyText"/>
              <w:rPr>
                <w:i/>
                <w:iCs/>
                <w:sz w:val="18"/>
                <w:szCs w:val="18"/>
              </w:rPr>
            </w:pPr>
            <w:r w:rsidRPr="00F57D26">
              <w:rPr>
                <w:i/>
                <w:iCs/>
                <w:sz w:val="18"/>
                <w:szCs w:val="18"/>
              </w:rPr>
              <w:t>Alison Glynn, Senior Member</w:t>
            </w:r>
          </w:p>
        </w:tc>
        <w:tc>
          <w:tcPr>
            <w:tcW w:w="937" w:type="dxa"/>
          </w:tcPr>
          <w:p w14:paraId="261D66AB" w14:textId="5C1321EB" w:rsidR="00552E5E" w:rsidRDefault="00552E5E" w:rsidP="00C24297">
            <w:pPr>
              <w:pStyle w:val="BodyText"/>
              <w:cnfStyle w:val="000000000000" w:firstRow="0" w:lastRow="0" w:firstColumn="0" w:lastColumn="0" w:oddVBand="0" w:evenVBand="0" w:oddHBand="0" w:evenHBand="0" w:firstRowFirstColumn="0" w:firstRowLastColumn="0" w:lastRowFirstColumn="0" w:lastRowLastColumn="0"/>
            </w:pPr>
            <w:r>
              <w:t>GWZ</w:t>
            </w:r>
            <w:r w:rsidR="00C24297">
              <w:t xml:space="preserve"> ESO3 ESO17 ESO19 ESO28 VPO2</w:t>
            </w:r>
          </w:p>
        </w:tc>
        <w:tc>
          <w:tcPr>
            <w:tcW w:w="1353" w:type="dxa"/>
          </w:tcPr>
          <w:p w14:paraId="50F86604" w14:textId="208AF03C" w:rsidR="00275082" w:rsidRDefault="00552E5E">
            <w:pPr>
              <w:pStyle w:val="BodyText"/>
              <w:cnfStyle w:val="000000000000" w:firstRow="0" w:lastRow="0" w:firstColumn="0" w:lastColumn="0" w:oddVBand="0" w:evenVBand="0" w:oddHBand="0" w:evenHBand="0" w:firstRowFirstColumn="0" w:firstRowLastColumn="0" w:lastRowFirstColumn="0" w:lastRowLastColumn="0"/>
            </w:pPr>
            <w:r w:rsidRPr="00552E5E">
              <w:t xml:space="preserve">Council decision </w:t>
            </w:r>
            <w:r>
              <w:t>varied</w:t>
            </w:r>
            <w:r w:rsidRPr="00552E5E">
              <w:t>, permit granted</w:t>
            </w:r>
          </w:p>
        </w:tc>
        <w:tc>
          <w:tcPr>
            <w:tcW w:w="5527" w:type="dxa"/>
          </w:tcPr>
          <w:p w14:paraId="19848EE6" w14:textId="60B614AF" w:rsidR="00275082" w:rsidRDefault="001C13DF">
            <w:pPr>
              <w:pStyle w:val="BodyText"/>
              <w:cnfStyle w:val="000000000000" w:firstRow="0" w:lastRow="0" w:firstColumn="0" w:lastColumn="0" w:oddVBand="0" w:evenVBand="0" w:oddHBand="0" w:evenHBand="0" w:firstRowFirstColumn="0" w:firstRowLastColumn="0" w:lastRowFirstColumn="0" w:lastRowLastColumn="0"/>
            </w:pPr>
            <w:r w:rsidRPr="001C13DF">
              <w:t>4</w:t>
            </w:r>
            <w:r w:rsidRPr="001C13DF">
              <w:tab/>
              <w:t>The applicants do not specifically oppose the use of a dwelling on the land</w:t>
            </w:r>
            <w:r w:rsidR="005468C8">
              <w:t>…</w:t>
            </w:r>
            <w:r w:rsidRPr="001C13DF">
              <w:t xml:space="preserve">  Specifically, this is the adverse impact from the loss of views</w:t>
            </w:r>
            <w:proofErr w:type="gramStart"/>
            <w:r w:rsidR="0006467E">
              <w:t>…..</w:t>
            </w:r>
            <w:proofErr w:type="gramEnd"/>
          </w:p>
          <w:p w14:paraId="3A33DC55" w14:textId="150BBA82" w:rsidR="0006467E" w:rsidRDefault="004751E9">
            <w:pPr>
              <w:pStyle w:val="BodyText"/>
              <w:cnfStyle w:val="000000000000" w:firstRow="0" w:lastRow="0" w:firstColumn="0" w:lastColumn="0" w:oddVBand="0" w:evenVBand="0" w:oddHBand="0" w:evenHBand="0" w:firstRowFirstColumn="0" w:firstRowLastColumn="0" w:lastRowFirstColumn="0" w:lastRowLastColumn="0"/>
            </w:pPr>
            <w:r w:rsidRPr="004751E9">
              <w:t>17</w:t>
            </w:r>
            <w:r w:rsidRPr="004751E9">
              <w:tab/>
              <w:t xml:space="preserve">Any consideration to move the dwelling away from that shown in the application plans, needs to derive from a planning reason.  </w:t>
            </w:r>
            <w:r>
              <w:t>….</w:t>
            </w:r>
            <w:r w:rsidRPr="004751E9">
              <w:t xml:space="preserve">.  </w:t>
            </w:r>
          </w:p>
          <w:p w14:paraId="31E2E32D" w14:textId="1AED2A85" w:rsidR="004751E9" w:rsidRDefault="001A47C5">
            <w:pPr>
              <w:pStyle w:val="BodyText"/>
              <w:cnfStyle w:val="000000000000" w:firstRow="0" w:lastRow="0" w:firstColumn="0" w:lastColumn="0" w:oddVBand="0" w:evenVBand="0" w:oddHBand="0" w:evenHBand="0" w:firstRowFirstColumn="0" w:firstRowLastColumn="0" w:lastRowFirstColumn="0" w:lastRowLastColumn="0"/>
            </w:pPr>
            <w:r w:rsidRPr="001A47C5">
              <w:t>25</w:t>
            </w:r>
            <w:r w:rsidRPr="001A47C5">
              <w:tab/>
              <w:t xml:space="preserve">I find it relevant that such buildings </w:t>
            </w:r>
            <w:proofErr w:type="gramStart"/>
            <w:r w:rsidRPr="001A47C5">
              <w:t>works</w:t>
            </w:r>
            <w:proofErr w:type="gramEnd"/>
            <w:r w:rsidRPr="001A47C5">
              <w:t>, for example an agricultural shed associated with a use in section 1 of the GWZ3, or planting of windbreaks, could impact on the views from the applicants’ property to Port Phillip Bay and other rural vistas regardless of the proposal before me.  I also note that other nearby properties include netting of crops that may not require a planning permit.  I find the legitimate expectations of maintaining views from the applicants’ property across other land, including the respondents land is limited by these circumstances.</w:t>
            </w:r>
          </w:p>
          <w:p w14:paraId="646E949F" w14:textId="6B8173D7" w:rsidR="0006467E" w:rsidRDefault="001A2625">
            <w:pPr>
              <w:pStyle w:val="BodyText"/>
              <w:cnfStyle w:val="000000000000" w:firstRow="0" w:lastRow="0" w:firstColumn="0" w:lastColumn="0" w:oddVBand="0" w:evenVBand="0" w:oddHBand="0" w:evenHBand="0" w:firstRowFirstColumn="0" w:firstRowLastColumn="0" w:lastRowFirstColumn="0" w:lastRowLastColumn="0"/>
            </w:pPr>
            <w:r w:rsidRPr="001A2625">
              <w:t>44</w:t>
            </w:r>
            <w:r w:rsidRPr="001A2625">
              <w:tab/>
              <w:t>Consequently, as a broad amenity impact on the applicants’ dwelling, I find the loss of a small, albeit valued, component of the existing panoramic vista from their dwelling is acceptable as a general test under clause 65.01 of the scheme, having regard to the permit triggers under GWZ3 and ESO3.</w:t>
            </w:r>
          </w:p>
        </w:tc>
      </w:tr>
    </w:tbl>
    <w:p w14:paraId="2B076633" w14:textId="77777777" w:rsidR="00275082" w:rsidRDefault="00275082" w:rsidP="00275082">
      <w:pPr>
        <w:pStyle w:val="Heading2"/>
      </w:pPr>
      <w:r>
        <w:t xml:space="preserve">Subdivisions </w:t>
      </w:r>
    </w:p>
    <w:tbl>
      <w:tblPr>
        <w:tblStyle w:val="TableGrid"/>
        <w:tblW w:w="10205" w:type="dxa"/>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2388"/>
        <w:gridCol w:w="937"/>
        <w:gridCol w:w="1353"/>
        <w:gridCol w:w="5527"/>
      </w:tblGrid>
      <w:tr w:rsidR="00275082" w14:paraId="0DFD0A36" w14:textId="77777777" w:rsidTr="005225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55E882C6" w14:textId="77777777" w:rsidR="00275082" w:rsidRPr="00D641D4" w:rsidRDefault="00275082">
            <w:pPr>
              <w:pStyle w:val="BodyText"/>
              <w:rPr>
                <w:sz w:val="18"/>
                <w:szCs w:val="18"/>
              </w:rPr>
            </w:pPr>
            <w:r w:rsidRPr="00D641D4">
              <w:rPr>
                <w:sz w:val="18"/>
                <w:szCs w:val="18"/>
              </w:rPr>
              <w:t>Citation</w:t>
            </w:r>
          </w:p>
        </w:tc>
        <w:tc>
          <w:tcPr>
            <w:tcW w:w="937" w:type="dxa"/>
          </w:tcPr>
          <w:p w14:paraId="53EDD460"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65F936AC"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24B34F7C"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275082" w14:paraId="02A671BA" w14:textId="77777777" w:rsidTr="0052258C">
        <w:tc>
          <w:tcPr>
            <w:cnfStyle w:val="001000000000" w:firstRow="0" w:lastRow="0" w:firstColumn="1" w:lastColumn="0" w:oddVBand="0" w:evenVBand="0" w:oddHBand="0" w:evenHBand="0" w:firstRowFirstColumn="0" w:firstRowLastColumn="0" w:lastRowFirstColumn="0" w:lastRowLastColumn="0"/>
            <w:tcW w:w="2388" w:type="dxa"/>
          </w:tcPr>
          <w:p w14:paraId="23DCFC76" w14:textId="0300D838" w:rsidR="00275082" w:rsidRDefault="000C4824">
            <w:pPr>
              <w:pStyle w:val="BodyText"/>
            </w:pPr>
            <w:hyperlink r:id="rId15" w:history="1">
              <w:proofErr w:type="spellStart"/>
              <w:r w:rsidRPr="00197C05">
                <w:rPr>
                  <w:rStyle w:val="Hyperlink"/>
                </w:rPr>
                <w:t>Pippicella</w:t>
              </w:r>
              <w:proofErr w:type="spellEnd"/>
              <w:r w:rsidRPr="00197C05">
                <w:rPr>
                  <w:rStyle w:val="Hyperlink"/>
                </w:rPr>
                <w:t xml:space="preserve"> v Mildura Rural CC [2025] VCAT 211</w:t>
              </w:r>
            </w:hyperlink>
          </w:p>
          <w:p w14:paraId="3F7D7C01" w14:textId="054C6764" w:rsidR="000C4824" w:rsidRPr="00197C05" w:rsidRDefault="00197C05" w:rsidP="00197C05">
            <w:pPr>
              <w:pStyle w:val="BodyText"/>
              <w:rPr>
                <w:i/>
                <w:iCs/>
                <w:sz w:val="18"/>
                <w:szCs w:val="18"/>
              </w:rPr>
            </w:pPr>
            <w:r w:rsidRPr="00197C05">
              <w:rPr>
                <w:i/>
                <w:iCs/>
                <w:sz w:val="18"/>
                <w:szCs w:val="18"/>
              </w:rPr>
              <w:t>Frank Dawson, Member</w:t>
            </w:r>
          </w:p>
        </w:tc>
        <w:tc>
          <w:tcPr>
            <w:tcW w:w="937" w:type="dxa"/>
          </w:tcPr>
          <w:p w14:paraId="6E3AE8EC" w14:textId="77777777" w:rsidR="000C4824" w:rsidRDefault="000C4824">
            <w:pPr>
              <w:pStyle w:val="BodyText"/>
              <w:cnfStyle w:val="000000000000" w:firstRow="0" w:lastRow="0" w:firstColumn="0" w:lastColumn="0" w:oddVBand="0" w:evenVBand="0" w:oddHBand="0" w:evenHBand="0" w:firstRowFirstColumn="0" w:firstRowLastColumn="0" w:lastRowFirstColumn="0" w:lastRowLastColumn="0"/>
            </w:pPr>
            <w:r>
              <w:t>FZ</w:t>
            </w:r>
          </w:p>
          <w:p w14:paraId="63FB13E4" w14:textId="77777777" w:rsidR="00085FAB" w:rsidRDefault="00085FAB">
            <w:pPr>
              <w:pStyle w:val="BodyText"/>
              <w:cnfStyle w:val="000000000000" w:firstRow="0" w:lastRow="0" w:firstColumn="0" w:lastColumn="0" w:oddVBand="0" w:evenVBand="0" w:oddHBand="0" w:evenHBand="0" w:firstRowFirstColumn="0" w:firstRowLastColumn="0" w:lastRowFirstColumn="0" w:lastRowLastColumn="0"/>
            </w:pPr>
            <w:r>
              <w:t>DCPO</w:t>
            </w:r>
            <w:r w:rsidR="00E33EEE">
              <w:t>2</w:t>
            </w:r>
          </w:p>
          <w:p w14:paraId="4C0B09A8" w14:textId="4C2B61DE" w:rsidR="00E33EEE" w:rsidRDefault="00E33EEE">
            <w:pPr>
              <w:pStyle w:val="BodyText"/>
              <w:cnfStyle w:val="000000000000" w:firstRow="0" w:lastRow="0" w:firstColumn="0" w:lastColumn="0" w:oddVBand="0" w:evenVBand="0" w:oddHBand="0" w:evenHBand="0" w:firstRowFirstColumn="0" w:firstRowLastColumn="0" w:lastRowFirstColumn="0" w:lastRowLastColumn="0"/>
            </w:pPr>
            <w:r>
              <w:t>SCO1</w:t>
            </w:r>
          </w:p>
        </w:tc>
        <w:tc>
          <w:tcPr>
            <w:tcW w:w="1353" w:type="dxa"/>
          </w:tcPr>
          <w:p w14:paraId="5E7E3CF5" w14:textId="0D522291" w:rsidR="00275082" w:rsidRDefault="00382520">
            <w:pPr>
              <w:pStyle w:val="BodyText"/>
              <w:cnfStyle w:val="000000000000" w:firstRow="0" w:lastRow="0" w:firstColumn="0" w:lastColumn="0" w:oddVBand="0" w:evenVBand="0" w:oddHBand="0" w:evenHBand="0" w:firstRowFirstColumn="0" w:firstRowLastColumn="0" w:lastRowFirstColumn="0" w:lastRowLastColumn="0"/>
            </w:pPr>
            <w:r w:rsidRPr="00382520">
              <w:t>Council decision</w:t>
            </w:r>
            <w:r>
              <w:t xml:space="preserve"> upheld</w:t>
            </w:r>
            <w:r w:rsidRPr="00382520">
              <w:t>, no permit granted</w:t>
            </w:r>
          </w:p>
        </w:tc>
        <w:tc>
          <w:tcPr>
            <w:tcW w:w="5527" w:type="dxa"/>
          </w:tcPr>
          <w:p w14:paraId="78AA8F4F" w14:textId="77777777" w:rsidR="00275082" w:rsidRDefault="007A0A26">
            <w:pPr>
              <w:pStyle w:val="BodyText"/>
              <w:cnfStyle w:val="000000000000" w:firstRow="0" w:lastRow="0" w:firstColumn="0" w:lastColumn="0" w:oddVBand="0" w:evenVBand="0" w:oddHBand="0" w:evenHBand="0" w:firstRowFirstColumn="0" w:firstRowLastColumn="0" w:lastRowFirstColumn="0" w:lastRowLastColumn="0"/>
            </w:pPr>
            <w:r w:rsidRPr="007A0A26">
              <w:t>1</w:t>
            </w:r>
            <w:r w:rsidRPr="007A0A26">
              <w:tab/>
            </w:r>
            <w:r w:rsidR="00D76571">
              <w:t>…</w:t>
            </w:r>
            <w:r w:rsidRPr="007A0A26">
              <w:t xml:space="preserve"> a review of the decision </w:t>
            </w:r>
            <w:r w:rsidR="00D76571">
              <w:t>…</w:t>
            </w:r>
            <w:r w:rsidRPr="007A0A26">
              <w:t xml:space="preserve">to refuse a permit for the </w:t>
            </w:r>
            <w:proofErr w:type="spellStart"/>
            <w:r w:rsidRPr="007A0A26">
              <w:t>resubdivision</w:t>
            </w:r>
            <w:proofErr w:type="spellEnd"/>
            <w:r w:rsidRPr="007A0A26">
              <w:t xml:space="preserve"> </w:t>
            </w:r>
            <w:r w:rsidR="00D76571">
              <w:t>…</w:t>
            </w:r>
            <w:r w:rsidR="00CB5B75">
              <w:t>…</w:t>
            </w:r>
            <w:r w:rsidRPr="007A0A26">
              <w:t xml:space="preserve"> to increase the size of the garden area at the rear of the existing dwelling </w:t>
            </w:r>
            <w:r w:rsidR="00D76571">
              <w:t>…</w:t>
            </w:r>
            <w:r w:rsidRPr="007A0A26">
              <w:t xml:space="preserve">, utilising agricultural land from the adjoining </w:t>
            </w:r>
            <w:r w:rsidR="00D76571">
              <w:t>…</w:t>
            </w:r>
            <w:r w:rsidRPr="007A0A26">
              <w:t xml:space="preserve"> lot </w:t>
            </w:r>
            <w:r w:rsidR="00D76571">
              <w:t>…</w:t>
            </w:r>
          </w:p>
          <w:p w14:paraId="2BF5756C" w14:textId="63FF5998" w:rsidR="00E735E1" w:rsidRDefault="00011974">
            <w:pPr>
              <w:pStyle w:val="BodyText"/>
              <w:cnfStyle w:val="000000000000" w:firstRow="0" w:lastRow="0" w:firstColumn="0" w:lastColumn="0" w:oddVBand="0" w:evenVBand="0" w:oddHBand="0" w:evenHBand="0" w:firstRowFirstColumn="0" w:firstRowLastColumn="0" w:lastRowFirstColumn="0" w:lastRowLastColumn="0"/>
            </w:pPr>
            <w:r w:rsidRPr="00011974">
              <w:t>31</w:t>
            </w:r>
            <w:r w:rsidRPr="00011974">
              <w:tab/>
              <w:t xml:space="preserve">The proposed </w:t>
            </w:r>
            <w:proofErr w:type="spellStart"/>
            <w:r w:rsidRPr="00011974">
              <w:t>resubdivision</w:t>
            </w:r>
            <w:proofErr w:type="spellEnd"/>
            <w:r w:rsidRPr="00011974">
              <w:t xml:space="preserve"> reduces the area of horticultural land and I cannot agree that this loss is inconsequential purely because of its relatively small area. The purpose of the application is to increase the size of residential garden, but in my assessment, there is no demonstration of benefit in relation to horticultural land use.</w:t>
            </w:r>
          </w:p>
        </w:tc>
      </w:tr>
    </w:tbl>
    <w:p w14:paraId="360ED7E3" w14:textId="77777777" w:rsidR="00275082" w:rsidRDefault="00275082" w:rsidP="00275082">
      <w:pPr>
        <w:pStyle w:val="Heading2"/>
      </w:pPr>
      <w:r>
        <w:lastRenderedPageBreak/>
        <w:t>Agricultural Use</w:t>
      </w:r>
    </w:p>
    <w:tbl>
      <w:tblPr>
        <w:tblStyle w:val="TableGrid"/>
        <w:tblW w:w="10205" w:type="dxa"/>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2388"/>
        <w:gridCol w:w="937"/>
        <w:gridCol w:w="1353"/>
        <w:gridCol w:w="5527"/>
      </w:tblGrid>
      <w:tr w:rsidR="00275082" w14:paraId="15CB6DE3" w14:textId="77777777" w:rsidTr="005225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727CEA04" w14:textId="77777777" w:rsidR="00275082" w:rsidRPr="00D641D4" w:rsidRDefault="00275082">
            <w:pPr>
              <w:pStyle w:val="BodyText"/>
              <w:rPr>
                <w:sz w:val="18"/>
                <w:szCs w:val="18"/>
              </w:rPr>
            </w:pPr>
            <w:r w:rsidRPr="00D641D4">
              <w:rPr>
                <w:sz w:val="18"/>
                <w:szCs w:val="18"/>
              </w:rPr>
              <w:t>Citation</w:t>
            </w:r>
          </w:p>
        </w:tc>
        <w:tc>
          <w:tcPr>
            <w:tcW w:w="937" w:type="dxa"/>
          </w:tcPr>
          <w:p w14:paraId="3D2A9164"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25187F93"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37E2E080"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275082" w14:paraId="5AFCC89F" w14:textId="77777777" w:rsidTr="0052258C">
        <w:tc>
          <w:tcPr>
            <w:cnfStyle w:val="001000000000" w:firstRow="0" w:lastRow="0" w:firstColumn="1" w:lastColumn="0" w:oddVBand="0" w:evenVBand="0" w:oddHBand="0" w:evenHBand="0" w:firstRowFirstColumn="0" w:firstRowLastColumn="0" w:lastRowFirstColumn="0" w:lastRowLastColumn="0"/>
            <w:tcW w:w="2388" w:type="dxa"/>
          </w:tcPr>
          <w:p w14:paraId="4D6B7209" w14:textId="784AC220" w:rsidR="00275082" w:rsidRDefault="00DA24E7">
            <w:pPr>
              <w:pStyle w:val="BodyText"/>
            </w:pPr>
            <w:hyperlink r:id="rId16" w:history="1">
              <w:r w:rsidRPr="009B3A7A">
                <w:rPr>
                  <w:rStyle w:val="Hyperlink"/>
                </w:rPr>
                <w:t>Aberle v East Gippsland SC [2025] VCAT 36</w:t>
              </w:r>
            </w:hyperlink>
          </w:p>
          <w:p w14:paraId="384359B5" w14:textId="1796224B" w:rsidR="00DA24E7" w:rsidRPr="00B233AF" w:rsidRDefault="00B233AF" w:rsidP="00B233AF">
            <w:pPr>
              <w:pStyle w:val="BodyText"/>
              <w:rPr>
                <w:i/>
                <w:iCs/>
                <w:sz w:val="18"/>
                <w:szCs w:val="18"/>
              </w:rPr>
            </w:pPr>
            <w:r w:rsidRPr="00B233AF">
              <w:rPr>
                <w:i/>
                <w:iCs/>
                <w:sz w:val="18"/>
                <w:szCs w:val="18"/>
              </w:rPr>
              <w:t>Rachel Naylor, Senior Member</w:t>
            </w:r>
          </w:p>
        </w:tc>
        <w:tc>
          <w:tcPr>
            <w:tcW w:w="937" w:type="dxa"/>
          </w:tcPr>
          <w:p w14:paraId="55881972" w14:textId="77777777" w:rsidR="00275082" w:rsidRDefault="00B233AF">
            <w:pPr>
              <w:pStyle w:val="BodyText"/>
              <w:cnfStyle w:val="000000000000" w:firstRow="0" w:lastRow="0" w:firstColumn="0" w:lastColumn="0" w:oddVBand="0" w:evenVBand="0" w:oddHBand="0" w:evenHBand="0" w:firstRowFirstColumn="0" w:firstRowLastColumn="0" w:lastRowFirstColumn="0" w:lastRowLastColumn="0"/>
            </w:pPr>
            <w:r>
              <w:t>RLZ</w:t>
            </w:r>
          </w:p>
          <w:p w14:paraId="42FA4E24" w14:textId="77777777" w:rsidR="00B233AF" w:rsidRDefault="00997E02">
            <w:pPr>
              <w:pStyle w:val="BodyText"/>
              <w:cnfStyle w:val="000000000000" w:firstRow="0" w:lastRow="0" w:firstColumn="0" w:lastColumn="0" w:oddVBand="0" w:evenVBand="0" w:oddHBand="0" w:evenHBand="0" w:firstRowFirstColumn="0" w:firstRowLastColumn="0" w:lastRowFirstColumn="0" w:lastRowLastColumn="0"/>
            </w:pPr>
            <w:r>
              <w:t>BMO</w:t>
            </w:r>
          </w:p>
          <w:p w14:paraId="0AD55018" w14:textId="49877BAD" w:rsidR="00997E02" w:rsidRDefault="00997E02">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346E6C4E" w14:textId="4B73C347" w:rsidR="00275082" w:rsidRDefault="00024836">
            <w:pPr>
              <w:pStyle w:val="BodyText"/>
              <w:cnfStyle w:val="000000000000" w:firstRow="0" w:lastRow="0" w:firstColumn="0" w:lastColumn="0" w:oddVBand="0" w:evenVBand="0" w:oddHBand="0" w:evenHBand="0" w:firstRowFirstColumn="0" w:firstRowLastColumn="0" w:lastRowFirstColumn="0" w:lastRowLastColumn="0"/>
            </w:pPr>
            <w:r w:rsidRPr="008A70A0">
              <w:t xml:space="preserve">Council decision </w:t>
            </w:r>
            <w:r>
              <w:t>set aside</w:t>
            </w:r>
            <w:r w:rsidRPr="008A70A0">
              <w:t xml:space="preserve">, </w:t>
            </w:r>
            <w:r>
              <w:t xml:space="preserve">no </w:t>
            </w:r>
            <w:r w:rsidRPr="008A70A0">
              <w:t>permit granted</w:t>
            </w:r>
          </w:p>
        </w:tc>
        <w:tc>
          <w:tcPr>
            <w:tcW w:w="5527" w:type="dxa"/>
          </w:tcPr>
          <w:p w14:paraId="09943301" w14:textId="77777777" w:rsidR="002C6CB2" w:rsidRDefault="002C6CB2">
            <w:pPr>
              <w:pStyle w:val="BodyText"/>
              <w:cnfStyle w:val="000000000000" w:firstRow="0" w:lastRow="0" w:firstColumn="0" w:lastColumn="0" w:oddVBand="0" w:evenVBand="0" w:oddHBand="0" w:evenHBand="0" w:firstRowFirstColumn="0" w:firstRowLastColumn="0" w:lastRowFirstColumn="0" w:lastRowLastColumn="0"/>
            </w:pPr>
            <w:r w:rsidRPr="002C6CB2">
              <w:t>1</w:t>
            </w:r>
            <w:r w:rsidRPr="002C6CB2">
              <w:tab/>
              <w:t xml:space="preserve">This proceeding concerns an application lodged by an objector to a permit application, </w:t>
            </w:r>
            <w:proofErr w:type="gramStart"/>
            <w:r>
              <w:t>…..</w:t>
            </w:r>
            <w:proofErr w:type="gramEnd"/>
            <w:r w:rsidRPr="002C6CB2">
              <w:t xml:space="preserve">  She seeks a review of the decision by </w:t>
            </w:r>
            <w:r>
              <w:t>….</w:t>
            </w:r>
            <w:r w:rsidRPr="002C6CB2">
              <w:t xml:space="preserve"> (Council) to issue a Notice of Decision to Grant a Permit (NOD) </w:t>
            </w:r>
            <w:r>
              <w:t>….</w:t>
            </w:r>
            <w:r w:rsidRPr="002C6CB2">
              <w:t xml:space="preserve"> (the/this site) allowing ‘use of the land for Horse Husbandry (Agistment for seven horses).  </w:t>
            </w:r>
            <w:r>
              <w:t>….</w:t>
            </w:r>
            <w:r w:rsidRPr="002C6CB2">
              <w:t>.</w:t>
            </w:r>
          </w:p>
          <w:p w14:paraId="0B3DC009" w14:textId="52C6B780" w:rsidR="00275082" w:rsidRDefault="00587922">
            <w:pPr>
              <w:pStyle w:val="BodyText"/>
              <w:cnfStyle w:val="000000000000" w:firstRow="0" w:lastRow="0" w:firstColumn="0" w:lastColumn="0" w:oddVBand="0" w:evenVBand="0" w:oddHBand="0" w:evenHBand="0" w:firstRowFirstColumn="0" w:firstRowLastColumn="0" w:lastRowFirstColumn="0" w:lastRowLastColumn="0"/>
            </w:pPr>
            <w:r w:rsidRPr="00587922">
              <w:t>2</w:t>
            </w:r>
            <w:r w:rsidRPr="00587922">
              <w:tab/>
            </w:r>
            <w:r>
              <w:t>….</w:t>
            </w:r>
            <w:r w:rsidRPr="00587922">
              <w:t xml:space="preserve"> (the Respondent permit applicant) has </w:t>
            </w:r>
            <w:r>
              <w:t>…</w:t>
            </w:r>
            <w:r w:rsidRPr="00587922">
              <w:t xml:space="preserve"> advised of her intention not to proceed with this permit application.  She wishes to withdraw the permit application.  Council acknowledges this and accepts that the appropriate outcome for this proceeding is for the Tribunal to set aside Council’s decision and order that no permit be issued.  </w:t>
            </w:r>
          </w:p>
        </w:tc>
      </w:tr>
      <w:tr w:rsidR="00275082" w14:paraId="5A9B65F9" w14:textId="77777777" w:rsidTr="0052258C">
        <w:tc>
          <w:tcPr>
            <w:cnfStyle w:val="001000000000" w:firstRow="0" w:lastRow="0" w:firstColumn="1" w:lastColumn="0" w:oddVBand="0" w:evenVBand="0" w:oddHBand="0" w:evenHBand="0" w:firstRowFirstColumn="0" w:firstRowLastColumn="0" w:lastRowFirstColumn="0" w:lastRowLastColumn="0"/>
            <w:tcW w:w="2388" w:type="dxa"/>
          </w:tcPr>
          <w:p w14:paraId="29E66C1E" w14:textId="5F25BF48" w:rsidR="00275082" w:rsidRDefault="00B72A56">
            <w:pPr>
              <w:pStyle w:val="BodyText"/>
            </w:pPr>
            <w:hyperlink r:id="rId17" w:history="1">
              <w:r w:rsidRPr="00043F6B">
                <w:rPr>
                  <w:rStyle w:val="Hyperlink"/>
                </w:rPr>
                <w:t xml:space="preserve">Nancarrow v Baw </w:t>
              </w:r>
              <w:proofErr w:type="spellStart"/>
              <w:r w:rsidRPr="00043F6B">
                <w:rPr>
                  <w:rStyle w:val="Hyperlink"/>
                </w:rPr>
                <w:t>Baw</w:t>
              </w:r>
              <w:proofErr w:type="spellEnd"/>
              <w:r w:rsidRPr="00043F6B">
                <w:rPr>
                  <w:rStyle w:val="Hyperlink"/>
                </w:rPr>
                <w:t xml:space="preserve"> SC [2025] VCAT 120</w:t>
              </w:r>
            </w:hyperlink>
          </w:p>
          <w:p w14:paraId="2EA9742C" w14:textId="58E0DDBE" w:rsidR="00B72A56" w:rsidRPr="000D1F16" w:rsidRDefault="000D1F16" w:rsidP="000D1F16">
            <w:pPr>
              <w:pStyle w:val="BodyText"/>
              <w:rPr>
                <w:i/>
                <w:iCs/>
                <w:sz w:val="18"/>
                <w:szCs w:val="18"/>
              </w:rPr>
            </w:pPr>
            <w:r w:rsidRPr="000D1F16">
              <w:rPr>
                <w:i/>
                <w:iCs/>
                <w:sz w:val="18"/>
                <w:szCs w:val="18"/>
              </w:rPr>
              <w:t>Christopher Harty, Member</w:t>
            </w:r>
          </w:p>
        </w:tc>
        <w:tc>
          <w:tcPr>
            <w:tcW w:w="937" w:type="dxa"/>
          </w:tcPr>
          <w:p w14:paraId="525A3F2A" w14:textId="77777777" w:rsidR="00275082" w:rsidRDefault="000D1F16">
            <w:pPr>
              <w:pStyle w:val="BodyText"/>
              <w:cnfStyle w:val="000000000000" w:firstRow="0" w:lastRow="0" w:firstColumn="0" w:lastColumn="0" w:oddVBand="0" w:evenVBand="0" w:oddHBand="0" w:evenHBand="0" w:firstRowFirstColumn="0" w:firstRowLastColumn="0" w:lastRowFirstColumn="0" w:lastRowLastColumn="0"/>
            </w:pPr>
            <w:r>
              <w:t>RAZ</w:t>
            </w:r>
          </w:p>
          <w:p w14:paraId="5B84BF0F" w14:textId="7847A909" w:rsidR="00D568EE" w:rsidRDefault="00D568EE">
            <w:pPr>
              <w:pStyle w:val="BodyText"/>
              <w:cnfStyle w:val="000000000000" w:firstRow="0" w:lastRow="0" w:firstColumn="0" w:lastColumn="0" w:oddVBand="0" w:evenVBand="0" w:oddHBand="0" w:evenHBand="0" w:firstRowFirstColumn="0" w:firstRowLastColumn="0" w:lastRowFirstColumn="0" w:lastRowLastColumn="0"/>
            </w:pPr>
            <w:r>
              <w:t>BMO</w:t>
            </w:r>
          </w:p>
          <w:p w14:paraId="7FDBD664" w14:textId="457669EE" w:rsidR="00D568EE" w:rsidRDefault="00D568EE">
            <w:pPr>
              <w:pStyle w:val="BodyText"/>
              <w:cnfStyle w:val="000000000000" w:firstRow="0" w:lastRow="0" w:firstColumn="0" w:lastColumn="0" w:oddVBand="0" w:evenVBand="0" w:oddHBand="0" w:evenHBand="0" w:firstRowFirstColumn="0" w:firstRowLastColumn="0" w:lastRowFirstColumn="0" w:lastRowLastColumn="0"/>
            </w:pPr>
            <w:r>
              <w:t>DCPO</w:t>
            </w:r>
          </w:p>
          <w:p w14:paraId="35DA91DA" w14:textId="569F4554" w:rsidR="000D1F16" w:rsidRDefault="000D1F16">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1D1A382E" w14:textId="6499BD52" w:rsidR="00275082" w:rsidRDefault="000D1F16">
            <w:pPr>
              <w:pStyle w:val="BodyText"/>
              <w:cnfStyle w:val="000000000000" w:firstRow="0" w:lastRow="0" w:firstColumn="0" w:lastColumn="0" w:oddVBand="0" w:evenVBand="0" w:oddHBand="0" w:evenHBand="0" w:firstRowFirstColumn="0" w:firstRowLastColumn="0" w:lastRowFirstColumn="0" w:lastRowLastColumn="0"/>
            </w:pPr>
            <w:r>
              <w:t>Council decision varied, permit granted</w:t>
            </w:r>
          </w:p>
        </w:tc>
        <w:tc>
          <w:tcPr>
            <w:tcW w:w="5527" w:type="dxa"/>
          </w:tcPr>
          <w:p w14:paraId="04008A74" w14:textId="77777777" w:rsidR="00275082" w:rsidRDefault="00043F6B">
            <w:pPr>
              <w:pStyle w:val="BodyText"/>
              <w:cnfStyle w:val="000000000000" w:firstRow="0" w:lastRow="0" w:firstColumn="0" w:lastColumn="0" w:oddVBand="0" w:evenVBand="0" w:oddHBand="0" w:evenHBand="0" w:firstRowFirstColumn="0" w:firstRowLastColumn="0" w:lastRowFirstColumn="0" w:lastRowLastColumn="0"/>
            </w:pPr>
            <w:r w:rsidRPr="00043F6B">
              <w:t>The use and development for domestic animal boarding for a maximum of 30 dogs.</w:t>
            </w:r>
          </w:p>
          <w:p w14:paraId="4F88C4A0" w14:textId="18C7088C" w:rsidR="00043F6B" w:rsidRDefault="00905B0C" w:rsidP="00905B0C">
            <w:pPr>
              <w:pStyle w:val="BodyText"/>
              <w:cnfStyle w:val="000000000000" w:firstRow="0" w:lastRow="0" w:firstColumn="0" w:lastColumn="0" w:oddVBand="0" w:evenVBand="0" w:oddHBand="0" w:evenHBand="0" w:firstRowFirstColumn="0" w:firstRowLastColumn="0" w:lastRowFirstColumn="0" w:lastRowLastColumn="0"/>
            </w:pPr>
            <w:r>
              <w:t>4</w:t>
            </w:r>
            <w:r>
              <w:tab/>
            </w:r>
            <w:r w:rsidR="008870B4">
              <w:t>…</w:t>
            </w:r>
            <w:r>
              <w:t xml:space="preserve"> </w:t>
            </w:r>
            <w:r w:rsidR="00E730D3">
              <w:t>(The objectors)</w:t>
            </w:r>
            <w:r>
              <w:t xml:space="preserve"> consider the proposed use and development </w:t>
            </w:r>
            <w:r w:rsidR="008870B4">
              <w:t>…</w:t>
            </w:r>
            <w:r>
              <w:t xml:space="preserve">will result in detrimental impacts on their rural amenity by way of noise from dogs barking.  </w:t>
            </w:r>
          </w:p>
          <w:p w14:paraId="7BCCEB1D" w14:textId="77777777" w:rsidR="00914DC5" w:rsidRDefault="00914DC5" w:rsidP="00905B0C">
            <w:pPr>
              <w:pStyle w:val="BodyText"/>
              <w:cnfStyle w:val="000000000000" w:firstRow="0" w:lastRow="0" w:firstColumn="0" w:lastColumn="0" w:oddVBand="0" w:evenVBand="0" w:oddHBand="0" w:evenHBand="0" w:firstRowFirstColumn="0" w:firstRowLastColumn="0" w:lastRowFirstColumn="0" w:lastRowLastColumn="0"/>
            </w:pPr>
            <w:r w:rsidRPr="00914DC5">
              <w:t>5</w:t>
            </w:r>
            <w:r w:rsidRPr="00914DC5">
              <w:tab/>
              <w:t xml:space="preserve">They are also concerned about wastes entering nearby waterways, impacts on the serenity and biodiversity values </w:t>
            </w:r>
            <w:r w:rsidR="00DA1005">
              <w:t>…</w:t>
            </w:r>
            <w:r w:rsidRPr="00914DC5">
              <w:t xml:space="preserve"> and </w:t>
            </w:r>
            <w:r w:rsidR="00DA1005">
              <w:t>…</w:t>
            </w:r>
            <w:r w:rsidRPr="00914DC5">
              <w:t xml:space="preserve"> concerns over traffic safety associated with Mill Road which is a narrow gravel road.</w:t>
            </w:r>
          </w:p>
          <w:p w14:paraId="113217F0" w14:textId="4096FEE0" w:rsidR="009905FF" w:rsidRDefault="009905FF" w:rsidP="009905FF">
            <w:pPr>
              <w:pStyle w:val="BodyText"/>
              <w:cnfStyle w:val="000000000000" w:firstRow="0" w:lastRow="0" w:firstColumn="0" w:lastColumn="0" w:oddVBand="0" w:evenVBand="0" w:oddHBand="0" w:evenHBand="0" w:firstRowFirstColumn="0" w:firstRowLastColumn="0" w:lastRowFirstColumn="0" w:lastRowLastColumn="0"/>
            </w:pPr>
            <w:r>
              <w:t>33</w:t>
            </w:r>
            <w:r>
              <w:tab/>
              <w:t>I find that, generally, the proposal enjoys policy support for the use and development within the RAZ and in a rural area.  ….</w:t>
            </w:r>
          </w:p>
          <w:p w14:paraId="5C6CF940" w14:textId="77777777" w:rsidR="009905FF" w:rsidRDefault="009905FF" w:rsidP="009905FF">
            <w:pPr>
              <w:pStyle w:val="BodyText"/>
              <w:cnfStyle w:val="000000000000" w:firstRow="0" w:lastRow="0" w:firstColumn="0" w:lastColumn="0" w:oddVBand="0" w:evenVBand="0" w:oddHBand="0" w:evenHBand="0" w:firstRowFirstColumn="0" w:firstRowLastColumn="0" w:lastRowFirstColumn="0" w:lastRowLastColumn="0"/>
            </w:pPr>
            <w:r>
              <w:t>35</w:t>
            </w:r>
            <w:r>
              <w:tab/>
              <w:t xml:space="preserve">I also consider the proposal would not harm the ability to farm surrounding land and hence, not have detrimental effects on agricultural activity.   </w:t>
            </w:r>
          </w:p>
          <w:p w14:paraId="3239CFC1" w14:textId="77777777" w:rsidR="00DA1005" w:rsidRDefault="00EE6A4D" w:rsidP="009905FF">
            <w:pPr>
              <w:pStyle w:val="BodyText"/>
              <w:cnfStyle w:val="000000000000" w:firstRow="0" w:lastRow="0" w:firstColumn="0" w:lastColumn="0" w:oddVBand="0" w:evenVBand="0" w:oddHBand="0" w:evenHBand="0" w:firstRowFirstColumn="0" w:firstRowLastColumn="0" w:lastRowFirstColumn="0" w:lastRowLastColumn="0"/>
            </w:pPr>
            <w:r w:rsidRPr="00EE6A4D">
              <w:t>54</w:t>
            </w:r>
            <w:r w:rsidRPr="00EE6A4D">
              <w:tab/>
              <w:t>The acoustic assessment identified that if all dogs are housed within their respective kennels between the hours of 10.00pm and 7.00am, the proposal would be compliant with the noise criteria established under the Noise Protocol</w:t>
            </w:r>
            <w:r>
              <w:t>….</w:t>
            </w:r>
          </w:p>
          <w:p w14:paraId="26AD38EE" w14:textId="77777777" w:rsidR="00B8090E" w:rsidRDefault="00B8090E" w:rsidP="009905FF">
            <w:pPr>
              <w:pStyle w:val="BodyText"/>
              <w:cnfStyle w:val="000000000000" w:firstRow="0" w:lastRow="0" w:firstColumn="0" w:lastColumn="0" w:oddVBand="0" w:evenVBand="0" w:oddHBand="0" w:evenHBand="0" w:firstRowFirstColumn="0" w:firstRowLastColumn="0" w:lastRowFirstColumn="0" w:lastRowLastColumn="0"/>
            </w:pPr>
            <w:r w:rsidRPr="00B8090E">
              <w:t>60</w:t>
            </w:r>
            <w:r w:rsidRPr="00B8090E">
              <w:tab/>
              <w:t>The combination of the buffering provided by the existing shed, the cutting into the hill of the kennels and lowering of their built form from view of the Crossover Regional Park and by effectively shielding the visual presence of the dogs from the Crossover Regional Park, I consider the effects on wildlife to not be significant.</w:t>
            </w:r>
          </w:p>
          <w:p w14:paraId="4A78A5D8" w14:textId="77777777" w:rsidR="00417945" w:rsidRDefault="00301CF7" w:rsidP="009905FF">
            <w:pPr>
              <w:pStyle w:val="BodyText"/>
              <w:cnfStyle w:val="000000000000" w:firstRow="0" w:lastRow="0" w:firstColumn="0" w:lastColumn="0" w:oddVBand="0" w:evenVBand="0" w:oddHBand="0" w:evenHBand="0" w:firstRowFirstColumn="0" w:firstRowLastColumn="0" w:lastRowFirstColumn="0" w:lastRowLastColumn="0"/>
            </w:pPr>
            <w:r w:rsidRPr="00301CF7">
              <w:t>89</w:t>
            </w:r>
            <w:r w:rsidRPr="00301CF7">
              <w:tab/>
              <w:t xml:space="preserve">Overall, I consider the risk from wastes, erosion and the steep slopes of the site are minor and capable of appropriate management.  </w:t>
            </w:r>
          </w:p>
          <w:p w14:paraId="11EA0A57" w14:textId="61B2A33F" w:rsidR="00301CF7" w:rsidRDefault="00643B57" w:rsidP="009905FF">
            <w:pPr>
              <w:pStyle w:val="BodyText"/>
              <w:cnfStyle w:val="000000000000" w:firstRow="0" w:lastRow="0" w:firstColumn="0" w:lastColumn="0" w:oddVBand="0" w:evenVBand="0" w:oddHBand="0" w:evenHBand="0" w:firstRowFirstColumn="0" w:firstRowLastColumn="0" w:lastRowFirstColumn="0" w:lastRowLastColumn="0"/>
            </w:pPr>
            <w:r w:rsidRPr="00643B57">
              <w:t>101</w:t>
            </w:r>
            <w:r w:rsidRPr="00643B57">
              <w:tab/>
            </w:r>
            <w:proofErr w:type="gramStart"/>
            <w:r>
              <w:t>….</w:t>
            </w:r>
            <w:r w:rsidRPr="00643B57">
              <w:t>.</w:t>
            </w:r>
            <w:proofErr w:type="gramEnd"/>
            <w:r w:rsidRPr="00643B57">
              <w:t xml:space="preserve">  I considered the narrow nature of Mill Road will aid in traffic safety as it will force vehicle movements along Mill Road to travel at slow speeds.  </w:t>
            </w:r>
            <w:r w:rsidR="00FD4A64">
              <w:t>…..</w:t>
            </w:r>
            <w:r w:rsidRPr="00643B57">
              <w:t xml:space="preserve"> together with the relatively low expected numbers of trips and sporadic nature of use, should not have the effect of impairing traffic safety.</w:t>
            </w:r>
          </w:p>
        </w:tc>
      </w:tr>
    </w:tbl>
    <w:p w14:paraId="44470993" w14:textId="77777777" w:rsidR="00275082" w:rsidRDefault="00275082" w:rsidP="00275082">
      <w:pPr>
        <w:pStyle w:val="BodyText"/>
      </w:pPr>
    </w:p>
    <w:p w14:paraId="7447293C" w14:textId="61EC3FBC" w:rsidR="00275082" w:rsidRDefault="00275082" w:rsidP="00275082">
      <w:pPr>
        <w:pStyle w:val="Heading2"/>
      </w:pPr>
      <w:r>
        <w:lastRenderedPageBreak/>
        <w:t xml:space="preserve">Other </w:t>
      </w:r>
    </w:p>
    <w:tbl>
      <w:tblPr>
        <w:tblStyle w:val="TableGrid"/>
        <w:tblW w:w="10205" w:type="dxa"/>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2386"/>
        <w:gridCol w:w="937"/>
        <w:gridCol w:w="1360"/>
        <w:gridCol w:w="5522"/>
      </w:tblGrid>
      <w:tr w:rsidR="00275082" w14:paraId="5606F911" w14:textId="77777777" w:rsidTr="005225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dxa"/>
          </w:tcPr>
          <w:p w14:paraId="6905E505" w14:textId="77777777" w:rsidR="00275082" w:rsidRPr="00D641D4" w:rsidRDefault="00275082">
            <w:pPr>
              <w:pStyle w:val="BodyText"/>
              <w:rPr>
                <w:sz w:val="18"/>
                <w:szCs w:val="18"/>
              </w:rPr>
            </w:pPr>
            <w:r w:rsidRPr="00D641D4">
              <w:rPr>
                <w:sz w:val="18"/>
                <w:szCs w:val="18"/>
              </w:rPr>
              <w:t>Citation</w:t>
            </w:r>
          </w:p>
        </w:tc>
        <w:tc>
          <w:tcPr>
            <w:tcW w:w="937" w:type="dxa"/>
          </w:tcPr>
          <w:p w14:paraId="222FE555"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60" w:type="dxa"/>
          </w:tcPr>
          <w:p w14:paraId="227DB2AA"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2" w:type="dxa"/>
          </w:tcPr>
          <w:p w14:paraId="4B3BF3DB"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275082" w14:paraId="6EAE881B" w14:textId="77777777" w:rsidTr="0052258C">
        <w:tc>
          <w:tcPr>
            <w:cnfStyle w:val="001000000000" w:firstRow="0" w:lastRow="0" w:firstColumn="1" w:lastColumn="0" w:oddVBand="0" w:evenVBand="0" w:oddHBand="0" w:evenHBand="0" w:firstRowFirstColumn="0" w:firstRowLastColumn="0" w:lastRowFirstColumn="0" w:lastRowLastColumn="0"/>
            <w:tcW w:w="2386" w:type="dxa"/>
          </w:tcPr>
          <w:p w14:paraId="2546DE50" w14:textId="3EE97EBB" w:rsidR="000D53E8" w:rsidRDefault="000C7EA2" w:rsidP="000D53E8">
            <w:pPr>
              <w:pStyle w:val="BodyText"/>
            </w:pPr>
            <w:hyperlink r:id="rId18" w:history="1">
              <w:r w:rsidRPr="00C5727D">
                <w:rPr>
                  <w:rStyle w:val="Hyperlink"/>
                </w:rPr>
                <w:t>Lapilli La Mt Buninyong Pty Ltd v Ballarat CC [2025] VCAT 47</w:t>
              </w:r>
            </w:hyperlink>
          </w:p>
          <w:p w14:paraId="05BA83F8" w14:textId="46EDA104" w:rsidR="000D53E8" w:rsidRPr="000C7EA2" w:rsidRDefault="000D53E8" w:rsidP="000D53E8">
            <w:pPr>
              <w:pStyle w:val="BodyText"/>
              <w:rPr>
                <w:i/>
                <w:iCs/>
                <w:sz w:val="18"/>
                <w:szCs w:val="18"/>
              </w:rPr>
            </w:pPr>
            <w:r w:rsidRPr="000C7EA2">
              <w:rPr>
                <w:i/>
                <w:iCs/>
                <w:sz w:val="18"/>
                <w:szCs w:val="18"/>
              </w:rPr>
              <w:t>Geoffrey Code, Senior Member</w:t>
            </w:r>
            <w:r w:rsidRPr="000C7EA2">
              <w:rPr>
                <w:i/>
                <w:iCs/>
                <w:sz w:val="18"/>
                <w:szCs w:val="18"/>
              </w:rPr>
              <w:tab/>
            </w:r>
          </w:p>
          <w:p w14:paraId="648DD937" w14:textId="5F656E20" w:rsidR="00275082" w:rsidRDefault="000D53E8" w:rsidP="000D53E8">
            <w:pPr>
              <w:pStyle w:val="BodyText"/>
            </w:pPr>
            <w:r w:rsidRPr="000C7EA2">
              <w:rPr>
                <w:i/>
                <w:iCs/>
                <w:sz w:val="18"/>
                <w:szCs w:val="18"/>
              </w:rPr>
              <w:t xml:space="preserve">Peter </w:t>
            </w:r>
            <w:proofErr w:type="spellStart"/>
            <w:r w:rsidRPr="000C7EA2">
              <w:rPr>
                <w:i/>
                <w:iCs/>
                <w:sz w:val="18"/>
                <w:szCs w:val="18"/>
              </w:rPr>
              <w:t>Gaschk</w:t>
            </w:r>
            <w:proofErr w:type="spellEnd"/>
            <w:r w:rsidRPr="000C7EA2">
              <w:rPr>
                <w:i/>
                <w:iCs/>
                <w:sz w:val="18"/>
                <w:szCs w:val="18"/>
              </w:rPr>
              <w:t>, Member</w:t>
            </w:r>
          </w:p>
        </w:tc>
        <w:tc>
          <w:tcPr>
            <w:tcW w:w="937" w:type="dxa"/>
          </w:tcPr>
          <w:p w14:paraId="754A18D5" w14:textId="77777777" w:rsidR="00275082" w:rsidRDefault="000C7EA2">
            <w:pPr>
              <w:pStyle w:val="BodyText"/>
              <w:cnfStyle w:val="000000000000" w:firstRow="0" w:lastRow="0" w:firstColumn="0" w:lastColumn="0" w:oddVBand="0" w:evenVBand="0" w:oddHBand="0" w:evenHBand="0" w:firstRowFirstColumn="0" w:firstRowLastColumn="0" w:lastRowFirstColumn="0" w:lastRowLastColumn="0"/>
            </w:pPr>
            <w:r>
              <w:t>RLZ</w:t>
            </w:r>
          </w:p>
          <w:p w14:paraId="6EA2705D" w14:textId="77777777" w:rsidR="00B44648" w:rsidRDefault="00B44648" w:rsidP="00B44648">
            <w:pPr>
              <w:pStyle w:val="BodyText"/>
              <w:cnfStyle w:val="000000000000" w:firstRow="0" w:lastRow="0" w:firstColumn="0" w:lastColumn="0" w:oddVBand="0" w:evenVBand="0" w:oddHBand="0" w:evenHBand="0" w:firstRowFirstColumn="0" w:firstRowLastColumn="0" w:lastRowFirstColumn="0" w:lastRowLastColumn="0"/>
            </w:pPr>
            <w:r>
              <w:t>VPO1</w:t>
            </w:r>
          </w:p>
          <w:p w14:paraId="68BDA0A9" w14:textId="77777777" w:rsidR="00B44648" w:rsidRDefault="00B44648" w:rsidP="00B44648">
            <w:pPr>
              <w:pStyle w:val="BodyText"/>
              <w:cnfStyle w:val="000000000000" w:firstRow="0" w:lastRow="0" w:firstColumn="0" w:lastColumn="0" w:oddVBand="0" w:evenVBand="0" w:oddHBand="0" w:evenHBand="0" w:firstRowFirstColumn="0" w:firstRowLastColumn="0" w:lastRowFirstColumn="0" w:lastRowLastColumn="0"/>
            </w:pPr>
            <w:r>
              <w:t>ESO5</w:t>
            </w:r>
          </w:p>
          <w:p w14:paraId="29DA6FB8" w14:textId="4DC95D6B" w:rsidR="00B44648" w:rsidRDefault="00B44648" w:rsidP="00B44648">
            <w:pPr>
              <w:pStyle w:val="BodyText"/>
              <w:cnfStyle w:val="000000000000" w:firstRow="0" w:lastRow="0" w:firstColumn="0" w:lastColumn="0" w:oddVBand="0" w:evenVBand="0" w:oddHBand="0" w:evenHBand="0" w:firstRowFirstColumn="0" w:firstRowLastColumn="0" w:lastRowFirstColumn="0" w:lastRowLastColumn="0"/>
            </w:pPr>
            <w:r>
              <w:t>BMO</w:t>
            </w:r>
          </w:p>
          <w:p w14:paraId="30D2FD3B" w14:textId="4C588F04" w:rsidR="000C7EA2" w:rsidRDefault="000C7EA2">
            <w:pPr>
              <w:pStyle w:val="BodyText"/>
              <w:cnfStyle w:val="000000000000" w:firstRow="0" w:lastRow="0" w:firstColumn="0" w:lastColumn="0" w:oddVBand="0" w:evenVBand="0" w:oddHBand="0" w:evenHBand="0" w:firstRowFirstColumn="0" w:firstRowLastColumn="0" w:lastRowFirstColumn="0" w:lastRowLastColumn="0"/>
            </w:pPr>
          </w:p>
        </w:tc>
        <w:tc>
          <w:tcPr>
            <w:tcW w:w="1360" w:type="dxa"/>
          </w:tcPr>
          <w:p w14:paraId="294989A4" w14:textId="41CD1ACA" w:rsidR="00275082" w:rsidRDefault="00B44648">
            <w:pPr>
              <w:pStyle w:val="BodyText"/>
              <w:cnfStyle w:val="000000000000" w:firstRow="0" w:lastRow="0" w:firstColumn="0" w:lastColumn="0" w:oddVBand="0" w:evenVBand="0" w:oddHBand="0" w:evenHBand="0" w:firstRowFirstColumn="0" w:firstRowLastColumn="0" w:lastRowFirstColumn="0" w:lastRowLastColumn="0"/>
            </w:pPr>
            <w:r w:rsidRPr="00B44648">
              <w:t>Council decision set aside, permit granted</w:t>
            </w:r>
          </w:p>
        </w:tc>
        <w:tc>
          <w:tcPr>
            <w:tcW w:w="5522" w:type="dxa"/>
          </w:tcPr>
          <w:p w14:paraId="05321DD1" w14:textId="0C6D8BD1" w:rsidR="00275082" w:rsidRDefault="00944A3D">
            <w:pPr>
              <w:pStyle w:val="BodyText"/>
              <w:cnfStyle w:val="000000000000" w:firstRow="0" w:lastRow="0" w:firstColumn="0" w:lastColumn="0" w:oddVBand="0" w:evenVBand="0" w:oddHBand="0" w:evenHBand="0" w:firstRowFirstColumn="0" w:firstRowLastColumn="0" w:lastRowFirstColumn="0" w:lastRowLastColumn="0"/>
            </w:pPr>
            <w:r w:rsidRPr="00944A3D">
              <w:t xml:space="preserve">Group accommodation - comprising eight single-storey, </w:t>
            </w:r>
            <w:proofErr w:type="gramStart"/>
            <w:r w:rsidRPr="00944A3D">
              <w:t>one bedroom</w:t>
            </w:r>
            <w:proofErr w:type="gramEnd"/>
            <w:r w:rsidRPr="00944A3D">
              <w:t xml:space="preserve"> dwellings</w:t>
            </w:r>
          </w:p>
        </w:tc>
      </w:tr>
      <w:tr w:rsidR="00275082" w14:paraId="3B961AB3" w14:textId="77777777" w:rsidTr="0052258C">
        <w:tc>
          <w:tcPr>
            <w:cnfStyle w:val="001000000000" w:firstRow="0" w:lastRow="0" w:firstColumn="1" w:lastColumn="0" w:oddVBand="0" w:evenVBand="0" w:oddHBand="0" w:evenHBand="0" w:firstRowFirstColumn="0" w:firstRowLastColumn="0" w:lastRowFirstColumn="0" w:lastRowLastColumn="0"/>
            <w:tcW w:w="2386" w:type="dxa"/>
          </w:tcPr>
          <w:p w14:paraId="7E9D23B4" w14:textId="063CD05D" w:rsidR="00275082" w:rsidRDefault="009C0EA6">
            <w:pPr>
              <w:pStyle w:val="BodyText"/>
            </w:pPr>
            <w:hyperlink r:id="rId19" w:history="1">
              <w:r w:rsidRPr="003A0D1E">
                <w:rPr>
                  <w:rStyle w:val="Hyperlink"/>
                </w:rPr>
                <w:t>Redland Fruit Pty Ltd v Swan Hill RCC [2025] VCAT 127</w:t>
              </w:r>
            </w:hyperlink>
          </w:p>
          <w:p w14:paraId="38A861F4" w14:textId="2B001A25" w:rsidR="009C0EA6" w:rsidRPr="003A0D1E" w:rsidRDefault="003A0D1E" w:rsidP="003A0D1E">
            <w:pPr>
              <w:pStyle w:val="BodyText"/>
              <w:rPr>
                <w:i/>
                <w:iCs/>
                <w:sz w:val="18"/>
                <w:szCs w:val="18"/>
              </w:rPr>
            </w:pPr>
            <w:r w:rsidRPr="003A0D1E">
              <w:rPr>
                <w:i/>
                <w:iCs/>
                <w:sz w:val="18"/>
                <w:szCs w:val="18"/>
              </w:rPr>
              <w:t>Geoffrey Code, Senior Member</w:t>
            </w:r>
          </w:p>
        </w:tc>
        <w:tc>
          <w:tcPr>
            <w:tcW w:w="937" w:type="dxa"/>
          </w:tcPr>
          <w:p w14:paraId="01EB5CD6" w14:textId="77777777" w:rsidR="00275082" w:rsidRDefault="003A0D1E">
            <w:pPr>
              <w:pStyle w:val="BodyText"/>
              <w:cnfStyle w:val="000000000000" w:firstRow="0" w:lastRow="0" w:firstColumn="0" w:lastColumn="0" w:oddVBand="0" w:evenVBand="0" w:oddHBand="0" w:evenHBand="0" w:firstRowFirstColumn="0" w:firstRowLastColumn="0" w:lastRowFirstColumn="0" w:lastRowLastColumn="0"/>
            </w:pPr>
            <w:r>
              <w:t>FZ</w:t>
            </w:r>
          </w:p>
          <w:p w14:paraId="2EC2A815" w14:textId="1DE43FD1" w:rsidR="003A0D1E" w:rsidRDefault="003A0D1E">
            <w:pPr>
              <w:pStyle w:val="BodyText"/>
              <w:cnfStyle w:val="000000000000" w:firstRow="0" w:lastRow="0" w:firstColumn="0" w:lastColumn="0" w:oddVBand="0" w:evenVBand="0" w:oddHBand="0" w:evenHBand="0" w:firstRowFirstColumn="0" w:firstRowLastColumn="0" w:lastRowFirstColumn="0" w:lastRowLastColumn="0"/>
            </w:pPr>
            <w:r>
              <w:t>SCO1</w:t>
            </w:r>
          </w:p>
        </w:tc>
        <w:tc>
          <w:tcPr>
            <w:tcW w:w="1360" w:type="dxa"/>
          </w:tcPr>
          <w:p w14:paraId="7CB6EA51" w14:textId="0D03BB8A" w:rsidR="00275082" w:rsidRDefault="00742EB9">
            <w:pPr>
              <w:pStyle w:val="BodyText"/>
              <w:cnfStyle w:val="000000000000" w:firstRow="0" w:lastRow="0" w:firstColumn="0" w:lastColumn="0" w:oddVBand="0" w:evenVBand="0" w:oddHBand="0" w:evenHBand="0" w:firstRowFirstColumn="0" w:firstRowLastColumn="0" w:lastRowFirstColumn="0" w:lastRowLastColumn="0"/>
            </w:pPr>
            <w:r>
              <w:t xml:space="preserve">Council decision affirmed, certificate of compliance </w:t>
            </w:r>
            <w:r w:rsidR="004B4720">
              <w:t>refused</w:t>
            </w:r>
          </w:p>
        </w:tc>
        <w:tc>
          <w:tcPr>
            <w:tcW w:w="5522" w:type="dxa"/>
          </w:tcPr>
          <w:p w14:paraId="2B2D5550" w14:textId="696C4BF4" w:rsidR="00275082" w:rsidRDefault="00B91607">
            <w:pPr>
              <w:pStyle w:val="BodyText"/>
              <w:cnfStyle w:val="000000000000" w:firstRow="0" w:lastRow="0" w:firstColumn="0" w:lastColumn="0" w:oddVBand="0" w:evenVBand="0" w:oddHBand="0" w:evenHBand="0" w:firstRowFirstColumn="0" w:firstRowLastColumn="0" w:lastRowFirstColumn="0" w:lastRowLastColumn="0"/>
            </w:pPr>
            <w:r>
              <w:t>Rural Workers accommodation</w:t>
            </w:r>
          </w:p>
          <w:p w14:paraId="680D6EFA" w14:textId="2A11EB3F" w:rsidR="00B91607" w:rsidRDefault="00B91607">
            <w:pPr>
              <w:pStyle w:val="BodyText"/>
              <w:cnfStyle w:val="000000000000" w:firstRow="0" w:lastRow="0" w:firstColumn="0" w:lastColumn="0" w:oddVBand="0" w:evenVBand="0" w:oddHBand="0" w:evenHBand="0" w:firstRowFirstColumn="0" w:firstRowLastColumn="0" w:lastRowFirstColumn="0" w:lastRowLastColumn="0"/>
            </w:pPr>
            <w:r>
              <w:t>This case is related to a previous case</w:t>
            </w:r>
            <w:r w:rsidR="008F60E2">
              <w:t xml:space="preserve"> </w:t>
            </w:r>
            <w:hyperlink r:id="rId20" w:history="1">
              <w:r w:rsidR="008F60E2" w:rsidRPr="00F55F85">
                <w:rPr>
                  <w:rStyle w:val="Hyperlink"/>
                </w:rPr>
                <w:t>Redland Fruit Pty Ltd v Swan Hill Rural CC [2023] VCAT 601</w:t>
              </w:r>
            </w:hyperlink>
            <w:r w:rsidR="004B4720">
              <w:t xml:space="preserve"> </w:t>
            </w:r>
            <w:r>
              <w:t xml:space="preserve">where VCAT deemed the workers accommodation as </w:t>
            </w:r>
            <w:r w:rsidR="00F8262B">
              <w:t>ancillary to the horticultural use</w:t>
            </w:r>
            <w:r w:rsidR="00E8371D">
              <w:t>, which we featured in the first edition of the VCAT upda</w:t>
            </w:r>
            <w:r w:rsidR="007D15A0">
              <w:t>te</w:t>
            </w:r>
            <w:r w:rsidR="00A27DCC">
              <w:t xml:space="preserve"> (July 2023).</w:t>
            </w:r>
          </w:p>
          <w:p w14:paraId="10482A94" w14:textId="0E7912BC" w:rsidR="00A27DCC" w:rsidRDefault="00A27DCC">
            <w:pPr>
              <w:pStyle w:val="BodyText"/>
              <w:cnfStyle w:val="000000000000" w:firstRow="0" w:lastRow="0" w:firstColumn="0" w:lastColumn="0" w:oddVBand="0" w:evenVBand="0" w:oddHBand="0" w:evenHBand="0" w:firstRowFirstColumn="0" w:firstRowLastColumn="0" w:lastRowFirstColumn="0" w:lastRowLastColumn="0"/>
            </w:pPr>
            <w:r>
              <w:t xml:space="preserve">As a result, we have also </w:t>
            </w:r>
            <w:r w:rsidR="00FA50E9">
              <w:t>looked at this decision as “a closer look” below</w:t>
            </w:r>
          </w:p>
        </w:tc>
      </w:tr>
      <w:tr w:rsidR="00275082" w14:paraId="3DD65212" w14:textId="77777777" w:rsidTr="0052258C">
        <w:tc>
          <w:tcPr>
            <w:cnfStyle w:val="001000000000" w:firstRow="0" w:lastRow="0" w:firstColumn="1" w:lastColumn="0" w:oddVBand="0" w:evenVBand="0" w:oddHBand="0" w:evenHBand="0" w:firstRowFirstColumn="0" w:firstRowLastColumn="0" w:lastRowFirstColumn="0" w:lastRowLastColumn="0"/>
            <w:tcW w:w="2386" w:type="dxa"/>
          </w:tcPr>
          <w:p w14:paraId="75174322" w14:textId="5008012A" w:rsidR="00275082" w:rsidRDefault="00746A73">
            <w:pPr>
              <w:pStyle w:val="BodyText"/>
            </w:pPr>
            <w:hyperlink r:id="rId21" w:history="1">
              <w:r w:rsidRPr="005A6F2F">
                <w:rPr>
                  <w:rStyle w:val="Hyperlink"/>
                </w:rPr>
                <w:t>Mckenzie v Yarra Ranges SC [2025] VCAT 170</w:t>
              </w:r>
            </w:hyperlink>
          </w:p>
          <w:p w14:paraId="088B21F1" w14:textId="1626C8DE" w:rsidR="00746A73" w:rsidRPr="00433158" w:rsidRDefault="00433158" w:rsidP="00433158">
            <w:pPr>
              <w:pStyle w:val="BodyText"/>
              <w:rPr>
                <w:i/>
                <w:iCs/>
                <w:sz w:val="18"/>
                <w:szCs w:val="18"/>
              </w:rPr>
            </w:pPr>
            <w:r w:rsidRPr="00433158">
              <w:rPr>
                <w:i/>
                <w:iCs/>
                <w:sz w:val="18"/>
                <w:szCs w:val="18"/>
              </w:rPr>
              <w:t>Sarah McDonald, Member</w:t>
            </w:r>
          </w:p>
        </w:tc>
        <w:tc>
          <w:tcPr>
            <w:tcW w:w="937" w:type="dxa"/>
          </w:tcPr>
          <w:p w14:paraId="2DFF4F8B" w14:textId="77777777" w:rsidR="00275082" w:rsidRDefault="00467E8E">
            <w:pPr>
              <w:pStyle w:val="BodyText"/>
              <w:cnfStyle w:val="000000000000" w:firstRow="0" w:lastRow="0" w:firstColumn="0" w:lastColumn="0" w:oddVBand="0" w:evenVBand="0" w:oddHBand="0" w:evenHBand="0" w:firstRowFirstColumn="0" w:firstRowLastColumn="0" w:lastRowFirstColumn="0" w:lastRowLastColumn="0"/>
            </w:pPr>
            <w:r>
              <w:t>GWAZ</w:t>
            </w:r>
          </w:p>
          <w:p w14:paraId="5CA1D704" w14:textId="02E8D648" w:rsidR="00467E8E" w:rsidRDefault="00467E8E">
            <w:pPr>
              <w:pStyle w:val="BodyText"/>
              <w:cnfStyle w:val="000000000000" w:firstRow="0" w:lastRow="0" w:firstColumn="0" w:lastColumn="0" w:oddVBand="0" w:evenVBand="0" w:oddHBand="0" w:evenHBand="0" w:firstRowFirstColumn="0" w:firstRowLastColumn="0" w:lastRowFirstColumn="0" w:lastRowLastColumn="0"/>
            </w:pPr>
            <w:r>
              <w:t>SLO6</w:t>
            </w:r>
          </w:p>
        </w:tc>
        <w:tc>
          <w:tcPr>
            <w:tcW w:w="1360" w:type="dxa"/>
          </w:tcPr>
          <w:p w14:paraId="47C2A4B2" w14:textId="046082FA" w:rsidR="00275082" w:rsidRDefault="005A6F2F">
            <w:pPr>
              <w:pStyle w:val="BodyText"/>
              <w:cnfStyle w:val="000000000000" w:firstRow="0" w:lastRow="0" w:firstColumn="0" w:lastColumn="0" w:oddVBand="0" w:evenVBand="0" w:oddHBand="0" w:evenHBand="0" w:firstRowFirstColumn="0" w:firstRowLastColumn="0" w:lastRowFirstColumn="0" w:lastRowLastColumn="0"/>
            </w:pPr>
            <w:r w:rsidRPr="005A6F2F">
              <w:t xml:space="preserve">Council decision </w:t>
            </w:r>
            <w:r>
              <w:t>upheld</w:t>
            </w:r>
            <w:r w:rsidRPr="005A6F2F">
              <w:t>,</w:t>
            </w:r>
            <w:r>
              <w:t xml:space="preserve"> no</w:t>
            </w:r>
            <w:r w:rsidRPr="005A6F2F">
              <w:t xml:space="preserve"> permit granted</w:t>
            </w:r>
          </w:p>
        </w:tc>
        <w:tc>
          <w:tcPr>
            <w:tcW w:w="5522" w:type="dxa"/>
          </w:tcPr>
          <w:p w14:paraId="11351E41" w14:textId="2C9503DA" w:rsidR="00275082" w:rsidRDefault="001D2790">
            <w:pPr>
              <w:pStyle w:val="BodyText"/>
              <w:cnfStyle w:val="000000000000" w:firstRow="0" w:lastRow="0" w:firstColumn="0" w:lastColumn="0" w:oddVBand="0" w:evenVBand="0" w:oddHBand="0" w:evenHBand="0" w:firstRowFirstColumn="0" w:firstRowLastColumn="0" w:lastRowFirstColumn="0" w:lastRowLastColumn="0"/>
            </w:pPr>
            <w:r w:rsidRPr="001D2790">
              <w:t>Construction of a fence</w:t>
            </w:r>
            <w:r>
              <w:t>.</w:t>
            </w:r>
          </w:p>
        </w:tc>
      </w:tr>
      <w:tr w:rsidR="00A50757" w14:paraId="561AEEE1" w14:textId="77777777" w:rsidTr="0052258C">
        <w:tc>
          <w:tcPr>
            <w:cnfStyle w:val="001000000000" w:firstRow="0" w:lastRow="0" w:firstColumn="1" w:lastColumn="0" w:oddVBand="0" w:evenVBand="0" w:oddHBand="0" w:evenHBand="0" w:firstRowFirstColumn="0" w:firstRowLastColumn="0" w:lastRowFirstColumn="0" w:lastRowLastColumn="0"/>
            <w:tcW w:w="2386" w:type="dxa"/>
          </w:tcPr>
          <w:p w14:paraId="098F8D04" w14:textId="2E8B07EF" w:rsidR="00A50757" w:rsidRDefault="00385098">
            <w:pPr>
              <w:pStyle w:val="BodyText"/>
            </w:pPr>
            <w:hyperlink r:id="rId22" w:history="1">
              <w:r w:rsidRPr="00D053DE">
                <w:rPr>
                  <w:rStyle w:val="Hyperlink"/>
                </w:rPr>
                <w:t>Yarra Ranges SC v Hawkey [2025] VCAT 203</w:t>
              </w:r>
            </w:hyperlink>
          </w:p>
          <w:p w14:paraId="0338EA22" w14:textId="0A65275B" w:rsidR="00385098" w:rsidRDefault="00D053DE" w:rsidP="00D053DE">
            <w:pPr>
              <w:pStyle w:val="BodyText"/>
            </w:pPr>
            <w:r w:rsidRPr="00D053DE">
              <w:rPr>
                <w:i/>
                <w:iCs/>
                <w:sz w:val="18"/>
                <w:szCs w:val="18"/>
              </w:rPr>
              <w:t>Susan Whitney, Member</w:t>
            </w:r>
          </w:p>
        </w:tc>
        <w:tc>
          <w:tcPr>
            <w:tcW w:w="937" w:type="dxa"/>
          </w:tcPr>
          <w:p w14:paraId="397AC42A" w14:textId="04B00024" w:rsidR="00A50757" w:rsidRDefault="006357AC">
            <w:pPr>
              <w:pStyle w:val="BodyText"/>
              <w:cnfStyle w:val="000000000000" w:firstRow="0" w:lastRow="0" w:firstColumn="0" w:lastColumn="0" w:oddVBand="0" w:evenVBand="0" w:oddHBand="0" w:evenHBand="0" w:firstRowFirstColumn="0" w:firstRowLastColumn="0" w:lastRowFirstColumn="0" w:lastRowLastColumn="0"/>
            </w:pPr>
            <w:r>
              <w:t>GWAZ</w:t>
            </w:r>
          </w:p>
        </w:tc>
        <w:tc>
          <w:tcPr>
            <w:tcW w:w="1360" w:type="dxa"/>
          </w:tcPr>
          <w:p w14:paraId="35C44060" w14:textId="76F8FACE" w:rsidR="00A50757" w:rsidRPr="005A6F2F" w:rsidRDefault="00B1526B">
            <w:pPr>
              <w:pStyle w:val="BodyText"/>
              <w:cnfStyle w:val="000000000000" w:firstRow="0" w:lastRow="0" w:firstColumn="0" w:lastColumn="0" w:oddVBand="0" w:evenVBand="0" w:oddHBand="0" w:evenHBand="0" w:firstRowFirstColumn="0" w:firstRowLastColumn="0" w:lastRowFirstColumn="0" w:lastRowLastColumn="0"/>
            </w:pPr>
            <w:r>
              <w:t>Enforcement order allowed</w:t>
            </w:r>
          </w:p>
        </w:tc>
        <w:tc>
          <w:tcPr>
            <w:tcW w:w="5522" w:type="dxa"/>
          </w:tcPr>
          <w:p w14:paraId="44E6676F" w14:textId="5122C484" w:rsidR="00A50757" w:rsidRPr="001D2790" w:rsidRDefault="008C3B2C">
            <w:pPr>
              <w:pStyle w:val="BodyText"/>
              <w:cnfStyle w:val="000000000000" w:firstRow="0" w:lastRow="0" w:firstColumn="0" w:lastColumn="0" w:oddVBand="0" w:evenVBand="0" w:oddHBand="0" w:evenHBand="0" w:firstRowFirstColumn="0" w:firstRowLastColumn="0" w:lastRowFirstColumn="0" w:lastRowLastColumn="0"/>
            </w:pPr>
            <w:r w:rsidRPr="008C3B2C">
              <w:t>5</w:t>
            </w:r>
            <w:r w:rsidRPr="008C3B2C">
              <w:tab/>
            </w:r>
            <w:r>
              <w:t>…</w:t>
            </w:r>
            <w:r w:rsidRPr="008C3B2C">
              <w:t xml:space="preserve"> The Council seeks this enforcement order on the basis that it alleges the Land has been used for the purposes of a ‘Store’, being the storage of tyres, contrary to the Scheme.</w:t>
            </w:r>
          </w:p>
        </w:tc>
      </w:tr>
    </w:tbl>
    <w:p w14:paraId="3908EF25" w14:textId="77777777" w:rsidR="00275082" w:rsidRDefault="00275082" w:rsidP="00275082">
      <w:pPr>
        <w:pStyle w:val="BodyText"/>
      </w:pPr>
    </w:p>
    <w:p w14:paraId="26CB2972" w14:textId="76DA2EB9" w:rsidR="00275082" w:rsidRDefault="00275082" w:rsidP="00275082">
      <w:pPr>
        <w:pStyle w:val="Heading2"/>
      </w:pPr>
      <w:r>
        <w:t>A Closer look….</w:t>
      </w:r>
      <w:r w:rsidR="007863F2" w:rsidRPr="007863F2">
        <w:t xml:space="preserve"> Rural workers accommodation – ancillary use</w:t>
      </w:r>
      <w:r w:rsidR="00F30254">
        <w:t>?</w:t>
      </w:r>
    </w:p>
    <w:p w14:paraId="409AE22F" w14:textId="36D3CDD1" w:rsidR="001B667E" w:rsidRDefault="007863F2" w:rsidP="001B667E">
      <w:pPr>
        <w:pStyle w:val="BodyText"/>
      </w:pPr>
      <w:r>
        <w:t>In the first edition of the VCAT upda</w:t>
      </w:r>
      <w:r w:rsidR="001039A0">
        <w:t xml:space="preserve">te, we featured </w:t>
      </w:r>
      <w:hyperlink r:id="rId23" w:history="1">
        <w:r w:rsidR="001B667E" w:rsidRPr="00F55F85">
          <w:rPr>
            <w:rStyle w:val="Hyperlink"/>
          </w:rPr>
          <w:t>Redland Fruit Pty Ltd v Swan Hill Rural CC [2023] VCAT 601</w:t>
        </w:r>
      </w:hyperlink>
      <w:r w:rsidR="001B667E">
        <w:t xml:space="preserve"> as a case where the workers accommodation was deemed to be ancillary to the primary use of the land for horticulture.</w:t>
      </w:r>
    </w:p>
    <w:p w14:paraId="678A35DF" w14:textId="3D8E3D0E" w:rsidR="001B667E" w:rsidRDefault="001B667E" w:rsidP="001B667E">
      <w:pPr>
        <w:pStyle w:val="BodyText"/>
      </w:pPr>
      <w:r>
        <w:t xml:space="preserve">This recent case relates to the same </w:t>
      </w:r>
      <w:r w:rsidR="006148D6">
        <w:t>applicant and land parcel with a different outcome. Due to the changed circumstances</w:t>
      </w:r>
      <w:r w:rsidR="00EC3EC0">
        <w:t xml:space="preserve">, </w:t>
      </w:r>
      <w:r w:rsidR="006148D6">
        <w:t xml:space="preserve">the workers accommodation use was deemed not to be </w:t>
      </w:r>
      <w:r w:rsidR="00F33A35">
        <w:t>ancillary</w:t>
      </w:r>
      <w:r w:rsidR="006148D6">
        <w:t>.</w:t>
      </w:r>
    </w:p>
    <w:p w14:paraId="4823D062" w14:textId="51518008" w:rsidR="00F33A35" w:rsidRDefault="00F33A35" w:rsidP="001B667E">
      <w:pPr>
        <w:pStyle w:val="BodyText"/>
      </w:pPr>
      <w:hyperlink r:id="rId24" w:history="1">
        <w:r w:rsidRPr="00A943B0">
          <w:rPr>
            <w:rStyle w:val="Hyperlink"/>
          </w:rPr>
          <w:t>Redland Fruit Pty Ltd v Swan Hill RCC [2025] VCAT 127</w:t>
        </w:r>
      </w:hyperlink>
      <w:r w:rsidR="00F30254">
        <w:t xml:space="preserve"> </w:t>
      </w:r>
      <w:r>
        <w:t xml:space="preserve"> </w:t>
      </w:r>
    </w:p>
    <w:p w14:paraId="35043F63" w14:textId="77777777" w:rsidR="00F30254" w:rsidRDefault="00F30254" w:rsidP="00F30254">
      <w:pPr>
        <w:pStyle w:val="BodyText"/>
      </w:pPr>
      <w:r>
        <w:t>5</w:t>
      </w:r>
      <w:r>
        <w:tab/>
        <w:t>Redland Fruit Pty Ltd (Redland) is a large orchardist operating in various States.  It has an orchard at 269 Long Lake Road, Lake Boga, about 1.5 km west of Swan Hill (the subject land or the orchard).</w:t>
      </w:r>
    </w:p>
    <w:p w14:paraId="1B0E52B7" w14:textId="4596A34C" w:rsidR="00F33A35" w:rsidRDefault="00F30254" w:rsidP="00F30254">
      <w:pPr>
        <w:pStyle w:val="BodyText"/>
      </w:pPr>
      <w:r>
        <w:t>6</w:t>
      </w:r>
      <w:r>
        <w:tab/>
        <w:t>The orchard has an area of 99.67 ha and consists of two lots.  It is unnecessary to refer to their title particulars.  It suffices to refer to them as the ‘northern lot’, which has an area of 50.43 ha and the ‘southern lot’, which has an area of 49.24 ha</w:t>
      </w:r>
      <w:r w:rsidR="0026389B">
        <w:t xml:space="preserve"> </w:t>
      </w:r>
      <w:r>
        <w:t>…</w:t>
      </w:r>
    </w:p>
    <w:p w14:paraId="5B01CD6F" w14:textId="60F51BC7" w:rsidR="00275082" w:rsidRDefault="005500DD" w:rsidP="00275082">
      <w:pPr>
        <w:pStyle w:val="BodyText"/>
      </w:pPr>
      <w:r w:rsidRPr="005500DD">
        <w:t>11</w:t>
      </w:r>
      <w:r w:rsidRPr="005500DD">
        <w:tab/>
        <w:t>The proposed use and development for ‘rural worker accommodation’ does not comply with the requirements in clauses 35.07-1 and 35.07-4 of the planning scheme, for reasons that I will get to.  The effect of the non-compliance is that permission is required under the planning scheme for the use and development in the proposal.</w:t>
      </w:r>
    </w:p>
    <w:p w14:paraId="7A1A11E3" w14:textId="77777777" w:rsidR="00714E2A" w:rsidRDefault="00714E2A" w:rsidP="00714E2A">
      <w:pPr>
        <w:pStyle w:val="BodyText"/>
      </w:pPr>
      <w:r>
        <w:t>13</w:t>
      </w:r>
      <w:r>
        <w:tab/>
        <w:t>In 2023 Redland applied to the Tribunal for a declaration under section 149B of the Planning and Environment Act 1987 (Vic) (the PE Act) that:</w:t>
      </w:r>
    </w:p>
    <w:p w14:paraId="05309B8F" w14:textId="552D3424" w:rsidR="005500DD" w:rsidRDefault="00714E2A" w:rsidP="00714E2A">
      <w:pPr>
        <w:pStyle w:val="BodyText"/>
        <w:ind w:left="720"/>
      </w:pPr>
      <w:r>
        <w:t xml:space="preserve">The proposed workers accommodation upon land situated at Lot 2 PS 421611W Long Lake Road Lake Boga to be contained in a complex of 6 detached buildings to be used only by workers on the subject land </w:t>
      </w:r>
      <w:r>
        <w:lastRenderedPageBreak/>
        <w:t>for the duration of the harvest at no cost to the workers, is ancillary to the main use of the subject land for horticultural activities.</w:t>
      </w:r>
    </w:p>
    <w:p w14:paraId="1CCABCFB" w14:textId="77777777" w:rsidR="00D86905" w:rsidRDefault="00D86905" w:rsidP="00D86905">
      <w:pPr>
        <w:pStyle w:val="BodyText"/>
      </w:pPr>
      <w:r>
        <w:t>19</w:t>
      </w:r>
      <w:r>
        <w:tab/>
        <w:t>After giving careful and detailed reasons, the Tribunal granted a declaration that, in respect of the proposed worker accommodation:</w:t>
      </w:r>
    </w:p>
    <w:p w14:paraId="28C0B7A3" w14:textId="77777777" w:rsidR="00D86905" w:rsidRDefault="00D86905" w:rsidP="00D86905">
      <w:pPr>
        <w:pStyle w:val="BodyText"/>
        <w:ind w:left="720"/>
      </w:pPr>
      <w:r>
        <w:t>The use of [the southern lot] is ancillary to use of [that lot] for horticulture if it occurs in the following manner:</w:t>
      </w:r>
    </w:p>
    <w:p w14:paraId="0451A283" w14:textId="5855D1D0" w:rsidR="00D86905" w:rsidRDefault="00D86905" w:rsidP="006466F6">
      <w:pPr>
        <w:pStyle w:val="BodyText"/>
        <w:numPr>
          <w:ilvl w:val="0"/>
          <w:numId w:val="42"/>
        </w:numPr>
        <w:ind w:left="1208" w:hanging="357"/>
      </w:pPr>
      <w:r>
        <w:t xml:space="preserve">the workers must be accommodated generally in accordance with the complex of detached buildings as shown on the drawings prepared by </w:t>
      </w:r>
      <w:proofErr w:type="spellStart"/>
      <w:r>
        <w:t>Julnic</w:t>
      </w:r>
      <w:proofErr w:type="spellEnd"/>
      <w:r>
        <w:t xml:space="preserve"> Pty Ltd, </w:t>
      </w:r>
      <w:proofErr w:type="spellStart"/>
      <w:r>
        <w:t>drg</w:t>
      </w:r>
      <w:proofErr w:type="spellEnd"/>
      <w:r>
        <w:t xml:space="preserve"> no. 2022-074, sheets 1 of 5, 2 of 5, 3 of 5, 4 of 5 and 5 of 5 all dated July 2022, which is yet to be </w:t>
      </w:r>
      <w:proofErr w:type="gramStart"/>
      <w:r>
        <w:t>constructed;</w:t>
      </w:r>
      <w:proofErr w:type="gramEnd"/>
    </w:p>
    <w:p w14:paraId="2906304C" w14:textId="77777777" w:rsidR="00466FBE" w:rsidRDefault="00D86905" w:rsidP="006A5463">
      <w:pPr>
        <w:pStyle w:val="BodyText"/>
        <w:numPr>
          <w:ilvl w:val="0"/>
          <w:numId w:val="42"/>
        </w:numPr>
        <w:ind w:left="1208" w:hanging="357"/>
      </w:pPr>
      <w:r>
        <w:t xml:space="preserve">a maximum of 32 workers may be accommodated on the </w:t>
      </w:r>
      <w:proofErr w:type="gramStart"/>
      <w:r>
        <w:t>land;</w:t>
      </w:r>
      <w:proofErr w:type="gramEnd"/>
    </w:p>
    <w:p w14:paraId="3B4D8E82" w14:textId="77777777" w:rsidR="00466FBE" w:rsidRDefault="00D86905" w:rsidP="006A5463">
      <w:pPr>
        <w:pStyle w:val="BodyText"/>
        <w:numPr>
          <w:ilvl w:val="0"/>
          <w:numId w:val="42"/>
        </w:numPr>
        <w:ind w:left="1208" w:hanging="357"/>
      </w:pPr>
      <w:r>
        <w:t xml:space="preserve">the workers may only be accommodated during the harvest season that is, from July through to </w:t>
      </w:r>
      <w:proofErr w:type="gramStart"/>
      <w:r>
        <w:t>December;</w:t>
      </w:r>
      <w:proofErr w:type="gramEnd"/>
    </w:p>
    <w:p w14:paraId="143C1A66" w14:textId="77777777" w:rsidR="00466FBE" w:rsidRDefault="00D86905" w:rsidP="006A5463">
      <w:pPr>
        <w:pStyle w:val="BodyText"/>
        <w:numPr>
          <w:ilvl w:val="0"/>
          <w:numId w:val="42"/>
        </w:numPr>
        <w:ind w:left="1208" w:hanging="357"/>
      </w:pPr>
      <w:r>
        <w:t>the workers accommodation may only be used by workers actively working on the land for the harvesting of the fruit from the land; and</w:t>
      </w:r>
    </w:p>
    <w:p w14:paraId="1D90E6A1" w14:textId="5FBA96E8" w:rsidR="007863F2" w:rsidRDefault="00D86905" w:rsidP="006A5463">
      <w:pPr>
        <w:pStyle w:val="BodyText"/>
        <w:numPr>
          <w:ilvl w:val="0"/>
          <w:numId w:val="42"/>
        </w:numPr>
        <w:ind w:left="1208" w:hanging="357"/>
      </w:pPr>
      <w:r>
        <w:t>the accommodation must be provided at no cost to the workers and their rooms must not be serviced.</w:t>
      </w:r>
    </w:p>
    <w:p w14:paraId="6F32FF0D" w14:textId="02CEDA16" w:rsidR="00275082" w:rsidRDefault="00B30108" w:rsidP="00275082">
      <w:pPr>
        <w:pStyle w:val="BodyText"/>
      </w:pPr>
      <w:r w:rsidRPr="00B30108">
        <w:t>THIS APPLICATION</w:t>
      </w:r>
    </w:p>
    <w:p w14:paraId="5F85ACE4" w14:textId="3819640A" w:rsidR="00B30108" w:rsidRDefault="00EE35F4" w:rsidP="00275082">
      <w:pPr>
        <w:pStyle w:val="BodyText"/>
      </w:pPr>
      <w:r w:rsidRPr="00EE35F4">
        <w:t>25</w:t>
      </w:r>
      <w:r w:rsidRPr="00EE35F4">
        <w:tab/>
        <w:t>It will be observed that the accommodation shown on this site plan includes 14 four-bedroom units, with two beds in each bedroom (accommodating up to 112 persons), two two-bedroom units, with two beds in each bedroom (accommodating up to eight persons), three dining units, three kitchens and three amenity blocks, a driveway (labelled ‘road access’), 23 car spaces and an area for bus parking</w:t>
      </w:r>
      <w:r>
        <w:t>.</w:t>
      </w:r>
    </w:p>
    <w:p w14:paraId="7631C6E7" w14:textId="77777777" w:rsidR="00B8460D" w:rsidRDefault="00B8460D" w:rsidP="00B8460D">
      <w:pPr>
        <w:pStyle w:val="BodyText"/>
      </w:pPr>
      <w:r>
        <w:t>27</w:t>
      </w:r>
      <w:r>
        <w:tab/>
        <w:t>Redland states its proposal includes the following ‘limitations’:</w:t>
      </w:r>
    </w:p>
    <w:p w14:paraId="6EA88766" w14:textId="77777777" w:rsidR="00B8460D" w:rsidRDefault="00B8460D" w:rsidP="00B8460D">
      <w:pPr>
        <w:pStyle w:val="BodyText"/>
        <w:ind w:left="720"/>
      </w:pPr>
      <w:r>
        <w:t>The accommodation must only be provided to workers who are actively working on the Land in connection with the harvesting of the fruit.</w:t>
      </w:r>
    </w:p>
    <w:p w14:paraId="525F3B15" w14:textId="77777777" w:rsidR="00B8460D" w:rsidRDefault="00B8460D" w:rsidP="00B8460D">
      <w:pPr>
        <w:pStyle w:val="BodyText"/>
        <w:ind w:left="720"/>
      </w:pPr>
      <w:r>
        <w:t>The accommodation must only be provided during the harvest season.</w:t>
      </w:r>
    </w:p>
    <w:p w14:paraId="2A6A652E" w14:textId="77777777" w:rsidR="00B8460D" w:rsidRDefault="00B8460D" w:rsidP="00B8460D">
      <w:pPr>
        <w:pStyle w:val="BodyText"/>
        <w:ind w:left="720"/>
      </w:pPr>
      <w:r>
        <w:t>The accommodation must be provided at no cost to the workers.</w:t>
      </w:r>
    </w:p>
    <w:p w14:paraId="4EB8534D" w14:textId="77777777" w:rsidR="00B8460D" w:rsidRDefault="00B8460D" w:rsidP="00B8460D">
      <w:pPr>
        <w:pStyle w:val="BodyText"/>
        <w:ind w:left="720"/>
      </w:pPr>
      <w:r>
        <w:t>A maximum of 120 workers would be accommodated on the Land.</w:t>
      </w:r>
    </w:p>
    <w:p w14:paraId="780F63F6" w14:textId="106096A7" w:rsidR="00EE35F4" w:rsidRDefault="00B8460D" w:rsidP="00B8460D">
      <w:pPr>
        <w:pStyle w:val="BodyText"/>
        <w:ind w:left="720"/>
      </w:pPr>
      <w:r>
        <w:t>The rooms would not be serviced.</w:t>
      </w:r>
    </w:p>
    <w:p w14:paraId="21E7B7B3" w14:textId="0FC5B39A" w:rsidR="00B8460D" w:rsidRDefault="003617BA" w:rsidP="00B8460D">
      <w:pPr>
        <w:pStyle w:val="BodyText"/>
      </w:pPr>
      <w:r w:rsidRPr="003617BA">
        <w:t>31</w:t>
      </w:r>
      <w:r w:rsidRPr="003617BA">
        <w:tab/>
        <w:t>Properly construing Redland’s application, Redland is seeking a certificate of compliance that the proposed use and development (</w:t>
      </w:r>
      <w:proofErr w:type="spellStart"/>
      <w:r w:rsidRPr="003617BA">
        <w:t>ie</w:t>
      </w:r>
      <w:proofErr w:type="spellEnd"/>
      <w:r w:rsidRPr="003617BA">
        <w:t xml:space="preserve"> the proposal) complies with the requirements of the planning scheme.</w:t>
      </w:r>
    </w:p>
    <w:p w14:paraId="2B5FF2E6" w14:textId="7F9B9472" w:rsidR="003617BA" w:rsidRDefault="002B5119" w:rsidP="002B5119">
      <w:pPr>
        <w:pStyle w:val="BodyText"/>
      </w:pPr>
      <w:r>
        <w:t>39</w:t>
      </w:r>
      <w:r>
        <w:tab/>
        <w:t xml:space="preserve">Based on the findings in Redland </w:t>
      </w:r>
      <w:proofErr w:type="gramStart"/>
      <w:r>
        <w:t>Fruit  and</w:t>
      </w:r>
      <w:proofErr w:type="gramEnd"/>
      <w:r>
        <w:t xml:space="preserve"> based on the submissions (as well as the evidence of recent aerial photography) in this proceeding, I am content to find that the subject land is used to grow grapes, citrus (some different varieties) and apricots.  The purpose of that may be characterised as horticulture, which is also a defined use in the planning scheme.</w:t>
      </w:r>
    </w:p>
    <w:p w14:paraId="67BE7037" w14:textId="36010B1B" w:rsidR="002B5119" w:rsidRDefault="001236B7" w:rsidP="002B5119">
      <w:pPr>
        <w:pStyle w:val="BodyText"/>
      </w:pPr>
      <w:r w:rsidRPr="001236B7">
        <w:t>48</w:t>
      </w:r>
      <w:r w:rsidRPr="001236B7">
        <w:tab/>
        <w:t xml:space="preserve">The overarching principle accepted by the Supreme Court is that it is a matter of fact and degree in the </w:t>
      </w:r>
      <w:proofErr w:type="gramStart"/>
      <w:r w:rsidRPr="001236B7">
        <w:t>particular circumstances</w:t>
      </w:r>
      <w:proofErr w:type="gramEnd"/>
      <w:r w:rsidRPr="001236B7">
        <w:t xml:space="preserve"> of each case as to whether a use (or activity) is ancillary to another dominant use </w:t>
      </w:r>
      <w:proofErr w:type="spellStart"/>
      <w:r w:rsidRPr="001236B7">
        <w:t>ie</w:t>
      </w:r>
      <w:proofErr w:type="spellEnd"/>
      <w:r w:rsidRPr="001236B7">
        <w:t xml:space="preserve"> the purpose of another use.</w:t>
      </w:r>
    </w:p>
    <w:p w14:paraId="53EF7DB3" w14:textId="0694A940" w:rsidR="001236B7" w:rsidRDefault="00370A92" w:rsidP="002B5119">
      <w:pPr>
        <w:pStyle w:val="BodyText"/>
      </w:pPr>
      <w:r w:rsidRPr="00370A92">
        <w:t>56</w:t>
      </w:r>
      <w:r w:rsidRPr="00370A92">
        <w:tab/>
        <w:t>For example, and contrary to the Council’s submissions, there is a functional connection between the horticulture and accommodation uses, even though the subject land is in two lots and the accommodation is proposed to be located only on one of them.  The orchard plan shows existing areas planted for the grapes, citrus and apricots straddling both lots.</w:t>
      </w:r>
    </w:p>
    <w:p w14:paraId="7A5C0D71" w14:textId="633DFC9C" w:rsidR="00370A92" w:rsidRDefault="00DF1E82" w:rsidP="002B5119">
      <w:pPr>
        <w:pStyle w:val="BodyText"/>
      </w:pPr>
      <w:r w:rsidRPr="00DF1E82">
        <w:t>57</w:t>
      </w:r>
      <w:r w:rsidRPr="00DF1E82">
        <w:tab/>
        <w:t>However, having regard to other factors identified in Lando, I give weight to three matters of fact and degree in finding the accommodation use is not ancillary.</w:t>
      </w:r>
    </w:p>
    <w:p w14:paraId="0FC6A5C6" w14:textId="3AA62D0F" w:rsidR="00DF1E82" w:rsidRDefault="00C700B2" w:rsidP="002B5119">
      <w:pPr>
        <w:pStyle w:val="BodyText"/>
      </w:pPr>
      <w:r w:rsidRPr="00C700B2">
        <w:t>58</w:t>
      </w:r>
      <w:r w:rsidRPr="00C700B2">
        <w:tab/>
        <w:t>The first factor is scale or intensity of the use or activity.</w:t>
      </w:r>
    </w:p>
    <w:p w14:paraId="7AC300A6" w14:textId="277A5297" w:rsidR="00C700B2" w:rsidRDefault="001E08C6" w:rsidP="002B5119">
      <w:pPr>
        <w:pStyle w:val="BodyText"/>
      </w:pPr>
      <w:r w:rsidRPr="001E08C6">
        <w:t>63</w:t>
      </w:r>
      <w:r w:rsidRPr="001E08C6">
        <w:tab/>
        <w:t>In oral submissions, Redlands submitted that if different varieties of fruit needed to be harvested at the same time, there was potential for 180 workers at one time.  In any event, a reasonable inference is that Redland now proposes to be able to usually accommodate a much larger proportion of workers than was the case in the earlier proceeding.</w:t>
      </w:r>
    </w:p>
    <w:p w14:paraId="4B0F5D67" w14:textId="621E517C" w:rsidR="001E08C6" w:rsidRDefault="00C4672A" w:rsidP="002B5119">
      <w:pPr>
        <w:pStyle w:val="BodyText"/>
      </w:pPr>
      <w:r w:rsidRPr="00C4672A">
        <w:t>65</w:t>
      </w:r>
      <w:r w:rsidRPr="00C4672A">
        <w:tab/>
        <w:t>The second factor is the duration and frequency of accommodation.</w:t>
      </w:r>
    </w:p>
    <w:p w14:paraId="7FB58984" w14:textId="7ED826AE" w:rsidR="00C4672A" w:rsidRDefault="007A0698" w:rsidP="002B5119">
      <w:pPr>
        <w:pStyle w:val="BodyText"/>
      </w:pPr>
      <w:r w:rsidRPr="007A0698">
        <w:lastRenderedPageBreak/>
        <w:t>66</w:t>
      </w:r>
      <w:r w:rsidRPr="007A0698">
        <w:tab/>
        <w:t>In Redland Fruit, the accommodation use was held to be ancillary when conducted during a harvest season from ‘July through to December’.  The proposal is for accommodation during the whole year, partly because Redland submits the harvest period for different fruit could be at all times of the year having regard to a range of circumstances, including varying seasonal conditions and fruit condition.   This is an indicator of a scale or intensity that is significantly greater than that in the declaration.</w:t>
      </w:r>
    </w:p>
    <w:p w14:paraId="75FF54DF" w14:textId="6C464DB1" w:rsidR="007A0698" w:rsidRDefault="004B7941" w:rsidP="002B5119">
      <w:pPr>
        <w:pStyle w:val="BodyText"/>
      </w:pPr>
      <w:r w:rsidRPr="004B7941">
        <w:t>67</w:t>
      </w:r>
      <w:r w:rsidRPr="004B7941">
        <w:tab/>
        <w:t xml:space="preserve">The third factor is the type of workers proposed to be accommodated.  </w:t>
      </w:r>
    </w:p>
    <w:p w14:paraId="2E77A2B8" w14:textId="14DE6A33" w:rsidR="004B7941" w:rsidRDefault="00EE4147" w:rsidP="002B5119">
      <w:pPr>
        <w:pStyle w:val="BodyText"/>
      </w:pPr>
      <w:r w:rsidRPr="00EE4147">
        <w:t>71</w:t>
      </w:r>
      <w:r w:rsidRPr="00EE4147">
        <w:tab/>
        <w:t xml:space="preserve">However, this factor is also an indicator of a scale or intensity that is greater than that in the declaration which provided that the accommodation must ‘only be used by workers actively working on the land for the harvesting of the fruit from the land’.   While the matter is not free from doubt, I infer the declaration did not extend to workers involved in processing the fruit </w:t>
      </w:r>
      <w:proofErr w:type="spellStart"/>
      <w:r w:rsidRPr="00EE4147">
        <w:t>ie</w:t>
      </w:r>
      <w:proofErr w:type="spellEnd"/>
      <w:r w:rsidRPr="00EE4147">
        <w:t xml:space="preserve"> in packing or cool room activities.</w:t>
      </w:r>
    </w:p>
    <w:p w14:paraId="53F75131" w14:textId="77777777" w:rsidR="0010078F" w:rsidRDefault="0010078F" w:rsidP="0010078F">
      <w:pPr>
        <w:pStyle w:val="BodyText"/>
      </w:pPr>
      <w:r>
        <w:t>86</w:t>
      </w:r>
      <w:r>
        <w:tab/>
        <w:t xml:space="preserve">As a matter of completeness, I characterise the accommodation use as a separate use for the purpose of ‘rural worker accommodation’.  This a use that is a defined in the planning scheme as ‘land used to accommodate a person engaged in agricultural production, away from their normal place of residence’. </w:t>
      </w:r>
    </w:p>
    <w:p w14:paraId="1499B34D" w14:textId="51F29A85" w:rsidR="00B8460D" w:rsidRDefault="0010078F" w:rsidP="0010078F">
      <w:pPr>
        <w:pStyle w:val="BodyText"/>
      </w:pPr>
      <w:r>
        <w:t>87</w:t>
      </w:r>
      <w:r>
        <w:tab/>
        <w:t>Construction of buildings and works associated with rural worker accommodation requires permission under the planning scheme if use for rural worker accommodation requires permission.</w:t>
      </w:r>
    </w:p>
    <w:p w14:paraId="4825D2AF" w14:textId="77777777" w:rsidR="00B97C4E" w:rsidRDefault="00B97C4E" w:rsidP="00B97C4E">
      <w:pPr>
        <w:pStyle w:val="BodyText"/>
      </w:pPr>
      <w:r>
        <w:t>88</w:t>
      </w:r>
      <w:r>
        <w:tab/>
        <w:t xml:space="preserve">Use for rural worker accommodation requires permission if one of the nine conditions in section 1 of the Farming Zone are not met. </w:t>
      </w:r>
    </w:p>
    <w:p w14:paraId="0EB1EFEE" w14:textId="6E104D3A" w:rsidR="00275082" w:rsidRDefault="00B97C4E" w:rsidP="00B97C4E">
      <w:pPr>
        <w:pStyle w:val="BodyText"/>
      </w:pPr>
      <w:r>
        <w:t>89</w:t>
      </w:r>
      <w:r>
        <w:tab/>
        <w:t>One of those conditions is ‘no more than 10 persons may be accommodated away from their normal place of residence’.  This condition is not met because, under the proposal, 120 (or 128) persons may be accommodated in the relevant way.</w:t>
      </w:r>
    </w:p>
    <w:p w14:paraId="5B4E3C79" w14:textId="77777777" w:rsidR="00275082" w:rsidRDefault="00275082" w:rsidP="00275082">
      <w:pPr>
        <w:pStyle w:val="BodyText"/>
      </w:pPr>
    </w:p>
    <w:sectPr w:rsidR="00275082" w:rsidSect="00275082">
      <w:headerReference w:type="even" r:id="rId25"/>
      <w:footerReference w:type="even" r:id="rId26"/>
      <w:footerReference w:type="default" r:id="rId27"/>
      <w:headerReference w:type="first" r:id="rId28"/>
      <w:footerReference w:type="first" r:id="rId29"/>
      <w:type w:val="continuous"/>
      <w:pgSz w:w="11907" w:h="16839" w:code="9"/>
      <w:pgMar w:top="1418" w:right="851" w:bottom="992" w:left="851" w:header="0"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8A87" w14:textId="77777777" w:rsidR="00BB22CC" w:rsidRDefault="00BB22CC" w:rsidP="00CD157B">
      <w:pPr>
        <w:pStyle w:val="NoSpacing"/>
      </w:pPr>
    </w:p>
    <w:p w14:paraId="5DAD0C8C" w14:textId="77777777" w:rsidR="00BB22CC" w:rsidRDefault="00BB22CC"/>
  </w:endnote>
  <w:endnote w:type="continuationSeparator" w:id="0">
    <w:p w14:paraId="3F8FCA18" w14:textId="77777777" w:rsidR="00BB22CC" w:rsidRDefault="00BB22CC" w:rsidP="00CD157B">
      <w:pPr>
        <w:pStyle w:val="NoSpacing"/>
      </w:pPr>
    </w:p>
    <w:p w14:paraId="0A48DB74" w14:textId="77777777" w:rsidR="00BB22CC" w:rsidRDefault="00BB22CC"/>
  </w:endnote>
  <w:endnote w:type="continuationNotice" w:id="1">
    <w:p w14:paraId="30F01218" w14:textId="77777777" w:rsidR="00BB22CC" w:rsidRDefault="00BB22CC" w:rsidP="00CD157B">
      <w:pPr>
        <w:pStyle w:val="NoSpacing"/>
      </w:pPr>
    </w:p>
    <w:p w14:paraId="04F2ED0D" w14:textId="77777777" w:rsidR="00BB22CC" w:rsidRDefault="00BB2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VIC-SemiBold">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A00E7" w14:paraId="14E2932D" w14:textId="77777777">
      <w:trPr>
        <w:trHeight w:val="397"/>
      </w:trPr>
      <w:tc>
        <w:tcPr>
          <w:tcW w:w="340" w:type="dxa"/>
        </w:tcPr>
        <w:p w14:paraId="39C2264C" w14:textId="77777777" w:rsidR="008A00E7" w:rsidRPr="00D55628" w:rsidRDefault="008A00E7" w:rsidP="008A00E7">
          <w:pPr>
            <w:pStyle w:val="FooterEvenPageNumber"/>
            <w:framePr w:wrap="auto" w:vAnchor="margin" w:hAnchor="text" w:yAlign="inline"/>
          </w:pPr>
          <w:r>
            <w:rPr>
              <w:noProof/>
            </w:rPr>
            <mc:AlternateContent>
              <mc:Choice Requires="wps">
                <w:drawing>
                  <wp:anchor distT="0" distB="0" distL="114300" distR="114300" simplePos="0" relativeHeight="251658251" behindDoc="0" locked="0" layoutInCell="0" allowOverlap="1" wp14:anchorId="1BD65951" wp14:editId="092D2CF4">
                    <wp:simplePos x="0" y="0"/>
                    <wp:positionH relativeFrom="page">
                      <wp:posOffset>0</wp:posOffset>
                    </wp:positionH>
                    <wp:positionV relativeFrom="page">
                      <wp:posOffset>10249535</wp:posOffset>
                    </wp:positionV>
                    <wp:extent cx="7560945" cy="252095"/>
                    <wp:effectExtent l="0" t="0" r="0" b="14605"/>
                    <wp:wrapNone/>
                    <wp:docPr id="50" name="MSIPCMae914502a72cbb178344e7cc" descr="{&quot;HashCode&quot;:-1145804495,&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D3FB5" w14:textId="77777777"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D65951" id="_x0000_t202" coordsize="21600,21600" o:spt="202" path="m,l,21600r21600,l21600,xe">
                    <v:stroke joinstyle="miter"/>
                    <v:path gradientshapeok="t" o:connecttype="rect"/>
                  </v:shapetype>
                  <v:shape id="MSIPCMae914502a72cbb178344e7cc" o:spid="_x0000_s1026" type="#_x0000_t202" alt="{&quot;HashCode&quot;:-1145804495,&quot;Height&quot;:841.0,&quot;Width&quot;:595.0,&quot;Placement&quot;:&quot;Footer&quot;,&quot;Index&quot;:&quot;OddAndEven&quot;,&quot;Section&quot;:1,&quot;Top&quot;:0.0,&quot;Left&quot;:0.0}" style="position:absolute;margin-left:0;margin-top:807.05pt;width:595.35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W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" o:allowincell="f" filled="f" stroked="f" strokeweight=".5pt">
                    <v:textbox inset=",0,,0">
                      <w:txbxContent>
                        <w:p w14:paraId="219D3FB5" w14:textId="77777777"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r>
            <w:rPr>
              <w:noProof/>
            </w:rPr>
            <mc:AlternateContent>
              <mc:Choice Requires="wps">
                <w:drawing>
                  <wp:anchor distT="0" distB="0" distL="114300" distR="114300" simplePos="0" relativeHeight="251658250" behindDoc="0" locked="0" layoutInCell="0" allowOverlap="1" wp14:anchorId="25224CC8" wp14:editId="2FE85AB7">
                    <wp:simplePos x="0" y="0"/>
                    <wp:positionH relativeFrom="page">
                      <wp:posOffset>0</wp:posOffset>
                    </wp:positionH>
                    <wp:positionV relativeFrom="page">
                      <wp:posOffset>10249535</wp:posOffset>
                    </wp:positionV>
                    <wp:extent cx="7560945" cy="252095"/>
                    <wp:effectExtent l="0" t="0" r="0" b="14605"/>
                    <wp:wrapNone/>
                    <wp:docPr id="69" name="Text Box 6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6B3500" w14:textId="77777777" w:rsidR="008A00E7" w:rsidRPr="000D605B" w:rsidRDefault="008A00E7">
                                <w:pPr>
                                  <w:spacing w:before="0" w:after="0"/>
                                  <w:jc w:val="center"/>
                                  <w:rPr>
                                    <w:rFonts w:ascii="Arial" w:hAnsi="Arial" w:cs="Arial"/>
                                    <w:color w:val="000000"/>
                                    <w:sz w:val="24"/>
                                  </w:rPr>
                                </w:pPr>
                                <w:r w:rsidRPr="000D605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5224CC8" id="Text Box 69" o:spid="_x0000_s1027" type="#_x0000_t202" alt="{&quot;HashCode&quot;:376260202,&quot;Height&quot;:841.0,&quot;Width&quot;:595.0,&quot;Placement&quot;:&quot;Footer&quot;,&quot;Index&quot;:&quot;OddAndEven&quot;,&quot;Section&quot;:1,&quot;Top&quot;:0.0,&quot;Left&quot;:0.0}" style="position:absolute;margin-left:0;margin-top:807.05pt;width:595.35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c/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" o:allowincell="f" filled="f" stroked="f" strokeweight=".5pt">
                    <v:textbox inset=",0,,0">
                      <w:txbxContent>
                        <w:p w14:paraId="606B3500" w14:textId="77777777" w:rsidR="008A00E7" w:rsidRPr="000D605B" w:rsidRDefault="008A00E7">
                          <w:pPr>
                            <w:spacing w:before="0" w:after="0"/>
                            <w:jc w:val="center"/>
                            <w:rPr>
                              <w:rFonts w:ascii="Arial" w:hAnsi="Arial" w:cs="Arial"/>
                              <w:color w:val="000000"/>
                              <w:sz w:val="24"/>
                            </w:rPr>
                          </w:pPr>
                          <w:r w:rsidRPr="000D605B">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0" allowOverlap="1" wp14:anchorId="7FECF1F2" wp14:editId="400ADE74">
                    <wp:simplePos x="0" y="0"/>
                    <wp:positionH relativeFrom="page">
                      <wp:posOffset>0</wp:posOffset>
                    </wp:positionH>
                    <wp:positionV relativeFrom="page">
                      <wp:posOffset>10249535</wp:posOffset>
                    </wp:positionV>
                    <wp:extent cx="7560945" cy="252095"/>
                    <wp:effectExtent l="0" t="0" r="0" b="14605"/>
                    <wp:wrapNone/>
                    <wp:docPr id="48" name="Text Box 48"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10BF24" w14:textId="77777777" w:rsidR="008A00E7" w:rsidRPr="00E021CE" w:rsidRDefault="008A00E7">
                                <w:pPr>
                                  <w:spacing w:before="0" w:after="0"/>
                                  <w:jc w:val="center"/>
                                  <w:rPr>
                                    <w:rFonts w:ascii="Arial" w:hAnsi="Arial" w:cs="Arial"/>
                                    <w:color w:val="000000"/>
                                    <w:sz w:val="24"/>
                                  </w:rPr>
                                </w:pPr>
                                <w:r w:rsidRPr="00E021C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FECF1F2" id="Text Box 48" o:spid="_x0000_s1028" type="#_x0000_t202" alt="{&quot;HashCode&quot;:376260202,&quot;Height&quot;:841.0,&quot;Width&quot;:595.0,&quot;Placement&quot;:&quot;Footer&quot;,&quot;Index&quot;:&quot;OddAndEven&quot;,&quot;Section&quot;:1,&quot;Top&quot;:0.0,&quot;Left&quot;:0.0}" style="position:absolute;margin-left:0;margin-top:807.05pt;width:595.35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3C10BF24" w14:textId="77777777" w:rsidR="008A00E7" w:rsidRPr="00E021CE" w:rsidRDefault="008A00E7">
                          <w:pPr>
                            <w:spacing w:before="0" w:after="0"/>
                            <w:jc w:val="center"/>
                            <w:rPr>
                              <w:rFonts w:ascii="Arial" w:hAnsi="Arial" w:cs="Arial"/>
                              <w:color w:val="000000"/>
                              <w:sz w:val="24"/>
                            </w:rPr>
                          </w:pPr>
                          <w:r w:rsidRPr="00E021CE">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0" allowOverlap="1" wp14:anchorId="7C04E69F" wp14:editId="631063D6">
                    <wp:simplePos x="0" y="0"/>
                    <wp:positionH relativeFrom="page">
                      <wp:posOffset>0</wp:posOffset>
                    </wp:positionH>
                    <wp:positionV relativeFrom="page">
                      <wp:posOffset>10249535</wp:posOffset>
                    </wp:positionV>
                    <wp:extent cx="7560945" cy="252095"/>
                    <wp:effectExtent l="0" t="0" r="0" b="14605"/>
                    <wp:wrapNone/>
                    <wp:docPr id="59" name="Text Box 5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B9487" w14:textId="77777777" w:rsidR="008A00E7" w:rsidRPr="004F6505" w:rsidRDefault="008A00E7">
                                <w:pPr>
                                  <w:spacing w:before="0" w:after="0"/>
                                  <w:jc w:val="center"/>
                                  <w:rPr>
                                    <w:rFonts w:ascii="Arial" w:hAnsi="Arial" w:cs="Arial"/>
                                    <w:color w:val="000000"/>
                                    <w:sz w:val="24"/>
                                  </w:rPr>
                                </w:pPr>
                                <w:r w:rsidRPr="004F650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C04E69F" id="Text Box 59" o:spid="_x0000_s1029" type="#_x0000_t202" alt="{&quot;HashCode&quot;:376260202,&quot;Height&quot;:841.0,&quot;Width&quot;:595.0,&quot;Placement&quot;:&quot;Footer&quot;,&quot;Index&quot;:&quot;OddAndEven&quot;,&quot;Section&quot;:1,&quot;Top&quot;:0.0,&quot;Left&quot;:0.0}" style="position:absolute;margin-left:0;margin-top:807.05pt;width:595.35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2BEB9487" w14:textId="77777777" w:rsidR="008A00E7" w:rsidRPr="004F6505" w:rsidRDefault="008A00E7">
                          <w:pPr>
                            <w:spacing w:before="0" w:after="0"/>
                            <w:jc w:val="center"/>
                            <w:rPr>
                              <w:rFonts w:ascii="Arial" w:hAnsi="Arial" w:cs="Arial"/>
                              <w:color w:val="000000"/>
                              <w:sz w:val="24"/>
                            </w:rPr>
                          </w:pPr>
                          <w:r w:rsidRPr="004F6505">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7" behindDoc="0" locked="0" layoutInCell="0" allowOverlap="1" wp14:anchorId="06D2EF2C" wp14:editId="652E2A12">
                    <wp:simplePos x="0" y="0"/>
                    <wp:positionH relativeFrom="page">
                      <wp:posOffset>0</wp:posOffset>
                    </wp:positionH>
                    <wp:positionV relativeFrom="page">
                      <wp:posOffset>10249535</wp:posOffset>
                    </wp:positionV>
                    <wp:extent cx="7560945" cy="252095"/>
                    <wp:effectExtent l="0" t="0" r="0" b="14605"/>
                    <wp:wrapNone/>
                    <wp:docPr id="52" name="Text Box 5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82E67B" w14:textId="77777777" w:rsidR="008A00E7" w:rsidRPr="00F35D85" w:rsidRDefault="008A00E7">
                                <w:pPr>
                                  <w:spacing w:before="0" w:after="0"/>
                                  <w:jc w:val="center"/>
                                  <w:rPr>
                                    <w:rFonts w:ascii="Arial" w:hAnsi="Arial" w:cs="Arial"/>
                                    <w:color w:val="000000"/>
                                    <w:sz w:val="24"/>
                                  </w:rPr>
                                </w:pPr>
                                <w:r w:rsidRPr="00F35D8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6D2EF2C" id="Text Box 52" o:spid="_x0000_s1030" type="#_x0000_t202" alt="{&quot;HashCode&quot;:376260202,&quot;Height&quot;:841.0,&quot;Width&quot;:595.0,&quot;Placement&quot;:&quot;Footer&quot;,&quot;Index&quot;:&quot;OddAndEven&quot;,&quot;Section&quot;:1,&quot;Top&quot;:0.0,&quot;Left&quot;:0.0}" style="position:absolute;margin-left:0;margin-top:807.05pt;width:595.35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DingP4GAIAACsEAAAOAAAAAAAAAAAAAAAAAC4CAABkcnMvZTJvRG9jLnhtbFBLAQItABQA&#10;BgAIAAAAIQAd5h9g3wAAAAsBAAAPAAAAAAAAAAAAAAAAAHIEAABkcnMvZG93bnJldi54bWxQSwUG&#10;AAAAAAQABADzAAAAfgUAAAAA&#10;" o:allowincell="f" filled="f" stroked="f" strokeweight=".5pt">
                    <v:textbox inset=",0,,0">
                      <w:txbxContent>
                        <w:p w14:paraId="3382E67B" w14:textId="77777777" w:rsidR="008A00E7" w:rsidRPr="00F35D85" w:rsidRDefault="008A00E7">
                          <w:pPr>
                            <w:spacing w:before="0" w:after="0"/>
                            <w:jc w:val="center"/>
                            <w:rPr>
                              <w:rFonts w:ascii="Arial" w:hAnsi="Arial" w:cs="Arial"/>
                              <w:color w:val="000000"/>
                              <w:sz w:val="24"/>
                            </w:rPr>
                          </w:pPr>
                          <w:r w:rsidRPr="00F35D85">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6" behindDoc="0" locked="0" layoutInCell="0" allowOverlap="1" wp14:anchorId="3710F27F" wp14:editId="2033B294">
                    <wp:simplePos x="0" y="0"/>
                    <wp:positionH relativeFrom="page">
                      <wp:posOffset>0</wp:posOffset>
                    </wp:positionH>
                    <wp:positionV relativeFrom="page">
                      <wp:posOffset>10249535</wp:posOffset>
                    </wp:positionV>
                    <wp:extent cx="7560945" cy="252095"/>
                    <wp:effectExtent l="0" t="0" r="0" b="14605"/>
                    <wp:wrapNone/>
                    <wp:docPr id="12" name="Text Box 1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42A0B" w14:textId="77777777" w:rsidR="008A00E7" w:rsidRPr="006F1EC1" w:rsidRDefault="008A00E7">
                                <w:pPr>
                                  <w:spacing w:before="0" w:after="0"/>
                                  <w:jc w:val="center"/>
                                  <w:rPr>
                                    <w:rFonts w:ascii="Arial" w:hAnsi="Arial" w:cs="Arial"/>
                                    <w:color w:val="000000"/>
                                    <w:sz w:val="24"/>
                                  </w:rPr>
                                </w:pPr>
                                <w:r w:rsidRPr="006F1E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710F27F" id="Text Box 12"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49442A0B" w14:textId="77777777" w:rsidR="008A00E7" w:rsidRPr="006F1EC1" w:rsidRDefault="008A00E7">
                          <w:pPr>
                            <w:spacing w:before="0" w:after="0"/>
                            <w:jc w:val="center"/>
                            <w:rPr>
                              <w:rFonts w:ascii="Arial" w:hAnsi="Arial" w:cs="Arial"/>
                              <w:color w:val="000000"/>
                              <w:sz w:val="24"/>
                            </w:rPr>
                          </w:pPr>
                          <w:r w:rsidRPr="006F1EC1">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6844078D" w14:textId="77777777" w:rsidR="008A00E7" w:rsidRPr="00810C40" w:rsidRDefault="008A00E7" w:rsidP="008A00E7">
          <w:pPr>
            <w:pStyle w:val="FooterEven"/>
          </w:pPr>
        </w:p>
      </w:tc>
    </w:tr>
  </w:tbl>
  <w:p w14:paraId="5334EEDA"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42097"/>
      <w:docPartObj>
        <w:docPartGallery w:val="Page Numbers (Bottom of Page)"/>
        <w:docPartUnique/>
      </w:docPartObj>
    </w:sdtPr>
    <w:sdtEndPr>
      <w:rPr>
        <w:noProof/>
      </w:rPr>
    </w:sdtEndPr>
    <w:sdtContent>
      <w:p w14:paraId="37B12D66" w14:textId="77777777" w:rsidR="00275082" w:rsidRDefault="002750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276B56"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E63D" w14:textId="35024D35" w:rsidR="009347E6" w:rsidRDefault="009347E6" w:rsidP="009347E6">
    <w:pPr>
      <w:pStyle w:val="Footer"/>
      <w:jc w:val="right"/>
    </w:pPr>
    <w:r w:rsidRPr="004C1F02">
      <w:rPr>
        <w:noProof/>
      </w:rPr>
      <w:drawing>
        <wp:inline distT="0" distB="0" distL="0" distR="0" wp14:anchorId="3458AC44" wp14:editId="48D58784">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6A47" w14:textId="77777777" w:rsidR="00BB22CC" w:rsidRPr="0056073C" w:rsidRDefault="00BB22CC" w:rsidP="005D764F">
      <w:pPr>
        <w:pStyle w:val="FootnoteSeparator"/>
      </w:pPr>
    </w:p>
    <w:p w14:paraId="279FD5AD" w14:textId="77777777" w:rsidR="00BB22CC" w:rsidRDefault="00BB22CC"/>
  </w:footnote>
  <w:footnote w:type="continuationSeparator" w:id="0">
    <w:p w14:paraId="3C053A4C" w14:textId="77777777" w:rsidR="00BB22CC" w:rsidRPr="00CA30B7" w:rsidRDefault="00BB22CC" w:rsidP="006D5A90">
      <w:pPr>
        <w:rPr>
          <w:lang w:val="en-US"/>
        </w:rPr>
      </w:pPr>
      <w:r w:rsidRPr="00CA30B7">
        <w:rPr>
          <w:lang w:val="en-US"/>
        </w:rPr>
        <w:t>_______</w:t>
      </w:r>
    </w:p>
    <w:p w14:paraId="2F9A5837" w14:textId="77777777" w:rsidR="00BB22CC" w:rsidRDefault="00BB22CC"/>
  </w:footnote>
  <w:footnote w:type="continuationNotice" w:id="1">
    <w:p w14:paraId="0EA03A61" w14:textId="77777777" w:rsidR="00BB22CC" w:rsidRDefault="00BB22CC" w:rsidP="006D5A90"/>
    <w:p w14:paraId="33EC4892" w14:textId="77777777" w:rsidR="00BB22CC" w:rsidRDefault="00BB2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B0D0"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424411AF" wp14:editId="48674F79">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EC438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E60BA30" wp14:editId="1FD38620">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7AA0F8"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10CD466E" wp14:editId="2E13A468">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3F0788"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4296F755" wp14:editId="349B51A5">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A3695E"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4597F1A5" wp14:editId="711E2473">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EB4B4C"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2C6943FE" wp14:editId="5D62369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9F7485"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1DC2FE9F"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7AD6" w14:textId="3AA93C8B" w:rsidR="00275082" w:rsidRDefault="007B0FC5" w:rsidP="00275082">
    <w:pPr>
      <w:pStyle w:val="Header"/>
      <w:ind w:left="-850"/>
    </w:pPr>
    <w:r>
      <w:rPr>
        <w:noProof/>
      </w:rPr>
      <mc:AlternateContent>
        <mc:Choice Requires="wps">
          <w:drawing>
            <wp:anchor distT="0" distB="0" distL="114300" distR="114300" simplePos="0" relativeHeight="251658252" behindDoc="0" locked="0" layoutInCell="1" allowOverlap="1" wp14:anchorId="09846296" wp14:editId="4F7C92D5">
              <wp:simplePos x="0" y="0"/>
              <wp:positionH relativeFrom="column">
                <wp:posOffset>-96625</wp:posOffset>
              </wp:positionH>
              <wp:positionV relativeFrom="paragraph">
                <wp:posOffset>1535269</wp:posOffset>
              </wp:positionV>
              <wp:extent cx="4915814" cy="497434"/>
              <wp:effectExtent l="0" t="0" r="0" b="0"/>
              <wp:wrapNone/>
              <wp:docPr id="835850516" name="Text Box 2" descr="January 2025 edition: VCAT cases from October to December 2024"/>
              <wp:cNvGraphicFramePr/>
              <a:graphic xmlns:a="http://schemas.openxmlformats.org/drawingml/2006/main">
                <a:graphicData uri="http://schemas.microsoft.com/office/word/2010/wordprocessingShape">
                  <wps:wsp>
                    <wps:cNvSpPr txBox="1"/>
                    <wps:spPr>
                      <a:xfrm>
                        <a:off x="0" y="0"/>
                        <a:ext cx="4915814" cy="497434"/>
                      </a:xfrm>
                      <a:prstGeom prst="rect">
                        <a:avLst/>
                      </a:prstGeom>
                      <a:noFill/>
                      <a:ln w="6350">
                        <a:noFill/>
                      </a:ln>
                    </wps:spPr>
                    <wps:txbx>
                      <w:txbxContent>
                        <w:p w14:paraId="0FD72701" w14:textId="6FD1A490" w:rsidR="007B0FC5" w:rsidRPr="007026D0" w:rsidRDefault="00694226" w:rsidP="007B0FC5">
                          <w:pPr>
                            <w:rPr>
                              <w:color w:val="FFFFFF" w:themeColor="background1"/>
                              <w:sz w:val="23"/>
                              <w:szCs w:val="23"/>
                            </w:rPr>
                          </w:pPr>
                          <w:r w:rsidRPr="00694226">
                            <w:rPr>
                              <w:color w:val="FFFFFF" w:themeColor="background1"/>
                              <w:sz w:val="23"/>
                              <w:szCs w:val="23"/>
                            </w:rPr>
                            <w:t>April</w:t>
                          </w:r>
                          <w:r w:rsidR="007B0FC5" w:rsidRPr="00694226">
                            <w:rPr>
                              <w:color w:val="FFFFFF" w:themeColor="background1"/>
                              <w:sz w:val="23"/>
                              <w:szCs w:val="23"/>
                            </w:rPr>
                            <w:t xml:space="preserve"> 2025 edition</w:t>
                          </w:r>
                          <w:r w:rsidR="007B0FC5" w:rsidRPr="007026D0">
                            <w:rPr>
                              <w:color w:val="FFFFFF" w:themeColor="background1"/>
                              <w:sz w:val="23"/>
                              <w:szCs w:val="23"/>
                            </w:rPr>
                            <w:t xml:space="preserve">: VCAT cases from </w:t>
                          </w:r>
                          <w:r>
                            <w:rPr>
                              <w:color w:val="FFFFFF" w:themeColor="background1"/>
                              <w:sz w:val="23"/>
                              <w:szCs w:val="23"/>
                            </w:rPr>
                            <w:t>January</w:t>
                          </w:r>
                          <w:r w:rsidR="007B0FC5" w:rsidRPr="00694226">
                            <w:rPr>
                              <w:color w:val="FFFFFF" w:themeColor="background1"/>
                              <w:sz w:val="23"/>
                              <w:szCs w:val="23"/>
                            </w:rPr>
                            <w:t xml:space="preserve"> to </w:t>
                          </w:r>
                          <w:r>
                            <w:rPr>
                              <w:color w:val="FFFFFF" w:themeColor="background1"/>
                              <w:sz w:val="23"/>
                              <w:szCs w:val="23"/>
                            </w:rPr>
                            <w:t>March</w:t>
                          </w:r>
                          <w:r w:rsidR="007B0FC5" w:rsidRPr="00694226">
                            <w:rPr>
                              <w:color w:val="FFFFFF" w:themeColor="background1"/>
                              <w:sz w:val="23"/>
                              <w:szCs w:val="23"/>
                            </w:rPr>
                            <w:t xml:space="preserve"> 202</w:t>
                          </w:r>
                          <w:r>
                            <w:rPr>
                              <w:color w:val="FFFFFF" w:themeColor="background1"/>
                              <w:sz w:val="23"/>
                              <w:szCs w:val="23"/>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846296" id="_x0000_t202" coordsize="21600,21600" o:spt="202" path="m,l,21600r21600,l21600,xe">
              <v:stroke joinstyle="miter"/>
              <v:path gradientshapeok="t" o:connecttype="rect"/>
            </v:shapetype>
            <v:shape id="Text Box 2" o:spid="_x0000_s1032" type="#_x0000_t202" alt="January 2025 edition: VCAT cases from October to December 2024" style="position:absolute;left:0;text-align:left;margin-left:-7.6pt;margin-top:120.9pt;width:387.05pt;height:39.15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" filled="f" stroked="f" strokeweight=".5pt">
              <v:textbox>
                <w:txbxContent>
                  <w:p w14:paraId="0FD72701" w14:textId="6FD1A490" w:rsidR="007B0FC5" w:rsidRPr="007026D0" w:rsidRDefault="00694226" w:rsidP="007B0FC5">
                    <w:pPr>
                      <w:rPr>
                        <w:color w:val="FFFFFF" w:themeColor="background1"/>
                        <w:sz w:val="23"/>
                        <w:szCs w:val="23"/>
                      </w:rPr>
                    </w:pPr>
                    <w:r w:rsidRPr="00694226">
                      <w:rPr>
                        <w:color w:val="FFFFFF" w:themeColor="background1"/>
                        <w:sz w:val="23"/>
                        <w:szCs w:val="23"/>
                      </w:rPr>
                      <w:t>April</w:t>
                    </w:r>
                    <w:r w:rsidR="007B0FC5" w:rsidRPr="00694226">
                      <w:rPr>
                        <w:color w:val="FFFFFF" w:themeColor="background1"/>
                        <w:sz w:val="23"/>
                        <w:szCs w:val="23"/>
                      </w:rPr>
                      <w:t xml:space="preserve"> 2025 edition</w:t>
                    </w:r>
                    <w:r w:rsidR="007B0FC5" w:rsidRPr="007026D0">
                      <w:rPr>
                        <w:color w:val="FFFFFF" w:themeColor="background1"/>
                        <w:sz w:val="23"/>
                        <w:szCs w:val="23"/>
                      </w:rPr>
                      <w:t xml:space="preserve">: VCAT cases from </w:t>
                    </w:r>
                    <w:r>
                      <w:rPr>
                        <w:color w:val="FFFFFF" w:themeColor="background1"/>
                        <w:sz w:val="23"/>
                        <w:szCs w:val="23"/>
                      </w:rPr>
                      <w:t>January</w:t>
                    </w:r>
                    <w:r w:rsidR="007B0FC5" w:rsidRPr="00694226">
                      <w:rPr>
                        <w:color w:val="FFFFFF" w:themeColor="background1"/>
                        <w:sz w:val="23"/>
                        <w:szCs w:val="23"/>
                      </w:rPr>
                      <w:t xml:space="preserve"> to </w:t>
                    </w:r>
                    <w:r>
                      <w:rPr>
                        <w:color w:val="FFFFFF" w:themeColor="background1"/>
                        <w:sz w:val="23"/>
                        <w:szCs w:val="23"/>
                      </w:rPr>
                      <w:t>March</w:t>
                    </w:r>
                    <w:r w:rsidR="007B0FC5" w:rsidRPr="00694226">
                      <w:rPr>
                        <w:color w:val="FFFFFF" w:themeColor="background1"/>
                        <w:sz w:val="23"/>
                        <w:szCs w:val="23"/>
                      </w:rPr>
                      <w:t xml:space="preserve"> 202</w:t>
                    </w:r>
                    <w:r>
                      <w:rPr>
                        <w:color w:val="FFFFFF" w:themeColor="background1"/>
                        <w:sz w:val="23"/>
                        <w:szCs w:val="23"/>
                      </w:rPr>
                      <w:t>5</w:t>
                    </w:r>
                  </w:p>
                </w:txbxContent>
              </v:textbox>
            </v:shape>
          </w:pict>
        </mc:Fallback>
      </mc:AlternateContent>
    </w:r>
    <w:r w:rsidR="00275082">
      <w:rPr>
        <w:noProof/>
      </w:rPr>
      <w:drawing>
        <wp:inline distT="0" distB="0" distL="0" distR="0" wp14:anchorId="7A569355" wp14:editId="2B830E57">
          <wp:extent cx="7540388" cy="2240321"/>
          <wp:effectExtent l="0" t="0" r="3810" b="7620"/>
          <wp:docPr id="1215352890" name="Picture 1" descr="Title: Agriculture Victoria Planning and Advisory Service. VCAT decisions the impact Rural zoned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52890" name="Picture 1" descr="Title: Agriculture Victoria Planning and Advisory Service. VCAT decisions the impact Rural zoned land"/>
                  <pic:cNvPicPr/>
                </pic:nvPicPr>
                <pic:blipFill>
                  <a:blip r:embed="rId1">
                    <a:extLst>
                      <a:ext uri="{28A0092B-C50C-407E-A947-70E740481C1C}">
                        <a14:useLocalDpi xmlns:a14="http://schemas.microsoft.com/office/drawing/2010/main" val="0"/>
                      </a:ext>
                    </a:extLst>
                  </a:blip>
                  <a:stretch>
                    <a:fillRect/>
                  </a:stretch>
                </pic:blipFill>
                <pic:spPr>
                  <a:xfrm>
                    <a:off x="0" y="0"/>
                    <a:ext cx="7694945" cy="22862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2" w15:restartNumberingAfterBreak="0">
    <w:nsid w:val="39175A33"/>
    <w:multiLevelType w:val="hybridMultilevel"/>
    <w:tmpl w:val="D9981B8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2" w15:restartNumberingAfterBreak="0">
    <w:nsid w:val="62680A1D"/>
    <w:multiLevelType w:val="hybridMultilevel"/>
    <w:tmpl w:val="3210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7D284207"/>
    <w:multiLevelType w:val="multilevel"/>
    <w:tmpl w:val="68AE7474"/>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1"/>
  </w:num>
  <w:num w:numId="2" w16cid:durableId="1128745877">
    <w:abstractNumId w:val="12"/>
  </w:num>
  <w:num w:numId="3" w16cid:durableId="170411264">
    <w:abstractNumId w:val="41"/>
  </w:num>
  <w:num w:numId="4" w16cid:durableId="985085104">
    <w:abstractNumId w:val="10"/>
  </w:num>
  <w:num w:numId="5" w16cid:durableId="1872112631">
    <w:abstractNumId w:val="13"/>
  </w:num>
  <w:num w:numId="6" w16cid:durableId="336812815">
    <w:abstractNumId w:val="27"/>
  </w:num>
  <w:num w:numId="7" w16cid:durableId="155153463">
    <w:abstractNumId w:val="3"/>
  </w:num>
  <w:num w:numId="8" w16cid:durableId="1428236886">
    <w:abstractNumId w:val="30"/>
  </w:num>
  <w:num w:numId="9" w16cid:durableId="1644658156">
    <w:abstractNumId w:val="21"/>
  </w:num>
  <w:num w:numId="10" w16cid:durableId="103154041">
    <w:abstractNumId w:val="32"/>
  </w:num>
  <w:num w:numId="11" w16cid:durableId="2129203638">
    <w:abstractNumId w:val="35"/>
  </w:num>
  <w:num w:numId="12" w16cid:durableId="377365663">
    <w:abstractNumId w:val="28"/>
  </w:num>
  <w:num w:numId="13" w16cid:durableId="1308436166">
    <w:abstractNumId w:val="29"/>
  </w:num>
  <w:num w:numId="14" w16cid:durableId="1335643199">
    <w:abstractNumId w:val="39"/>
  </w:num>
  <w:num w:numId="15" w16cid:durableId="384449836">
    <w:abstractNumId w:val="8"/>
  </w:num>
  <w:num w:numId="16" w16cid:durableId="1160577431">
    <w:abstractNumId w:val="31"/>
  </w:num>
  <w:num w:numId="17" w16cid:durableId="27071314">
    <w:abstractNumId w:val="7"/>
  </w:num>
  <w:num w:numId="18" w16cid:durableId="338120444">
    <w:abstractNumId w:val="5"/>
  </w:num>
  <w:num w:numId="19" w16cid:durableId="1673139647">
    <w:abstractNumId w:val="17"/>
  </w:num>
  <w:num w:numId="20" w16cid:durableId="1975480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4"/>
  </w:num>
  <w:num w:numId="26" w16cid:durableId="893349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5"/>
  </w:num>
  <w:num w:numId="30" w16cid:durableId="1579175524">
    <w:abstractNumId w:val="0"/>
  </w:num>
  <w:num w:numId="31" w16cid:durableId="1199856773">
    <w:abstractNumId w:val="2"/>
  </w:num>
  <w:num w:numId="32" w16cid:durableId="2138447666">
    <w:abstractNumId w:val="1"/>
  </w:num>
  <w:num w:numId="33" w16cid:durableId="334118162">
    <w:abstractNumId w:val="37"/>
  </w:num>
  <w:num w:numId="34" w16cid:durableId="196283207">
    <w:abstractNumId w:val="40"/>
  </w:num>
  <w:num w:numId="35" w16cid:durableId="1742215375">
    <w:abstractNumId w:val="50"/>
  </w:num>
  <w:num w:numId="36" w16cid:durableId="664823544">
    <w:abstractNumId w:val="46"/>
  </w:num>
  <w:num w:numId="37" w16cid:durableId="592250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8"/>
  </w:num>
  <w:num w:numId="40" w16cid:durableId="160104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9908157">
    <w:abstractNumId w:val="42"/>
  </w:num>
  <w:num w:numId="42" w16cid:durableId="98454915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Agriculture Victoria"/>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8F2D62"/>
    <w:rsid w:val="00000194"/>
    <w:rsid w:val="00000812"/>
    <w:rsid w:val="00000901"/>
    <w:rsid w:val="00001D81"/>
    <w:rsid w:val="00002691"/>
    <w:rsid w:val="00003260"/>
    <w:rsid w:val="0000353D"/>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74"/>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836"/>
    <w:rsid w:val="00024DE5"/>
    <w:rsid w:val="00024F9A"/>
    <w:rsid w:val="0002586C"/>
    <w:rsid w:val="000265EA"/>
    <w:rsid w:val="00026DA1"/>
    <w:rsid w:val="00026DC2"/>
    <w:rsid w:val="00026F6C"/>
    <w:rsid w:val="000273C5"/>
    <w:rsid w:val="00027AF2"/>
    <w:rsid w:val="00030105"/>
    <w:rsid w:val="00030A38"/>
    <w:rsid w:val="0003160B"/>
    <w:rsid w:val="0003300C"/>
    <w:rsid w:val="000332EC"/>
    <w:rsid w:val="000334AA"/>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6B"/>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67E"/>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5FAB"/>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824"/>
    <w:rsid w:val="000C4A68"/>
    <w:rsid w:val="000C4AFB"/>
    <w:rsid w:val="000C5C01"/>
    <w:rsid w:val="000C620E"/>
    <w:rsid w:val="000C782D"/>
    <w:rsid w:val="000C7BB4"/>
    <w:rsid w:val="000C7EA2"/>
    <w:rsid w:val="000D01DB"/>
    <w:rsid w:val="000D02C6"/>
    <w:rsid w:val="000D038D"/>
    <w:rsid w:val="000D0471"/>
    <w:rsid w:val="000D04B1"/>
    <w:rsid w:val="000D04F8"/>
    <w:rsid w:val="000D057E"/>
    <w:rsid w:val="000D081F"/>
    <w:rsid w:val="000D0DDA"/>
    <w:rsid w:val="000D0FA2"/>
    <w:rsid w:val="000D1C49"/>
    <w:rsid w:val="000D1CCC"/>
    <w:rsid w:val="000D1DA0"/>
    <w:rsid w:val="000D1F16"/>
    <w:rsid w:val="000D2B3D"/>
    <w:rsid w:val="000D319F"/>
    <w:rsid w:val="000D36F9"/>
    <w:rsid w:val="000D3881"/>
    <w:rsid w:val="000D3CAE"/>
    <w:rsid w:val="000D487A"/>
    <w:rsid w:val="000D4AC1"/>
    <w:rsid w:val="000D5000"/>
    <w:rsid w:val="000D53E8"/>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8F"/>
    <w:rsid w:val="00101154"/>
    <w:rsid w:val="00101215"/>
    <w:rsid w:val="00101A91"/>
    <w:rsid w:val="00101FF8"/>
    <w:rsid w:val="001023F4"/>
    <w:rsid w:val="00102D94"/>
    <w:rsid w:val="00102E6D"/>
    <w:rsid w:val="001039A0"/>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36B7"/>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DB9"/>
    <w:rsid w:val="00137E68"/>
    <w:rsid w:val="001406CA"/>
    <w:rsid w:val="001417FF"/>
    <w:rsid w:val="00141FDF"/>
    <w:rsid w:val="00142793"/>
    <w:rsid w:val="00142974"/>
    <w:rsid w:val="0014423E"/>
    <w:rsid w:val="00144787"/>
    <w:rsid w:val="0014594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166"/>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015"/>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C05"/>
    <w:rsid w:val="00197D54"/>
    <w:rsid w:val="001A0CA3"/>
    <w:rsid w:val="001A0FC3"/>
    <w:rsid w:val="001A1E8A"/>
    <w:rsid w:val="001A2625"/>
    <w:rsid w:val="001A26B9"/>
    <w:rsid w:val="001A3352"/>
    <w:rsid w:val="001A3695"/>
    <w:rsid w:val="001A4052"/>
    <w:rsid w:val="001A44AA"/>
    <w:rsid w:val="001A47C5"/>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003"/>
    <w:rsid w:val="001B45A7"/>
    <w:rsid w:val="001B57E8"/>
    <w:rsid w:val="001B667E"/>
    <w:rsid w:val="001B6A53"/>
    <w:rsid w:val="001B6D41"/>
    <w:rsid w:val="001B6E7E"/>
    <w:rsid w:val="001B7C04"/>
    <w:rsid w:val="001B7E65"/>
    <w:rsid w:val="001C045F"/>
    <w:rsid w:val="001C047F"/>
    <w:rsid w:val="001C13D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790"/>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D79F7"/>
    <w:rsid w:val="001E04BC"/>
    <w:rsid w:val="001E04F9"/>
    <w:rsid w:val="001E0766"/>
    <w:rsid w:val="001E08C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89B"/>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F7A"/>
    <w:rsid w:val="0027305A"/>
    <w:rsid w:val="002737F3"/>
    <w:rsid w:val="0027394E"/>
    <w:rsid w:val="00273AC0"/>
    <w:rsid w:val="00273C00"/>
    <w:rsid w:val="002743CC"/>
    <w:rsid w:val="00274C38"/>
    <w:rsid w:val="00274DED"/>
    <w:rsid w:val="00275082"/>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119"/>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6CB2"/>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2CE"/>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1CF7"/>
    <w:rsid w:val="0030259D"/>
    <w:rsid w:val="00302822"/>
    <w:rsid w:val="00302A0C"/>
    <w:rsid w:val="00302ACE"/>
    <w:rsid w:val="00303508"/>
    <w:rsid w:val="00303E72"/>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109"/>
    <w:rsid w:val="003144C4"/>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61A"/>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7BA"/>
    <w:rsid w:val="00361ECA"/>
    <w:rsid w:val="0036200D"/>
    <w:rsid w:val="0036258B"/>
    <w:rsid w:val="00362602"/>
    <w:rsid w:val="00362729"/>
    <w:rsid w:val="00362A66"/>
    <w:rsid w:val="00362A68"/>
    <w:rsid w:val="00363130"/>
    <w:rsid w:val="003636D0"/>
    <w:rsid w:val="003636D4"/>
    <w:rsid w:val="00363F02"/>
    <w:rsid w:val="00364559"/>
    <w:rsid w:val="00365FE5"/>
    <w:rsid w:val="0036600D"/>
    <w:rsid w:val="00366B4B"/>
    <w:rsid w:val="00366E1B"/>
    <w:rsid w:val="0036739A"/>
    <w:rsid w:val="0036747C"/>
    <w:rsid w:val="00370000"/>
    <w:rsid w:val="00370A92"/>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520"/>
    <w:rsid w:val="00382AA9"/>
    <w:rsid w:val="003837A0"/>
    <w:rsid w:val="00383FF6"/>
    <w:rsid w:val="0038400F"/>
    <w:rsid w:val="00384122"/>
    <w:rsid w:val="00384ADF"/>
    <w:rsid w:val="00384E94"/>
    <w:rsid w:val="00384FF4"/>
    <w:rsid w:val="00385098"/>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0D1E"/>
    <w:rsid w:val="003A1206"/>
    <w:rsid w:val="003A2BFF"/>
    <w:rsid w:val="003A2FE3"/>
    <w:rsid w:val="003A3211"/>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306"/>
    <w:rsid w:val="003B2810"/>
    <w:rsid w:val="003B2C2B"/>
    <w:rsid w:val="003B2E0D"/>
    <w:rsid w:val="003B2F4B"/>
    <w:rsid w:val="003B3A12"/>
    <w:rsid w:val="003B3D40"/>
    <w:rsid w:val="003B3DB2"/>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6CD5"/>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737"/>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C44"/>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945"/>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158"/>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4"/>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913"/>
    <w:rsid w:val="00465F13"/>
    <w:rsid w:val="00466199"/>
    <w:rsid w:val="004664F8"/>
    <w:rsid w:val="00466FBE"/>
    <w:rsid w:val="00467141"/>
    <w:rsid w:val="004673DE"/>
    <w:rsid w:val="004675B5"/>
    <w:rsid w:val="00467742"/>
    <w:rsid w:val="00467BF7"/>
    <w:rsid w:val="00467E43"/>
    <w:rsid w:val="00467E8E"/>
    <w:rsid w:val="00470869"/>
    <w:rsid w:val="00471446"/>
    <w:rsid w:val="0047175B"/>
    <w:rsid w:val="0047196B"/>
    <w:rsid w:val="00472451"/>
    <w:rsid w:val="004727C4"/>
    <w:rsid w:val="00472EC8"/>
    <w:rsid w:val="00472F53"/>
    <w:rsid w:val="00473074"/>
    <w:rsid w:val="00473E66"/>
    <w:rsid w:val="00474212"/>
    <w:rsid w:val="004744DC"/>
    <w:rsid w:val="00475145"/>
    <w:rsid w:val="004751E9"/>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2FD"/>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6B46"/>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AF2"/>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720"/>
    <w:rsid w:val="004B4954"/>
    <w:rsid w:val="004B4CE1"/>
    <w:rsid w:val="004B5154"/>
    <w:rsid w:val="004B5875"/>
    <w:rsid w:val="004B66AE"/>
    <w:rsid w:val="004B72CE"/>
    <w:rsid w:val="004B7941"/>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4B67"/>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1E"/>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698"/>
    <w:rsid w:val="00507966"/>
    <w:rsid w:val="00507B7B"/>
    <w:rsid w:val="00507F8E"/>
    <w:rsid w:val="00510836"/>
    <w:rsid w:val="00510E09"/>
    <w:rsid w:val="00510EB4"/>
    <w:rsid w:val="0051166C"/>
    <w:rsid w:val="00511DD3"/>
    <w:rsid w:val="005127E0"/>
    <w:rsid w:val="0051335C"/>
    <w:rsid w:val="00513D22"/>
    <w:rsid w:val="00514C53"/>
    <w:rsid w:val="00516437"/>
    <w:rsid w:val="00517156"/>
    <w:rsid w:val="00517176"/>
    <w:rsid w:val="005172CF"/>
    <w:rsid w:val="0051780B"/>
    <w:rsid w:val="00520DD8"/>
    <w:rsid w:val="00521461"/>
    <w:rsid w:val="005217FD"/>
    <w:rsid w:val="0052258C"/>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8C8"/>
    <w:rsid w:val="00546BB4"/>
    <w:rsid w:val="005471ED"/>
    <w:rsid w:val="00547D4F"/>
    <w:rsid w:val="00547D9B"/>
    <w:rsid w:val="005500DD"/>
    <w:rsid w:val="0055029B"/>
    <w:rsid w:val="00550377"/>
    <w:rsid w:val="00551248"/>
    <w:rsid w:val="005516A4"/>
    <w:rsid w:val="005517F9"/>
    <w:rsid w:val="00551DF1"/>
    <w:rsid w:val="00552505"/>
    <w:rsid w:val="00552E5E"/>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0B"/>
    <w:rsid w:val="00582F97"/>
    <w:rsid w:val="005841FC"/>
    <w:rsid w:val="005843D3"/>
    <w:rsid w:val="005849AB"/>
    <w:rsid w:val="00584BB2"/>
    <w:rsid w:val="00584C06"/>
    <w:rsid w:val="0058538A"/>
    <w:rsid w:val="005860DD"/>
    <w:rsid w:val="005860EA"/>
    <w:rsid w:val="00586134"/>
    <w:rsid w:val="0058629F"/>
    <w:rsid w:val="005870E3"/>
    <w:rsid w:val="005872F9"/>
    <w:rsid w:val="00587922"/>
    <w:rsid w:val="00587DAA"/>
    <w:rsid w:val="00590AEE"/>
    <w:rsid w:val="00591195"/>
    <w:rsid w:val="005914CB"/>
    <w:rsid w:val="005916FB"/>
    <w:rsid w:val="00591BB6"/>
    <w:rsid w:val="00591BC1"/>
    <w:rsid w:val="005922D0"/>
    <w:rsid w:val="00592C65"/>
    <w:rsid w:val="00593334"/>
    <w:rsid w:val="0059378B"/>
    <w:rsid w:val="00593EF8"/>
    <w:rsid w:val="00594B88"/>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6F2F"/>
    <w:rsid w:val="005A73B1"/>
    <w:rsid w:val="005A758E"/>
    <w:rsid w:val="005A7A95"/>
    <w:rsid w:val="005A7FED"/>
    <w:rsid w:val="005B0545"/>
    <w:rsid w:val="005B12FA"/>
    <w:rsid w:val="005B280F"/>
    <w:rsid w:val="005B3936"/>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CF4"/>
    <w:rsid w:val="0060005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D6"/>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27F94"/>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7AC"/>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B57"/>
    <w:rsid w:val="00644A84"/>
    <w:rsid w:val="00644C01"/>
    <w:rsid w:val="00644F09"/>
    <w:rsid w:val="006451D0"/>
    <w:rsid w:val="006452A9"/>
    <w:rsid w:val="006453EB"/>
    <w:rsid w:val="006466F6"/>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26"/>
    <w:rsid w:val="00694268"/>
    <w:rsid w:val="00694C72"/>
    <w:rsid w:val="00694D4B"/>
    <w:rsid w:val="00694F35"/>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46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2BF"/>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75F"/>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6D0"/>
    <w:rsid w:val="007028F0"/>
    <w:rsid w:val="00703563"/>
    <w:rsid w:val="007039E6"/>
    <w:rsid w:val="00703CB5"/>
    <w:rsid w:val="00703CE8"/>
    <w:rsid w:val="00704737"/>
    <w:rsid w:val="00704C1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2A"/>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EB9"/>
    <w:rsid w:val="00742EC9"/>
    <w:rsid w:val="00743542"/>
    <w:rsid w:val="00743DEC"/>
    <w:rsid w:val="00744138"/>
    <w:rsid w:val="0074435F"/>
    <w:rsid w:val="00744814"/>
    <w:rsid w:val="00744AB9"/>
    <w:rsid w:val="00744FAE"/>
    <w:rsid w:val="00745335"/>
    <w:rsid w:val="00745468"/>
    <w:rsid w:val="00745894"/>
    <w:rsid w:val="007461A5"/>
    <w:rsid w:val="00746A73"/>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4F2B"/>
    <w:rsid w:val="00785350"/>
    <w:rsid w:val="007863F2"/>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0698"/>
    <w:rsid w:val="007A0A26"/>
    <w:rsid w:val="007A1C6A"/>
    <w:rsid w:val="007A23C6"/>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0FC5"/>
    <w:rsid w:val="007B1032"/>
    <w:rsid w:val="007B184F"/>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5A0"/>
    <w:rsid w:val="007D2793"/>
    <w:rsid w:val="007D2A83"/>
    <w:rsid w:val="007D329A"/>
    <w:rsid w:val="007D3482"/>
    <w:rsid w:val="007D34FE"/>
    <w:rsid w:val="007D3AAB"/>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2CA9"/>
    <w:rsid w:val="007F30EA"/>
    <w:rsid w:val="007F3358"/>
    <w:rsid w:val="007F360E"/>
    <w:rsid w:val="007F3BE7"/>
    <w:rsid w:val="007F4196"/>
    <w:rsid w:val="007F4C8C"/>
    <w:rsid w:val="007F5F2A"/>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6D3"/>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1E8C"/>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0B4"/>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0E7"/>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D7F"/>
    <w:rsid w:val="008C0E2E"/>
    <w:rsid w:val="008C19DB"/>
    <w:rsid w:val="008C1F19"/>
    <w:rsid w:val="008C1F4B"/>
    <w:rsid w:val="008C1F5F"/>
    <w:rsid w:val="008C2061"/>
    <w:rsid w:val="008C2509"/>
    <w:rsid w:val="008C2659"/>
    <w:rsid w:val="008C28A9"/>
    <w:rsid w:val="008C2929"/>
    <w:rsid w:val="008C29E4"/>
    <w:rsid w:val="008C2D57"/>
    <w:rsid w:val="008C35D3"/>
    <w:rsid w:val="008C3B2C"/>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D62"/>
    <w:rsid w:val="008F2E1D"/>
    <w:rsid w:val="008F2EF1"/>
    <w:rsid w:val="008F3169"/>
    <w:rsid w:val="008F350F"/>
    <w:rsid w:val="008F37F3"/>
    <w:rsid w:val="008F50C1"/>
    <w:rsid w:val="008F52D8"/>
    <w:rsid w:val="008F58EA"/>
    <w:rsid w:val="008F6075"/>
    <w:rsid w:val="008F60E2"/>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5B0C"/>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DC5"/>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14A"/>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7E6"/>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1EB9"/>
    <w:rsid w:val="00942134"/>
    <w:rsid w:val="00942168"/>
    <w:rsid w:val="009425B4"/>
    <w:rsid w:val="0094289B"/>
    <w:rsid w:val="0094313E"/>
    <w:rsid w:val="009435EC"/>
    <w:rsid w:val="00943D1A"/>
    <w:rsid w:val="00943D76"/>
    <w:rsid w:val="009445B6"/>
    <w:rsid w:val="00944611"/>
    <w:rsid w:val="009446B4"/>
    <w:rsid w:val="00944A28"/>
    <w:rsid w:val="00944A3D"/>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524"/>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5FF"/>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97E02"/>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A7A"/>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0EA6"/>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E45"/>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929"/>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DCC"/>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757"/>
    <w:rsid w:val="00A50AF4"/>
    <w:rsid w:val="00A51014"/>
    <w:rsid w:val="00A51573"/>
    <w:rsid w:val="00A516B8"/>
    <w:rsid w:val="00A51A13"/>
    <w:rsid w:val="00A51DA8"/>
    <w:rsid w:val="00A51E51"/>
    <w:rsid w:val="00A51ECF"/>
    <w:rsid w:val="00A52913"/>
    <w:rsid w:val="00A53210"/>
    <w:rsid w:val="00A536AF"/>
    <w:rsid w:val="00A53BFC"/>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3B0"/>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4FF3"/>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26B"/>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2930"/>
    <w:rsid w:val="00B22A66"/>
    <w:rsid w:val="00B22C00"/>
    <w:rsid w:val="00B230B7"/>
    <w:rsid w:val="00B233AF"/>
    <w:rsid w:val="00B23C36"/>
    <w:rsid w:val="00B2433C"/>
    <w:rsid w:val="00B246D4"/>
    <w:rsid w:val="00B263B3"/>
    <w:rsid w:val="00B26540"/>
    <w:rsid w:val="00B269AD"/>
    <w:rsid w:val="00B26D2C"/>
    <w:rsid w:val="00B26F9C"/>
    <w:rsid w:val="00B27393"/>
    <w:rsid w:val="00B30108"/>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648"/>
    <w:rsid w:val="00B44EB6"/>
    <w:rsid w:val="00B45695"/>
    <w:rsid w:val="00B45BB7"/>
    <w:rsid w:val="00B4601B"/>
    <w:rsid w:val="00B46913"/>
    <w:rsid w:val="00B46943"/>
    <w:rsid w:val="00B47309"/>
    <w:rsid w:val="00B47812"/>
    <w:rsid w:val="00B50044"/>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2A56"/>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90E"/>
    <w:rsid w:val="00B80A33"/>
    <w:rsid w:val="00B80DBC"/>
    <w:rsid w:val="00B81329"/>
    <w:rsid w:val="00B81A75"/>
    <w:rsid w:val="00B82331"/>
    <w:rsid w:val="00B8373D"/>
    <w:rsid w:val="00B839BC"/>
    <w:rsid w:val="00B8460D"/>
    <w:rsid w:val="00B84C25"/>
    <w:rsid w:val="00B84D6E"/>
    <w:rsid w:val="00B84FDB"/>
    <w:rsid w:val="00B8541F"/>
    <w:rsid w:val="00B8564B"/>
    <w:rsid w:val="00B85CCA"/>
    <w:rsid w:val="00B85D6C"/>
    <w:rsid w:val="00B85E1F"/>
    <w:rsid w:val="00B868FE"/>
    <w:rsid w:val="00B876E2"/>
    <w:rsid w:val="00B87951"/>
    <w:rsid w:val="00B87E8D"/>
    <w:rsid w:val="00B9005B"/>
    <w:rsid w:val="00B90BD0"/>
    <w:rsid w:val="00B91320"/>
    <w:rsid w:val="00B91607"/>
    <w:rsid w:val="00B91935"/>
    <w:rsid w:val="00B9201D"/>
    <w:rsid w:val="00B92352"/>
    <w:rsid w:val="00B92973"/>
    <w:rsid w:val="00B931B7"/>
    <w:rsid w:val="00B93B66"/>
    <w:rsid w:val="00B93DAB"/>
    <w:rsid w:val="00B93EFE"/>
    <w:rsid w:val="00B9424E"/>
    <w:rsid w:val="00B9428F"/>
    <w:rsid w:val="00B942CD"/>
    <w:rsid w:val="00B943E8"/>
    <w:rsid w:val="00B94771"/>
    <w:rsid w:val="00B949C5"/>
    <w:rsid w:val="00B94B88"/>
    <w:rsid w:val="00B94E96"/>
    <w:rsid w:val="00B95411"/>
    <w:rsid w:val="00B959CC"/>
    <w:rsid w:val="00B96973"/>
    <w:rsid w:val="00B96B79"/>
    <w:rsid w:val="00B97757"/>
    <w:rsid w:val="00B977DF"/>
    <w:rsid w:val="00B97C4E"/>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1F1"/>
    <w:rsid w:val="00BA64BE"/>
    <w:rsid w:val="00BA6E77"/>
    <w:rsid w:val="00BA7064"/>
    <w:rsid w:val="00BA77B4"/>
    <w:rsid w:val="00BA7B37"/>
    <w:rsid w:val="00BB1B2F"/>
    <w:rsid w:val="00BB1F66"/>
    <w:rsid w:val="00BB22CC"/>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827"/>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297"/>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72A"/>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27D"/>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B2C"/>
    <w:rsid w:val="00C67C64"/>
    <w:rsid w:val="00C700B2"/>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5B75"/>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C2"/>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817"/>
    <w:rsid w:val="00D049BD"/>
    <w:rsid w:val="00D05169"/>
    <w:rsid w:val="00D053DE"/>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A7B"/>
    <w:rsid w:val="00D53BEF"/>
    <w:rsid w:val="00D53CFA"/>
    <w:rsid w:val="00D54D10"/>
    <w:rsid w:val="00D54DD2"/>
    <w:rsid w:val="00D55048"/>
    <w:rsid w:val="00D55470"/>
    <w:rsid w:val="00D561F6"/>
    <w:rsid w:val="00D56211"/>
    <w:rsid w:val="00D568EE"/>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571"/>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905"/>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005"/>
    <w:rsid w:val="00DA12CE"/>
    <w:rsid w:val="00DA1968"/>
    <w:rsid w:val="00DA1980"/>
    <w:rsid w:val="00DA24E7"/>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AED"/>
    <w:rsid w:val="00DF1CF7"/>
    <w:rsid w:val="00DF1E45"/>
    <w:rsid w:val="00DF1E82"/>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3EEE"/>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0D3"/>
    <w:rsid w:val="00E7342B"/>
    <w:rsid w:val="00E735E1"/>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71D"/>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3EC0"/>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5F4"/>
    <w:rsid w:val="00EE3842"/>
    <w:rsid w:val="00EE4147"/>
    <w:rsid w:val="00EE47B3"/>
    <w:rsid w:val="00EE4D70"/>
    <w:rsid w:val="00EE4FF5"/>
    <w:rsid w:val="00EE521D"/>
    <w:rsid w:val="00EE59CC"/>
    <w:rsid w:val="00EE6450"/>
    <w:rsid w:val="00EE64AC"/>
    <w:rsid w:val="00EE6632"/>
    <w:rsid w:val="00EE6A4D"/>
    <w:rsid w:val="00EE6B64"/>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254"/>
    <w:rsid w:val="00F30735"/>
    <w:rsid w:val="00F31664"/>
    <w:rsid w:val="00F31719"/>
    <w:rsid w:val="00F31CD7"/>
    <w:rsid w:val="00F32D4C"/>
    <w:rsid w:val="00F33144"/>
    <w:rsid w:val="00F3336D"/>
    <w:rsid w:val="00F33891"/>
    <w:rsid w:val="00F33A35"/>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0C"/>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26"/>
    <w:rsid w:val="00F57D76"/>
    <w:rsid w:val="00F600CB"/>
    <w:rsid w:val="00F602AC"/>
    <w:rsid w:val="00F60717"/>
    <w:rsid w:val="00F61065"/>
    <w:rsid w:val="00F6107F"/>
    <w:rsid w:val="00F625B2"/>
    <w:rsid w:val="00F62717"/>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471"/>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62B"/>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0E9"/>
    <w:rsid w:val="00FA52E1"/>
    <w:rsid w:val="00FA5ADB"/>
    <w:rsid w:val="00FA6246"/>
    <w:rsid w:val="00FA6C8A"/>
    <w:rsid w:val="00FA701F"/>
    <w:rsid w:val="00FA7886"/>
    <w:rsid w:val="00FA7C7A"/>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27A"/>
    <w:rsid w:val="00FD4385"/>
    <w:rsid w:val="00FD4A64"/>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14"/>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40DDF02"/>
    <w:rsid w:val="3D343D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D772D"/>
  <w15:docId w15:val="{8DBE3ABA-5965-445C-AF04-C4417917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AAFFE7" w:themeFill="accent1" w:themeFillTint="33"/>
    </w:tcPr>
    <w:tblStylePr w:type="firstRow">
      <w:rPr>
        <w:b/>
        <w:bCs/>
      </w:rPr>
      <w:tblPr/>
      <w:tcPr>
        <w:shd w:val="clear" w:color="auto" w:fill="55FFCF" w:themeFill="accent1" w:themeFillTint="66"/>
      </w:tcPr>
    </w:tblStylePr>
    <w:tblStylePr w:type="lastRow">
      <w:rPr>
        <w:b/>
        <w:bCs/>
        <w:color w:val="232222" w:themeColor="text1"/>
      </w:rPr>
      <w:tblPr/>
      <w:tcPr>
        <w:shd w:val="clear" w:color="auto" w:fill="55FFCF" w:themeFill="accent1" w:themeFillTint="66"/>
      </w:tcPr>
    </w:tblStylePr>
    <w:tblStylePr w:type="firstCol">
      <w:rPr>
        <w:color w:val="FFFFFF" w:themeColor="background1"/>
      </w:rPr>
      <w:tblPr/>
      <w:tcPr>
        <w:shd w:val="clear" w:color="auto" w:fill="00412E" w:themeFill="accent1" w:themeFillShade="BF"/>
      </w:tcPr>
    </w:tblStylePr>
    <w:tblStylePr w:type="lastCol">
      <w:rPr>
        <w:color w:val="FFFFFF" w:themeColor="background1"/>
      </w:rPr>
      <w:tblPr/>
      <w:tcPr>
        <w:shd w:val="clear" w:color="auto" w:fill="00412E" w:themeFill="accent1" w:themeFillShade="BF"/>
      </w:tc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8F6F2" w:themeFill="accent2" w:themeFillTint="33"/>
    </w:tcPr>
    <w:tblStylePr w:type="firstRow">
      <w:rPr>
        <w:b/>
        <w:bCs/>
      </w:rPr>
      <w:tblPr/>
      <w:tcPr>
        <w:shd w:val="clear" w:color="auto" w:fill="F1EDE6" w:themeFill="accent2" w:themeFillTint="66"/>
      </w:tcPr>
    </w:tblStylePr>
    <w:tblStylePr w:type="lastRow">
      <w:rPr>
        <w:b/>
        <w:bCs/>
        <w:color w:val="232222" w:themeColor="text1"/>
      </w:rPr>
      <w:tblPr/>
      <w:tcPr>
        <w:shd w:val="clear" w:color="auto" w:fill="F1EDE6" w:themeFill="accent2" w:themeFillTint="66"/>
      </w:tcPr>
    </w:tblStylePr>
    <w:tblStylePr w:type="firstCol">
      <w:rPr>
        <w:color w:val="FFFFFF" w:themeColor="background1"/>
      </w:rPr>
      <w:tblPr/>
      <w:tcPr>
        <w:shd w:val="clear" w:color="auto" w:fill="B7A47F" w:themeFill="accent2" w:themeFillShade="BF"/>
      </w:tcPr>
    </w:tblStylePr>
    <w:tblStylePr w:type="lastCol">
      <w:rPr>
        <w:color w:val="FFFFFF" w:themeColor="background1"/>
      </w:rPr>
      <w:tblPr/>
      <w:tcPr>
        <w:shd w:val="clear" w:color="auto" w:fill="B7A47F" w:themeFill="accent2" w:themeFillShade="BF"/>
      </w:tc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AE7" w:themeFill="accent5" w:themeFillTint="33"/>
    </w:tcPr>
    <w:tblStylePr w:type="firstRow">
      <w:rPr>
        <w:b/>
        <w:bCs/>
      </w:rPr>
      <w:tblPr/>
      <w:tcPr>
        <w:shd w:val="clear" w:color="auto" w:fill="C1D6D0" w:themeFill="accent5" w:themeFillTint="66"/>
      </w:tcPr>
    </w:tblStylePr>
    <w:tblStylePr w:type="lastRow">
      <w:rPr>
        <w:b/>
        <w:bCs/>
        <w:color w:val="232222" w:themeColor="text1"/>
      </w:rPr>
      <w:tblPr/>
      <w:tcPr>
        <w:shd w:val="clear" w:color="auto" w:fill="C1D6D0" w:themeFill="accent5" w:themeFillTint="66"/>
      </w:tcPr>
    </w:tblStylePr>
    <w:tblStylePr w:type="firstCol">
      <w:rPr>
        <w:color w:val="FFFFFF" w:themeColor="background1"/>
      </w:rPr>
      <w:tblPr/>
      <w:tcPr>
        <w:shd w:val="clear" w:color="auto" w:fill="4C7368" w:themeFill="accent5" w:themeFillShade="BF"/>
      </w:tcPr>
    </w:tblStylePr>
    <w:tblStylePr w:type="lastCol">
      <w:rPr>
        <w:color w:val="FFFFFF" w:themeColor="background1"/>
      </w:rPr>
      <w:tblPr/>
      <w:tcPr>
        <w:shd w:val="clear" w:color="auto" w:fill="4C7368" w:themeFill="accent5" w:themeFillShade="BF"/>
      </w:tc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BF9F7" w:themeFill="accent6" w:themeFillTint="33"/>
    </w:tcPr>
    <w:tblStylePr w:type="firstRow">
      <w:rPr>
        <w:b/>
        <w:bCs/>
      </w:rPr>
      <w:tblPr/>
      <w:tcPr>
        <w:shd w:val="clear" w:color="auto" w:fill="F7F4F0" w:themeFill="accent6" w:themeFillTint="66"/>
      </w:tcPr>
    </w:tblStylePr>
    <w:tblStylePr w:type="lastRow">
      <w:rPr>
        <w:b/>
        <w:bCs/>
        <w:color w:val="232222" w:themeColor="text1"/>
      </w:rPr>
      <w:tblPr/>
      <w:tcPr>
        <w:shd w:val="clear" w:color="auto" w:fill="F7F4F0" w:themeFill="accent6" w:themeFillTint="66"/>
      </w:tcPr>
    </w:tblStylePr>
    <w:tblStylePr w:type="firstCol">
      <w:rPr>
        <w:color w:val="FFFFFF" w:themeColor="background1"/>
      </w:rPr>
      <w:tblPr/>
      <w:tcPr>
        <w:shd w:val="clear" w:color="auto" w:fill="C3B190" w:themeFill="accent6" w:themeFillShade="BF"/>
      </w:tcPr>
    </w:tblStylePr>
    <w:tblStylePr w:type="lastCol">
      <w:rPr>
        <w:color w:val="FFFFFF" w:themeColor="background1"/>
      </w:rPr>
      <w:tblPr/>
      <w:tcPr>
        <w:shd w:val="clear" w:color="auto" w:fill="C3B190" w:themeFill="accent6" w:themeFillShade="BF"/>
      </w:tc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5FFF3" w:themeFill="accen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FE1" w:themeFill="accent1" w:themeFillTint="3F"/>
      </w:tcPr>
    </w:tblStylePr>
    <w:tblStylePr w:type="band1Horz">
      <w:tblPr/>
      <w:tcPr>
        <w:shd w:val="clear" w:color="auto" w:fill="AAFFE7"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BFAF9" w:themeFill="accent2"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F" w:themeFill="accent2" w:themeFillTint="3F"/>
      </w:tcPr>
    </w:tblStylePr>
    <w:tblStylePr w:type="band1Horz">
      <w:tblPr/>
      <w:tcPr>
        <w:shd w:val="clear" w:color="auto" w:fill="F8F6F2"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5F3" w:themeFill="accent5" w:themeFillTint="19"/>
    </w:tcPr>
    <w:tblStylePr w:type="firstRow">
      <w:rPr>
        <w:b/>
        <w:bCs/>
        <w:color w:val="FFFFFF" w:themeColor="background1"/>
      </w:rPr>
      <w:tblPr/>
      <w:tcPr>
        <w:tcBorders>
          <w:bottom w:val="single" w:sz="12" w:space="0" w:color="FFFFFF" w:themeColor="background1"/>
        </w:tcBorders>
        <w:shd w:val="clear" w:color="auto" w:fill="CBBB9F" w:themeFill="accent6" w:themeFillShade="CC"/>
      </w:tcPr>
    </w:tblStylePr>
    <w:tblStylePr w:type="lastRow">
      <w:rPr>
        <w:b/>
        <w:bCs/>
        <w:color w:val="CBBB9F"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E2" w:themeFill="accent5" w:themeFillTint="3F"/>
      </w:tcPr>
    </w:tblStylePr>
    <w:tblStylePr w:type="band1Horz">
      <w:tblPr/>
      <w:tcPr>
        <w:shd w:val="clear" w:color="auto" w:fill="E0EAE7"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517B6F" w:themeFill="accent5" w:themeFillShade="CC"/>
      </w:tcPr>
    </w:tblStylePr>
    <w:tblStylePr w:type="lastRow">
      <w:rPr>
        <w:b/>
        <w:bCs/>
        <w:color w:val="517B6F"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8F5" w:themeFill="accent6" w:themeFillTint="3F"/>
      </w:tcPr>
    </w:tblStylePr>
    <w:tblStylePr w:type="band1Horz">
      <w:tblPr/>
      <w:tcPr>
        <w:shd w:val="clear" w:color="auto" w:fill="FBF9F7"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DDD4C2"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DDD4C2" w:themeColor="accent2"/>
        <w:left w:val="single" w:sz="4" w:space="0" w:color="00573F" w:themeColor="accent1"/>
        <w:bottom w:val="single" w:sz="4" w:space="0" w:color="00573F" w:themeColor="accent1"/>
        <w:right w:val="single" w:sz="4" w:space="0" w:color="00573F" w:themeColor="accent1"/>
        <w:insideH w:val="single" w:sz="4" w:space="0" w:color="FFFFFF" w:themeColor="background1"/>
        <w:insideV w:val="single" w:sz="4" w:space="0" w:color="FFFFFF" w:themeColor="background1"/>
      </w:tblBorders>
    </w:tblPr>
    <w:tcPr>
      <w:shd w:val="clear" w:color="auto" w:fill="D5FFF3" w:themeFill="accen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25" w:themeFill="accent1" w:themeFillShade="99"/>
      </w:tcPr>
    </w:tblStylePr>
    <w:tblStylePr w:type="firstCol">
      <w:rPr>
        <w:color w:val="FFFFFF" w:themeColor="background1"/>
      </w:rPr>
      <w:tblPr/>
      <w:tcPr>
        <w:tcBorders>
          <w:top w:val="nil"/>
          <w:left w:val="nil"/>
          <w:bottom w:val="nil"/>
          <w:right w:val="nil"/>
          <w:insideH w:val="single" w:sz="4" w:space="0" w:color="003425" w:themeColor="accent1" w:themeShade="99"/>
          <w:insideV w:val="nil"/>
        </w:tcBorders>
        <w:shd w:val="clear" w:color="auto" w:fill="0034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425" w:themeFill="accent1" w:themeFillShade="99"/>
      </w:tcPr>
    </w:tblStylePr>
    <w:tblStylePr w:type="band1Vert">
      <w:tblPr/>
      <w:tcPr>
        <w:shd w:val="clear" w:color="auto" w:fill="55FFCF" w:themeFill="accent1" w:themeFillTint="66"/>
      </w:tcPr>
    </w:tblStylePr>
    <w:tblStylePr w:type="band1Horz">
      <w:tblPr/>
      <w:tcPr>
        <w:shd w:val="clear" w:color="auto" w:fill="2CFFC4"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DDD4C2" w:themeColor="accent2"/>
        <w:left w:val="single" w:sz="4" w:space="0" w:color="DDD4C2" w:themeColor="accent2"/>
        <w:bottom w:val="single" w:sz="4" w:space="0" w:color="DDD4C2" w:themeColor="accent2"/>
        <w:right w:val="single" w:sz="4" w:space="0" w:color="DDD4C2" w:themeColor="accent2"/>
        <w:insideH w:val="single" w:sz="4" w:space="0" w:color="FFFFFF" w:themeColor="background1"/>
        <w:insideV w:val="single" w:sz="4" w:space="0" w:color="FFFFFF" w:themeColor="background1"/>
      </w:tblBorders>
    </w:tblPr>
    <w:tcPr>
      <w:shd w:val="clear" w:color="auto" w:fill="FBFAF9" w:themeFill="accent2"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859" w:themeFill="accent2" w:themeFillShade="99"/>
      </w:tcPr>
    </w:tblStylePr>
    <w:tblStylePr w:type="firstCol">
      <w:rPr>
        <w:color w:val="FFFFFF" w:themeColor="background1"/>
      </w:rPr>
      <w:tblPr/>
      <w:tcPr>
        <w:tcBorders>
          <w:top w:val="nil"/>
          <w:left w:val="nil"/>
          <w:bottom w:val="nil"/>
          <w:right w:val="nil"/>
          <w:insideH w:val="single" w:sz="4" w:space="0" w:color="9F8859" w:themeColor="accent2" w:themeShade="99"/>
          <w:insideV w:val="nil"/>
        </w:tcBorders>
        <w:shd w:val="clear" w:color="auto" w:fill="9F88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F8859" w:themeFill="accent2" w:themeFillShade="99"/>
      </w:tcPr>
    </w:tblStylePr>
    <w:tblStylePr w:type="band1Vert">
      <w:tblPr/>
      <w:tcPr>
        <w:shd w:val="clear" w:color="auto" w:fill="F1EDE6" w:themeFill="accent2" w:themeFillTint="66"/>
      </w:tcPr>
    </w:tblStylePr>
    <w:tblStylePr w:type="band1Horz">
      <w:tblPr/>
      <w:tcPr>
        <w:shd w:val="clear" w:color="auto" w:fill="EEE9E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BE5DA" w:themeColor="accent6"/>
        <w:left w:val="single" w:sz="4" w:space="0" w:color="669A8C" w:themeColor="accent5"/>
        <w:bottom w:val="single" w:sz="4" w:space="0" w:color="669A8C" w:themeColor="accent5"/>
        <w:right w:val="single" w:sz="4" w:space="0" w:color="669A8C" w:themeColor="accent5"/>
        <w:insideH w:val="single" w:sz="4" w:space="0" w:color="FFFFFF" w:themeColor="background1"/>
        <w:insideV w:val="single" w:sz="4" w:space="0" w:color="FFFFFF" w:themeColor="background1"/>
      </w:tblBorders>
    </w:tblPr>
    <w:tcPr>
      <w:shd w:val="clear" w:color="auto" w:fill="EFF5F3" w:themeFill="accent5" w:themeFillTint="19"/>
    </w:tcPr>
    <w:tblStylePr w:type="firstRow">
      <w:rPr>
        <w:b/>
        <w:bCs/>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5C53" w:themeFill="accent5" w:themeFillShade="99"/>
      </w:tcPr>
    </w:tblStylePr>
    <w:tblStylePr w:type="firstCol">
      <w:rPr>
        <w:color w:val="FFFFFF" w:themeColor="background1"/>
      </w:rPr>
      <w:tblPr/>
      <w:tcPr>
        <w:tcBorders>
          <w:top w:val="nil"/>
          <w:left w:val="nil"/>
          <w:bottom w:val="nil"/>
          <w:right w:val="nil"/>
          <w:insideH w:val="single" w:sz="4" w:space="0" w:color="3D5C53" w:themeColor="accent5" w:themeShade="99"/>
          <w:insideV w:val="nil"/>
        </w:tcBorders>
        <w:shd w:val="clear" w:color="auto" w:fill="3D5C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5C53" w:themeFill="accent5" w:themeFillShade="99"/>
      </w:tcPr>
    </w:tblStylePr>
    <w:tblStylePr w:type="band1Vert">
      <w:tblPr/>
      <w:tcPr>
        <w:shd w:val="clear" w:color="auto" w:fill="C1D6D0" w:themeFill="accent5" w:themeFillTint="66"/>
      </w:tcPr>
    </w:tblStylePr>
    <w:tblStylePr w:type="band1Horz">
      <w:tblPr/>
      <w:tcPr>
        <w:shd w:val="clear" w:color="auto" w:fill="B2CCC5"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A8C" w:themeColor="accent5"/>
        <w:left w:val="single" w:sz="4" w:space="0" w:color="EBE5DA" w:themeColor="accent6"/>
        <w:bottom w:val="single" w:sz="4" w:space="0" w:color="EBE5DA" w:themeColor="accent6"/>
        <w:right w:val="single" w:sz="4" w:space="0" w:color="EBE5DA"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264" w:themeFill="accent6" w:themeFillShade="99"/>
      </w:tcPr>
    </w:tblStylePr>
    <w:tblStylePr w:type="firstCol">
      <w:rPr>
        <w:color w:val="FFFFFF" w:themeColor="background1"/>
      </w:rPr>
      <w:tblPr/>
      <w:tcPr>
        <w:tcBorders>
          <w:top w:val="nil"/>
          <w:left w:val="nil"/>
          <w:bottom w:val="nil"/>
          <w:right w:val="nil"/>
          <w:insideH w:val="single" w:sz="4" w:space="0" w:color="AB9264" w:themeColor="accent6" w:themeShade="99"/>
          <w:insideV w:val="nil"/>
        </w:tcBorders>
        <w:shd w:val="clear" w:color="auto" w:fill="AB926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9264" w:themeFill="accent6" w:themeFillShade="99"/>
      </w:tcPr>
    </w:tblStylePr>
    <w:tblStylePr w:type="band1Vert">
      <w:tblPr/>
      <w:tcPr>
        <w:shd w:val="clear" w:color="auto" w:fill="F7F4F0" w:themeFill="accent6" w:themeFillTint="66"/>
      </w:tcPr>
    </w:tblStylePr>
    <w:tblStylePr w:type="band1Horz">
      <w:tblPr/>
      <w:tcPr>
        <w:shd w:val="clear" w:color="auto" w:fill="F5F1E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57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B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2E" w:themeFill="accent1" w:themeFillShade="BF"/>
      </w:tcPr>
    </w:tblStylePr>
    <w:tblStylePr w:type="band1Vert">
      <w:tblPr/>
      <w:tcPr>
        <w:tcBorders>
          <w:top w:val="nil"/>
          <w:left w:val="nil"/>
          <w:bottom w:val="nil"/>
          <w:right w:val="nil"/>
          <w:insideH w:val="nil"/>
          <w:insideV w:val="nil"/>
        </w:tcBorders>
        <w:shd w:val="clear" w:color="auto" w:fill="00412E" w:themeFill="accent1" w:themeFillShade="BF"/>
      </w:tcPr>
    </w:tblStylePr>
    <w:tblStylePr w:type="band1Horz">
      <w:tblPr/>
      <w:tcPr>
        <w:tcBorders>
          <w:top w:val="nil"/>
          <w:left w:val="nil"/>
          <w:bottom w:val="nil"/>
          <w:right w:val="nil"/>
          <w:insideH w:val="nil"/>
          <w:insideV w:val="nil"/>
        </w:tcBorders>
        <w:shd w:val="clear" w:color="auto" w:fill="00412E"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DDD4C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471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A4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A47F" w:themeFill="accent2" w:themeFillShade="BF"/>
      </w:tcPr>
    </w:tblStylePr>
    <w:tblStylePr w:type="band1Vert">
      <w:tblPr/>
      <w:tcPr>
        <w:tcBorders>
          <w:top w:val="nil"/>
          <w:left w:val="nil"/>
          <w:bottom w:val="nil"/>
          <w:right w:val="nil"/>
          <w:insideH w:val="nil"/>
          <w:insideV w:val="nil"/>
        </w:tcBorders>
        <w:shd w:val="clear" w:color="auto" w:fill="B7A47F" w:themeFill="accent2" w:themeFillShade="BF"/>
      </w:tcPr>
    </w:tblStylePr>
    <w:tblStylePr w:type="band1Horz">
      <w:tblPr/>
      <w:tcPr>
        <w:tcBorders>
          <w:top w:val="nil"/>
          <w:left w:val="nil"/>
          <w:bottom w:val="nil"/>
          <w:right w:val="nil"/>
          <w:insideH w:val="nil"/>
          <w:insideV w:val="nil"/>
        </w:tcBorders>
        <w:shd w:val="clear" w:color="auto" w:fill="B7A47F"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A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24C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73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7368" w:themeFill="accent5" w:themeFillShade="BF"/>
      </w:tcPr>
    </w:tblStylePr>
    <w:tblStylePr w:type="band1Vert">
      <w:tblPr/>
      <w:tcPr>
        <w:tcBorders>
          <w:top w:val="nil"/>
          <w:left w:val="nil"/>
          <w:bottom w:val="nil"/>
          <w:right w:val="nil"/>
          <w:insideH w:val="nil"/>
          <w:insideV w:val="nil"/>
        </w:tcBorders>
        <w:shd w:val="clear" w:color="auto" w:fill="4C7368" w:themeFill="accent5" w:themeFillShade="BF"/>
      </w:tcPr>
    </w:tblStylePr>
    <w:tblStylePr w:type="band1Horz">
      <w:tblPr/>
      <w:tcPr>
        <w:tcBorders>
          <w:top w:val="nil"/>
          <w:left w:val="nil"/>
          <w:bottom w:val="nil"/>
          <w:right w:val="nil"/>
          <w:insideH w:val="nil"/>
          <w:insideV w:val="nil"/>
        </w:tcBorders>
        <w:shd w:val="clear" w:color="auto" w:fill="4C736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BE5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27A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B19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B190" w:themeFill="accent6" w:themeFillShade="BF"/>
      </w:tcPr>
    </w:tblStylePr>
    <w:tblStylePr w:type="band1Vert">
      <w:tblPr/>
      <w:tcPr>
        <w:tcBorders>
          <w:top w:val="nil"/>
          <w:left w:val="nil"/>
          <w:bottom w:val="nil"/>
          <w:right w:val="nil"/>
          <w:insideH w:val="nil"/>
          <w:insideV w:val="nil"/>
        </w:tcBorders>
        <w:shd w:val="clear" w:color="auto" w:fill="C3B190" w:themeFill="accent6" w:themeFillShade="BF"/>
      </w:tcPr>
    </w:tblStylePr>
    <w:tblStylePr w:type="band1Horz">
      <w:tblPr/>
      <w:tcPr>
        <w:tcBorders>
          <w:top w:val="nil"/>
          <w:left w:val="nil"/>
          <w:bottom w:val="nil"/>
          <w:right w:val="nil"/>
          <w:insideH w:val="nil"/>
          <w:insideV w:val="nil"/>
        </w:tcBorders>
        <w:shd w:val="clear" w:color="auto" w:fill="C3B190"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55FFCF" w:themeColor="accent1" w:themeTint="66"/>
        <w:left w:val="single" w:sz="4" w:space="0" w:color="55FFCF" w:themeColor="accent1" w:themeTint="66"/>
        <w:bottom w:val="single" w:sz="4" w:space="0" w:color="55FFCF" w:themeColor="accent1" w:themeTint="66"/>
        <w:right w:val="single" w:sz="4" w:space="0" w:color="55FFCF" w:themeColor="accent1" w:themeTint="66"/>
        <w:insideH w:val="single" w:sz="4" w:space="0" w:color="55FFCF" w:themeColor="accent1" w:themeTint="66"/>
        <w:insideV w:val="single" w:sz="4" w:space="0" w:color="55FFCF" w:themeColor="accent1" w:themeTint="66"/>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2" w:space="0" w:color="01FFB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1EDE6" w:themeColor="accent2" w:themeTint="66"/>
        <w:left w:val="single" w:sz="4" w:space="0" w:color="F1EDE6" w:themeColor="accent2" w:themeTint="66"/>
        <w:bottom w:val="single" w:sz="4" w:space="0" w:color="F1EDE6" w:themeColor="accent2" w:themeTint="66"/>
        <w:right w:val="single" w:sz="4" w:space="0" w:color="F1EDE6" w:themeColor="accent2" w:themeTint="66"/>
        <w:insideH w:val="single" w:sz="4" w:space="0" w:color="F1EDE6" w:themeColor="accent2" w:themeTint="66"/>
        <w:insideV w:val="single" w:sz="4" w:space="0" w:color="F1EDE6" w:themeColor="accent2" w:themeTint="66"/>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2" w:space="0" w:color="EAE5D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6D0" w:themeColor="accent5" w:themeTint="66"/>
        <w:left w:val="single" w:sz="4" w:space="0" w:color="C1D6D0" w:themeColor="accent5" w:themeTint="66"/>
        <w:bottom w:val="single" w:sz="4" w:space="0" w:color="C1D6D0" w:themeColor="accent5" w:themeTint="66"/>
        <w:right w:val="single" w:sz="4" w:space="0" w:color="C1D6D0" w:themeColor="accent5" w:themeTint="66"/>
        <w:insideH w:val="single" w:sz="4" w:space="0" w:color="C1D6D0" w:themeColor="accent5" w:themeTint="66"/>
        <w:insideV w:val="single" w:sz="4" w:space="0" w:color="C1D6D0" w:themeColor="accent5" w:themeTint="66"/>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2" w:space="0" w:color="A3C2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7F4F0" w:themeColor="accent6" w:themeTint="66"/>
        <w:left w:val="single" w:sz="4" w:space="0" w:color="F7F4F0" w:themeColor="accent6" w:themeTint="66"/>
        <w:bottom w:val="single" w:sz="4" w:space="0" w:color="F7F4F0" w:themeColor="accent6" w:themeTint="66"/>
        <w:right w:val="single" w:sz="4" w:space="0" w:color="F7F4F0" w:themeColor="accent6" w:themeTint="66"/>
        <w:insideH w:val="single" w:sz="4" w:space="0" w:color="F7F4F0" w:themeColor="accent6" w:themeTint="66"/>
        <w:insideV w:val="single" w:sz="4" w:space="0" w:color="F7F4F0" w:themeColor="accent6" w:themeTint="66"/>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2" w:space="0" w:color="F3EFE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01FFB8" w:themeColor="accent1" w:themeTint="99"/>
        <w:bottom w:val="single" w:sz="2" w:space="0" w:color="01FFB8" w:themeColor="accent1" w:themeTint="99"/>
        <w:insideH w:val="single" w:sz="2" w:space="0" w:color="01FFB8" w:themeColor="accent1" w:themeTint="99"/>
        <w:insideV w:val="single" w:sz="2" w:space="0" w:color="01FFB8" w:themeColor="accent1" w:themeTint="99"/>
      </w:tblBorders>
    </w:tblPr>
    <w:tblStylePr w:type="firstRow">
      <w:rPr>
        <w:b/>
        <w:bCs/>
      </w:rPr>
      <w:tblPr/>
      <w:tcPr>
        <w:tcBorders>
          <w:top w:val="nil"/>
          <w:bottom w:val="single" w:sz="12" w:space="0" w:color="01FFB8" w:themeColor="accent1" w:themeTint="99"/>
          <w:insideH w:val="nil"/>
          <w:insideV w:val="nil"/>
        </w:tcBorders>
        <w:shd w:val="clear" w:color="auto" w:fill="FFFFFF" w:themeFill="background1"/>
      </w:tcPr>
    </w:tblStylePr>
    <w:tblStylePr w:type="lastRow">
      <w:rPr>
        <w:b/>
        <w:bCs/>
      </w:rPr>
      <w:tblPr/>
      <w:tcPr>
        <w:tcBorders>
          <w:top w:val="double" w:sz="2" w:space="0" w:color="01FF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AE5DA" w:themeColor="accent2" w:themeTint="99"/>
        <w:bottom w:val="single" w:sz="2" w:space="0" w:color="EAE5DA" w:themeColor="accent2" w:themeTint="99"/>
        <w:insideH w:val="single" w:sz="2" w:space="0" w:color="EAE5DA" w:themeColor="accent2" w:themeTint="99"/>
        <w:insideV w:val="single" w:sz="2" w:space="0" w:color="EAE5DA" w:themeColor="accent2" w:themeTint="99"/>
      </w:tblBorders>
    </w:tblPr>
    <w:tblStylePr w:type="firstRow">
      <w:rPr>
        <w:b/>
        <w:bCs/>
      </w:rPr>
      <w:tblPr/>
      <w:tcPr>
        <w:tcBorders>
          <w:top w:val="nil"/>
          <w:bottom w:val="single" w:sz="12" w:space="0" w:color="EAE5DA" w:themeColor="accent2" w:themeTint="99"/>
          <w:insideH w:val="nil"/>
          <w:insideV w:val="nil"/>
        </w:tcBorders>
        <w:shd w:val="clear" w:color="auto" w:fill="FFFFFF" w:themeFill="background1"/>
      </w:tcPr>
    </w:tblStylePr>
    <w:tblStylePr w:type="lastRow">
      <w:rPr>
        <w:b/>
        <w:bCs/>
      </w:rPr>
      <w:tblPr/>
      <w:tcPr>
        <w:tcBorders>
          <w:top w:val="double" w:sz="2" w:space="0" w:color="EAE5D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2B9" w:themeColor="accent5" w:themeTint="99"/>
        <w:bottom w:val="single" w:sz="2" w:space="0" w:color="A3C2B9" w:themeColor="accent5" w:themeTint="99"/>
        <w:insideH w:val="single" w:sz="2" w:space="0" w:color="A3C2B9" w:themeColor="accent5" w:themeTint="99"/>
        <w:insideV w:val="single" w:sz="2" w:space="0" w:color="A3C2B9" w:themeColor="accent5" w:themeTint="99"/>
      </w:tblBorders>
    </w:tblPr>
    <w:tblStylePr w:type="firstRow">
      <w:rPr>
        <w:b/>
        <w:bCs/>
      </w:rPr>
      <w:tblPr/>
      <w:tcPr>
        <w:tcBorders>
          <w:top w:val="nil"/>
          <w:bottom w:val="single" w:sz="12" w:space="0" w:color="A3C2B9" w:themeColor="accent5" w:themeTint="99"/>
          <w:insideH w:val="nil"/>
          <w:insideV w:val="nil"/>
        </w:tcBorders>
        <w:shd w:val="clear" w:color="auto" w:fill="FFFFFF" w:themeFill="background1"/>
      </w:tcPr>
    </w:tblStylePr>
    <w:tblStylePr w:type="lastRow">
      <w:rPr>
        <w:b/>
        <w:bCs/>
      </w:rPr>
      <w:tblPr/>
      <w:tcPr>
        <w:tcBorders>
          <w:top w:val="double" w:sz="2" w:space="0" w:color="A3C2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3EFE8" w:themeColor="accent6" w:themeTint="99"/>
        <w:bottom w:val="single" w:sz="2" w:space="0" w:color="F3EFE8" w:themeColor="accent6" w:themeTint="99"/>
        <w:insideH w:val="single" w:sz="2" w:space="0" w:color="F3EFE8" w:themeColor="accent6" w:themeTint="99"/>
        <w:insideV w:val="single" w:sz="2" w:space="0" w:color="F3EFE8" w:themeColor="accent6" w:themeTint="99"/>
      </w:tblBorders>
    </w:tblPr>
    <w:tblStylePr w:type="firstRow">
      <w:rPr>
        <w:b/>
        <w:bCs/>
      </w:rPr>
      <w:tblPr/>
      <w:tcPr>
        <w:tcBorders>
          <w:top w:val="nil"/>
          <w:bottom w:val="single" w:sz="12" w:space="0" w:color="F3EFE8" w:themeColor="accent6" w:themeTint="99"/>
          <w:insideH w:val="nil"/>
          <w:insideV w:val="nil"/>
        </w:tcBorders>
        <w:shd w:val="clear" w:color="auto" w:fill="FFFFFF" w:themeFill="background1"/>
      </w:tcPr>
    </w:tblStylePr>
    <w:tblStylePr w:type="lastRow">
      <w:rPr>
        <w:b/>
        <w:bCs/>
      </w:rPr>
      <w:tblPr/>
      <w:tcPr>
        <w:tcBorders>
          <w:top w:val="double" w:sz="2" w:space="0" w:color="F3EFE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insideV w:val="nil"/>
        </w:tcBorders>
        <w:shd w:val="clear" w:color="auto" w:fill="00573F" w:themeFill="accent1"/>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insideV w:val="nil"/>
        </w:tcBorders>
        <w:shd w:val="clear" w:color="auto" w:fill="DDD4C2" w:themeFill="accent2"/>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insideV w:val="nil"/>
        </w:tcBorders>
        <w:shd w:val="clear" w:color="auto" w:fill="669A8C" w:themeFill="accent5"/>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insideV w:val="nil"/>
        </w:tcBorders>
        <w:shd w:val="clear" w:color="auto" w:fill="EBE5DA" w:themeFill="accent6"/>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F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7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7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7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73F" w:themeFill="accent1"/>
      </w:tcPr>
    </w:tblStylePr>
    <w:tblStylePr w:type="band1Vert">
      <w:tblPr/>
      <w:tcPr>
        <w:shd w:val="clear" w:color="auto" w:fill="55FFCF" w:themeFill="accent1" w:themeFillTint="66"/>
      </w:tcPr>
    </w:tblStylePr>
    <w:tblStylePr w:type="band1Horz">
      <w:tblPr/>
      <w:tcPr>
        <w:shd w:val="clear" w:color="auto" w:fill="55FFC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4C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4C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4C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4C2" w:themeFill="accent2"/>
      </w:tcPr>
    </w:tblStylePr>
    <w:tblStylePr w:type="band1Vert">
      <w:tblPr/>
      <w:tcPr>
        <w:shd w:val="clear" w:color="auto" w:fill="F1EDE6" w:themeFill="accent2" w:themeFillTint="66"/>
      </w:tcPr>
    </w:tblStylePr>
    <w:tblStylePr w:type="band1Horz">
      <w:tblPr/>
      <w:tcPr>
        <w:shd w:val="clear" w:color="auto" w:fill="F1EDE6"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A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A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A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A8C" w:themeFill="accent5"/>
      </w:tcPr>
    </w:tblStylePr>
    <w:tblStylePr w:type="band1Vert">
      <w:tblPr/>
      <w:tcPr>
        <w:shd w:val="clear" w:color="auto" w:fill="C1D6D0" w:themeFill="accent5" w:themeFillTint="66"/>
      </w:tcPr>
    </w:tblStylePr>
    <w:tblStylePr w:type="band1Horz">
      <w:tblPr/>
      <w:tcPr>
        <w:shd w:val="clear" w:color="auto" w:fill="C1D6D0"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5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5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5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5DA" w:themeFill="accent6"/>
      </w:tcPr>
    </w:tblStylePr>
    <w:tblStylePr w:type="band1Vert">
      <w:tblPr/>
      <w:tcPr>
        <w:shd w:val="clear" w:color="auto" w:fill="F7F4F0" w:themeFill="accent6" w:themeFillTint="66"/>
      </w:tcPr>
    </w:tblStylePr>
    <w:tblStylePr w:type="band1Horz">
      <w:tblPr/>
      <w:tcPr>
        <w:shd w:val="clear" w:color="auto" w:fill="F7F4F0"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6Colorful-Accent2">
    <w:name w:val="Grid Table 6 Colorful Accent 2"/>
    <w:basedOn w:val="TableNormal"/>
    <w:uiPriority w:val="51"/>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6Colorful-Accent6">
    <w:name w:val="Grid Table 6 Colorful Accent 6"/>
    <w:basedOn w:val="TableNormal"/>
    <w:uiPriority w:val="51"/>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7Colorful-Accent2">
    <w:name w:val="Grid Table 7 Colorful Accent 2"/>
    <w:basedOn w:val="TableNormal"/>
    <w:uiPriority w:val="52"/>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7Colorful-Accent6">
    <w:name w:val="Grid Table 7 Colorful Accent 6"/>
    <w:basedOn w:val="TableNormal"/>
    <w:uiPriority w:val="52"/>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18" w:space="0" w:color="00573F" w:themeColor="accent1"/>
          <w:right w:val="single" w:sz="8" w:space="0" w:color="00573F" w:themeColor="accent1"/>
          <w:insideH w:val="nil"/>
          <w:insideV w:val="single" w:sz="8" w:space="0" w:color="0057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insideH w:val="nil"/>
          <w:insideV w:val="single" w:sz="8" w:space="0" w:color="0057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shd w:val="clear" w:color="auto" w:fill="96FFE1" w:themeFill="accent1" w:themeFillTint="3F"/>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shd w:val="clear" w:color="auto" w:fill="96FFE1" w:themeFill="accent1" w:themeFillTint="3F"/>
      </w:tcPr>
    </w:tblStylePr>
    <w:tblStylePr w:type="band2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18" w:space="0" w:color="DDD4C2" w:themeColor="accent2"/>
          <w:right w:val="single" w:sz="8" w:space="0" w:color="DDD4C2" w:themeColor="accent2"/>
          <w:insideH w:val="nil"/>
          <w:insideV w:val="single" w:sz="8" w:space="0" w:color="DDD4C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insideH w:val="nil"/>
          <w:insideV w:val="single" w:sz="8" w:space="0" w:color="DDD4C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shd w:val="clear" w:color="auto" w:fill="F6F4EF" w:themeFill="accent2" w:themeFillTint="3F"/>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shd w:val="clear" w:color="auto" w:fill="F6F4EF" w:themeFill="accent2" w:themeFillTint="3F"/>
      </w:tcPr>
    </w:tblStylePr>
    <w:tblStylePr w:type="band2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18" w:space="0" w:color="669A8C" w:themeColor="accent5"/>
          <w:right w:val="single" w:sz="8" w:space="0" w:color="669A8C" w:themeColor="accent5"/>
          <w:insideH w:val="nil"/>
          <w:insideV w:val="single" w:sz="8" w:space="0" w:color="669A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insideH w:val="nil"/>
          <w:insideV w:val="single" w:sz="8" w:space="0" w:color="669A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shd w:val="clear" w:color="auto" w:fill="D9E6E2" w:themeFill="accent5" w:themeFillTint="3F"/>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shd w:val="clear" w:color="auto" w:fill="D9E6E2" w:themeFill="accent5" w:themeFillTint="3F"/>
      </w:tcPr>
    </w:tblStylePr>
    <w:tblStylePr w:type="band2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18" w:space="0" w:color="EBE5DA" w:themeColor="accent6"/>
          <w:right w:val="single" w:sz="8" w:space="0" w:color="EBE5DA" w:themeColor="accent6"/>
          <w:insideH w:val="nil"/>
          <w:insideV w:val="single" w:sz="8" w:space="0" w:color="EBE5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insideH w:val="nil"/>
          <w:insideV w:val="single" w:sz="8" w:space="0" w:color="EBE5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shd w:val="clear" w:color="auto" w:fill="FAF8F5" w:themeFill="accent6" w:themeFillTint="3F"/>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shd w:val="clear" w:color="auto" w:fill="FAF8F5" w:themeFill="accent6" w:themeFillTint="3F"/>
      </w:tcPr>
    </w:tblStylePr>
    <w:tblStylePr w:type="band2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pPr>
        <w:spacing w:before="0" w:after="0" w:line="240" w:lineRule="auto"/>
      </w:pPr>
      <w:rPr>
        <w:b/>
        <w:bCs/>
        <w:color w:val="FFFFFF" w:themeColor="background1"/>
      </w:rPr>
      <w:tblPr/>
      <w:tcPr>
        <w:shd w:val="clear" w:color="auto" w:fill="00573F" w:themeFill="accent1"/>
      </w:tcPr>
    </w:tblStylePr>
    <w:tblStylePr w:type="lastRow">
      <w:pPr>
        <w:spacing w:before="0" w:after="0" w:line="240" w:lineRule="auto"/>
      </w:pPr>
      <w:rPr>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tcBorders>
      </w:tcPr>
    </w:tblStylePr>
    <w:tblStylePr w:type="firstCol">
      <w:rPr>
        <w:b/>
        <w:bCs/>
      </w:rPr>
    </w:tblStylePr>
    <w:tblStylePr w:type="lastCol">
      <w:rPr>
        <w:b/>
        <w:bCs/>
      </w:r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pPr>
        <w:spacing w:before="0" w:after="0" w:line="240" w:lineRule="auto"/>
      </w:pPr>
      <w:rPr>
        <w:b/>
        <w:bCs/>
        <w:color w:val="FFFFFF" w:themeColor="background1"/>
      </w:rPr>
      <w:tblPr/>
      <w:tcPr>
        <w:shd w:val="clear" w:color="auto" w:fill="DDD4C2" w:themeFill="accent2"/>
      </w:tcPr>
    </w:tblStylePr>
    <w:tblStylePr w:type="lastRow">
      <w:pPr>
        <w:spacing w:before="0" w:after="0" w:line="240" w:lineRule="auto"/>
      </w:pPr>
      <w:rPr>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tcBorders>
      </w:tcPr>
    </w:tblStylePr>
    <w:tblStylePr w:type="firstCol">
      <w:rPr>
        <w:b/>
        <w:bCs/>
      </w:rPr>
    </w:tblStylePr>
    <w:tblStylePr w:type="lastCol">
      <w:rPr>
        <w:b/>
        <w:bCs/>
      </w:r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pPr>
        <w:spacing w:before="0" w:after="0" w:line="240" w:lineRule="auto"/>
      </w:pPr>
      <w:rPr>
        <w:b/>
        <w:bCs/>
        <w:color w:val="FFFFFF" w:themeColor="background1"/>
      </w:rPr>
      <w:tblPr/>
      <w:tcPr>
        <w:shd w:val="clear" w:color="auto" w:fill="669A8C" w:themeFill="accent5"/>
      </w:tcPr>
    </w:tblStylePr>
    <w:tblStylePr w:type="lastRow">
      <w:pPr>
        <w:spacing w:before="0" w:after="0" w:line="240" w:lineRule="auto"/>
      </w:pPr>
      <w:rPr>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tcBorders>
      </w:tcPr>
    </w:tblStylePr>
    <w:tblStylePr w:type="firstCol">
      <w:rPr>
        <w:b/>
        <w:bCs/>
      </w:rPr>
    </w:tblStylePr>
    <w:tblStylePr w:type="lastCol">
      <w:rPr>
        <w:b/>
        <w:bCs/>
      </w:r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pPr>
        <w:spacing w:before="0" w:after="0" w:line="240" w:lineRule="auto"/>
      </w:pPr>
      <w:rPr>
        <w:b/>
        <w:bCs/>
        <w:color w:val="FFFFFF" w:themeColor="background1"/>
      </w:rPr>
      <w:tblPr/>
      <w:tcPr>
        <w:shd w:val="clear" w:color="auto" w:fill="EBE5DA" w:themeFill="accent6"/>
      </w:tcPr>
    </w:tblStylePr>
    <w:tblStylePr w:type="lastRow">
      <w:pPr>
        <w:spacing w:before="0" w:after="0" w:line="240" w:lineRule="auto"/>
      </w:pPr>
      <w:rPr>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tcBorders>
      </w:tcPr>
    </w:tblStylePr>
    <w:tblStylePr w:type="firstCol">
      <w:rPr>
        <w:b/>
        <w:bCs/>
      </w:rPr>
    </w:tblStylePr>
    <w:tblStylePr w:type="lastCol">
      <w:rPr>
        <w:b/>
        <w:bCs/>
      </w:r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412E" w:themeColor="accent1" w:themeShade="BF"/>
    </w:rPr>
    <w:tblPr>
      <w:tblStyleRowBandSize w:val="1"/>
      <w:tblStyleColBandSize w:val="1"/>
      <w:tblBorders>
        <w:top w:val="single" w:sz="8" w:space="0" w:color="00573F" w:themeColor="accent1"/>
        <w:bottom w:val="single" w:sz="8" w:space="0" w:color="00573F" w:themeColor="accent1"/>
      </w:tblBorders>
    </w:tblPr>
    <w:tblStylePr w:type="fir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la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left w:val="nil"/>
          <w:right w:val="nil"/>
          <w:insideH w:val="nil"/>
          <w:insideV w:val="nil"/>
        </w:tcBorders>
        <w:shd w:val="clear" w:color="auto" w:fill="96FFE1" w:themeFill="accent1" w:themeFillTint="3F"/>
      </w:tcPr>
    </w:tblStylePr>
  </w:style>
  <w:style w:type="table" w:styleId="LightShading-Accent2">
    <w:name w:val="Light Shading Accent 2"/>
    <w:basedOn w:val="TableNormal"/>
    <w:uiPriority w:val="60"/>
    <w:semiHidden/>
    <w:rsid w:val="0058629F"/>
    <w:rPr>
      <w:color w:val="B7A47F" w:themeColor="accent2" w:themeShade="BF"/>
    </w:rPr>
    <w:tblPr>
      <w:tblStyleRowBandSize w:val="1"/>
      <w:tblStyleColBandSize w:val="1"/>
      <w:tblBorders>
        <w:top w:val="single" w:sz="8" w:space="0" w:color="DDD4C2" w:themeColor="accent2"/>
        <w:bottom w:val="single" w:sz="8" w:space="0" w:color="DDD4C2" w:themeColor="accent2"/>
      </w:tblBorders>
    </w:tblPr>
    <w:tblStylePr w:type="fir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la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left w:val="nil"/>
          <w:right w:val="nil"/>
          <w:insideH w:val="nil"/>
          <w:insideV w:val="nil"/>
        </w:tcBorders>
        <w:shd w:val="clear" w:color="auto" w:fill="F6F4EF"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4C7368" w:themeColor="accent5" w:themeShade="BF"/>
    </w:rPr>
    <w:tblPr>
      <w:tblStyleRowBandSize w:val="1"/>
      <w:tblStyleColBandSize w:val="1"/>
      <w:tblBorders>
        <w:top w:val="single" w:sz="8" w:space="0" w:color="669A8C" w:themeColor="accent5"/>
        <w:bottom w:val="single" w:sz="8" w:space="0" w:color="669A8C" w:themeColor="accent5"/>
      </w:tblBorders>
    </w:tblPr>
    <w:tblStylePr w:type="fir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la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left w:val="nil"/>
          <w:right w:val="nil"/>
          <w:insideH w:val="nil"/>
          <w:insideV w:val="nil"/>
        </w:tcBorders>
        <w:shd w:val="clear" w:color="auto" w:fill="D9E6E2" w:themeFill="accent5" w:themeFillTint="3F"/>
      </w:tcPr>
    </w:tblStylePr>
  </w:style>
  <w:style w:type="table" w:styleId="LightShading-Accent6">
    <w:name w:val="Light Shading Accent 6"/>
    <w:basedOn w:val="TableNormal"/>
    <w:uiPriority w:val="60"/>
    <w:semiHidden/>
    <w:rsid w:val="0058629F"/>
    <w:rPr>
      <w:color w:val="C3B190" w:themeColor="accent6" w:themeShade="BF"/>
    </w:rPr>
    <w:tblPr>
      <w:tblStyleRowBandSize w:val="1"/>
      <w:tblStyleColBandSize w:val="1"/>
      <w:tblBorders>
        <w:top w:val="single" w:sz="8" w:space="0" w:color="EBE5DA" w:themeColor="accent6"/>
        <w:bottom w:val="single" w:sz="8" w:space="0" w:color="EBE5DA" w:themeColor="accent6"/>
      </w:tblBorders>
    </w:tblPr>
    <w:tblStylePr w:type="fir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la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left w:val="nil"/>
          <w:right w:val="nil"/>
          <w:insideH w:val="nil"/>
          <w:insideV w:val="nil"/>
        </w:tcBorders>
        <w:shd w:val="clear" w:color="auto" w:fill="FAF8F5"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01FFB8" w:themeColor="accent1" w:themeTint="99"/>
        </w:tcBorders>
      </w:tcPr>
    </w:tblStylePr>
    <w:tblStylePr w:type="lastRow">
      <w:rPr>
        <w:b/>
        <w:bCs/>
      </w:rPr>
      <w:tblPr/>
      <w:tcPr>
        <w:tcBorders>
          <w:top w:val="sing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AE5DA" w:themeColor="accent2" w:themeTint="99"/>
        </w:tcBorders>
      </w:tcPr>
    </w:tblStylePr>
    <w:tblStylePr w:type="lastRow">
      <w:rPr>
        <w:b/>
        <w:bCs/>
      </w:rPr>
      <w:tblPr/>
      <w:tcPr>
        <w:tcBorders>
          <w:top w:val="sing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2B9" w:themeColor="accent5" w:themeTint="99"/>
        </w:tcBorders>
      </w:tcPr>
    </w:tblStylePr>
    <w:tblStylePr w:type="lastRow">
      <w:rPr>
        <w:b/>
        <w:bCs/>
      </w:rPr>
      <w:tblPr/>
      <w:tcPr>
        <w:tcBorders>
          <w:top w:val="sing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3EFE8" w:themeColor="accent6" w:themeTint="99"/>
        </w:tcBorders>
      </w:tcPr>
    </w:tblStylePr>
    <w:tblStylePr w:type="lastRow">
      <w:rPr>
        <w:b/>
        <w:bCs/>
      </w:rPr>
      <w:tblPr/>
      <w:tcPr>
        <w:tcBorders>
          <w:top w:val="sing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01FFB8" w:themeColor="accent1" w:themeTint="99"/>
        <w:bottom w:val="single" w:sz="4" w:space="0" w:color="01FFB8" w:themeColor="accent1" w:themeTint="99"/>
        <w:insideH w:val="single" w:sz="4" w:space="0" w:color="01FFB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AE5DA" w:themeColor="accent2" w:themeTint="99"/>
        <w:bottom w:val="single" w:sz="4" w:space="0" w:color="EAE5DA" w:themeColor="accent2" w:themeTint="99"/>
        <w:insideH w:val="single" w:sz="4" w:space="0" w:color="EAE5D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2B9" w:themeColor="accent5" w:themeTint="99"/>
        <w:bottom w:val="single" w:sz="4" w:space="0" w:color="A3C2B9" w:themeColor="accent5" w:themeTint="99"/>
        <w:insideH w:val="single" w:sz="4" w:space="0" w:color="A3C2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3EFE8" w:themeColor="accent6" w:themeTint="99"/>
        <w:bottom w:val="single" w:sz="4" w:space="0" w:color="F3EFE8" w:themeColor="accent6" w:themeTint="99"/>
        <w:insideH w:val="single" w:sz="4" w:space="0" w:color="F3EFE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tblBorders>
    </w:tblPr>
    <w:tblStylePr w:type="firstRow">
      <w:rPr>
        <w:b/>
        <w:bCs/>
        <w:color w:val="FFFFFF" w:themeColor="background1"/>
      </w:rPr>
      <w:tblPr/>
      <w:tcPr>
        <w:shd w:val="clear" w:color="auto" w:fill="00573F" w:themeFill="accent1"/>
      </w:tcPr>
    </w:tblStylePr>
    <w:tblStylePr w:type="lastRow">
      <w:rPr>
        <w:b/>
        <w:bCs/>
      </w:rPr>
      <w:tblPr/>
      <w:tcPr>
        <w:tcBorders>
          <w:top w:val="double" w:sz="4" w:space="0" w:color="0057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bottom w:val="single" w:sz="4" w:space="0" w:color="0057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tblPr/>
      <w:tcPr>
        <w:tcBorders>
          <w:top w:val="double" w:sz="4" w:space="0" w:color="00573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DDD4C2" w:themeColor="accent2"/>
        <w:left w:val="single" w:sz="4" w:space="0" w:color="DDD4C2" w:themeColor="accent2"/>
        <w:bottom w:val="single" w:sz="4" w:space="0" w:color="DDD4C2" w:themeColor="accent2"/>
        <w:right w:val="single" w:sz="4" w:space="0" w:color="DDD4C2" w:themeColor="accent2"/>
      </w:tblBorders>
    </w:tblPr>
    <w:tblStylePr w:type="firstRow">
      <w:rPr>
        <w:b/>
        <w:bCs/>
        <w:color w:val="FFFFFF" w:themeColor="background1"/>
      </w:rPr>
      <w:tblPr/>
      <w:tcPr>
        <w:shd w:val="clear" w:color="auto" w:fill="DDD4C2" w:themeFill="accent2"/>
      </w:tcPr>
    </w:tblStylePr>
    <w:tblStylePr w:type="lastRow">
      <w:rPr>
        <w:b/>
        <w:bCs/>
      </w:rPr>
      <w:tblPr/>
      <w:tcPr>
        <w:tcBorders>
          <w:top w:val="double" w:sz="4" w:space="0" w:color="DDD4C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4C2" w:themeColor="accent2"/>
          <w:right w:val="single" w:sz="4" w:space="0" w:color="DDD4C2" w:themeColor="accent2"/>
        </w:tcBorders>
      </w:tcPr>
    </w:tblStylePr>
    <w:tblStylePr w:type="band1Horz">
      <w:tblPr/>
      <w:tcPr>
        <w:tcBorders>
          <w:top w:val="single" w:sz="4" w:space="0" w:color="DDD4C2" w:themeColor="accent2"/>
          <w:bottom w:val="single" w:sz="4" w:space="0" w:color="DDD4C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4C2" w:themeColor="accent2"/>
          <w:left w:val="nil"/>
        </w:tcBorders>
      </w:tcPr>
    </w:tblStylePr>
    <w:tblStylePr w:type="swCell">
      <w:tblPr/>
      <w:tcPr>
        <w:tcBorders>
          <w:top w:val="double" w:sz="4" w:space="0" w:color="DDD4C2"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A8C" w:themeColor="accent5"/>
        <w:left w:val="single" w:sz="4" w:space="0" w:color="669A8C" w:themeColor="accent5"/>
        <w:bottom w:val="single" w:sz="4" w:space="0" w:color="669A8C" w:themeColor="accent5"/>
        <w:right w:val="single" w:sz="4" w:space="0" w:color="669A8C" w:themeColor="accent5"/>
      </w:tblBorders>
    </w:tblPr>
    <w:tblStylePr w:type="firstRow">
      <w:rPr>
        <w:b/>
        <w:bCs/>
        <w:color w:val="FFFFFF" w:themeColor="background1"/>
      </w:rPr>
      <w:tblPr/>
      <w:tcPr>
        <w:shd w:val="clear" w:color="auto" w:fill="669A8C" w:themeFill="accent5"/>
      </w:tcPr>
    </w:tblStylePr>
    <w:tblStylePr w:type="lastRow">
      <w:rPr>
        <w:b/>
        <w:bCs/>
      </w:rPr>
      <w:tblPr/>
      <w:tcPr>
        <w:tcBorders>
          <w:top w:val="double" w:sz="4" w:space="0" w:color="669A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A8C" w:themeColor="accent5"/>
          <w:right w:val="single" w:sz="4" w:space="0" w:color="669A8C" w:themeColor="accent5"/>
        </w:tcBorders>
      </w:tcPr>
    </w:tblStylePr>
    <w:tblStylePr w:type="band1Horz">
      <w:tblPr/>
      <w:tcPr>
        <w:tcBorders>
          <w:top w:val="single" w:sz="4" w:space="0" w:color="669A8C" w:themeColor="accent5"/>
          <w:bottom w:val="single" w:sz="4" w:space="0" w:color="669A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A8C" w:themeColor="accent5"/>
          <w:left w:val="nil"/>
        </w:tcBorders>
      </w:tcPr>
    </w:tblStylePr>
    <w:tblStylePr w:type="swCell">
      <w:tblPr/>
      <w:tcPr>
        <w:tcBorders>
          <w:top w:val="double" w:sz="4" w:space="0" w:color="669A8C"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BE5DA" w:themeColor="accent6"/>
        <w:left w:val="single" w:sz="4" w:space="0" w:color="EBE5DA" w:themeColor="accent6"/>
        <w:bottom w:val="single" w:sz="4" w:space="0" w:color="EBE5DA" w:themeColor="accent6"/>
        <w:right w:val="single" w:sz="4" w:space="0" w:color="EBE5DA" w:themeColor="accent6"/>
      </w:tblBorders>
    </w:tblPr>
    <w:tblStylePr w:type="firstRow">
      <w:rPr>
        <w:b/>
        <w:bCs/>
        <w:color w:val="FFFFFF" w:themeColor="background1"/>
      </w:rPr>
      <w:tblPr/>
      <w:tcPr>
        <w:shd w:val="clear" w:color="auto" w:fill="EBE5DA" w:themeFill="accent6"/>
      </w:tcPr>
    </w:tblStylePr>
    <w:tblStylePr w:type="lastRow">
      <w:rPr>
        <w:b/>
        <w:bCs/>
      </w:rPr>
      <w:tblPr/>
      <w:tcPr>
        <w:tcBorders>
          <w:top w:val="double" w:sz="4" w:space="0" w:color="EBE5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5DA" w:themeColor="accent6"/>
          <w:right w:val="single" w:sz="4" w:space="0" w:color="EBE5DA" w:themeColor="accent6"/>
        </w:tcBorders>
      </w:tcPr>
    </w:tblStylePr>
    <w:tblStylePr w:type="band1Horz">
      <w:tblPr/>
      <w:tcPr>
        <w:tcBorders>
          <w:top w:val="single" w:sz="4" w:space="0" w:color="EBE5DA" w:themeColor="accent6"/>
          <w:bottom w:val="single" w:sz="4" w:space="0" w:color="EBE5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5DA" w:themeColor="accent6"/>
          <w:left w:val="nil"/>
        </w:tcBorders>
      </w:tcPr>
    </w:tblStylePr>
    <w:tblStylePr w:type="swCell">
      <w:tblPr/>
      <w:tcPr>
        <w:tcBorders>
          <w:top w:val="double" w:sz="4" w:space="0" w:color="EBE5DA"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tcBorders>
        <w:shd w:val="clear" w:color="auto" w:fill="00573F" w:themeFill="accent1"/>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tcBorders>
        <w:shd w:val="clear" w:color="auto" w:fill="DDD4C2" w:themeFill="accent2"/>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tcBorders>
        <w:shd w:val="clear" w:color="auto" w:fill="669A8C" w:themeFill="accent5"/>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tcBorders>
        <w:shd w:val="clear" w:color="auto" w:fill="EBE5DA" w:themeFill="accent6"/>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573F" w:themeColor="accent1"/>
        <w:left w:val="single" w:sz="24" w:space="0" w:color="00573F" w:themeColor="accent1"/>
        <w:bottom w:val="single" w:sz="24" w:space="0" w:color="00573F" w:themeColor="accent1"/>
        <w:right w:val="single" w:sz="24" w:space="0" w:color="00573F" w:themeColor="accent1"/>
      </w:tblBorders>
    </w:tblPr>
    <w:tcPr>
      <w:shd w:val="clear" w:color="auto" w:fill="00573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DDD4C2" w:themeColor="accent2"/>
        <w:left w:val="single" w:sz="24" w:space="0" w:color="DDD4C2" w:themeColor="accent2"/>
        <w:bottom w:val="single" w:sz="24" w:space="0" w:color="DDD4C2" w:themeColor="accent2"/>
        <w:right w:val="single" w:sz="24" w:space="0" w:color="DDD4C2" w:themeColor="accent2"/>
      </w:tblBorders>
    </w:tblPr>
    <w:tcPr>
      <w:shd w:val="clear" w:color="auto" w:fill="DDD4C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A8C" w:themeColor="accent5"/>
        <w:left w:val="single" w:sz="24" w:space="0" w:color="669A8C" w:themeColor="accent5"/>
        <w:bottom w:val="single" w:sz="24" w:space="0" w:color="669A8C" w:themeColor="accent5"/>
        <w:right w:val="single" w:sz="24" w:space="0" w:color="669A8C" w:themeColor="accent5"/>
      </w:tblBorders>
    </w:tblPr>
    <w:tcPr>
      <w:shd w:val="clear" w:color="auto" w:fill="669A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BE5DA" w:themeColor="accent6"/>
        <w:left w:val="single" w:sz="24" w:space="0" w:color="EBE5DA" w:themeColor="accent6"/>
        <w:bottom w:val="single" w:sz="24" w:space="0" w:color="EBE5DA" w:themeColor="accent6"/>
        <w:right w:val="single" w:sz="24" w:space="0" w:color="EBE5DA" w:themeColor="accent6"/>
      </w:tblBorders>
    </w:tblPr>
    <w:tcPr>
      <w:shd w:val="clear" w:color="auto" w:fill="EBE5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412E" w:themeColor="accent1" w:themeShade="BF"/>
    </w:rPr>
    <w:tblPr>
      <w:tblStyleRowBandSize w:val="1"/>
      <w:tblStyleColBandSize w:val="1"/>
      <w:tblBorders>
        <w:top w:val="single" w:sz="4" w:space="0" w:color="00573F" w:themeColor="accent1"/>
        <w:bottom w:val="single" w:sz="4" w:space="0" w:color="00573F" w:themeColor="accent1"/>
      </w:tblBorders>
    </w:tblPr>
    <w:tblStylePr w:type="firstRow">
      <w:rPr>
        <w:b/>
        <w:bCs/>
      </w:rPr>
      <w:tblPr/>
      <w:tcPr>
        <w:tcBorders>
          <w:bottom w:val="single" w:sz="4" w:space="0" w:color="00573F" w:themeColor="accent1"/>
        </w:tcBorders>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6Colorful-Accent2">
    <w:name w:val="List Table 6 Colorful Accent 2"/>
    <w:basedOn w:val="TableNormal"/>
    <w:uiPriority w:val="51"/>
    <w:semiHidden/>
    <w:rsid w:val="0058629F"/>
    <w:rPr>
      <w:color w:val="B7A47F" w:themeColor="accent2" w:themeShade="BF"/>
    </w:rPr>
    <w:tblPr>
      <w:tblStyleRowBandSize w:val="1"/>
      <w:tblStyleColBandSize w:val="1"/>
      <w:tblBorders>
        <w:top w:val="single" w:sz="4" w:space="0" w:color="DDD4C2" w:themeColor="accent2"/>
        <w:bottom w:val="single" w:sz="4" w:space="0" w:color="DDD4C2" w:themeColor="accent2"/>
      </w:tblBorders>
    </w:tblPr>
    <w:tblStylePr w:type="firstRow">
      <w:rPr>
        <w:b/>
        <w:bCs/>
      </w:rPr>
      <w:tblPr/>
      <w:tcPr>
        <w:tcBorders>
          <w:bottom w:val="single" w:sz="4" w:space="0" w:color="DDD4C2" w:themeColor="accent2"/>
        </w:tcBorders>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4C7368" w:themeColor="accent5" w:themeShade="BF"/>
    </w:rPr>
    <w:tblPr>
      <w:tblStyleRowBandSize w:val="1"/>
      <w:tblStyleColBandSize w:val="1"/>
      <w:tblBorders>
        <w:top w:val="single" w:sz="4" w:space="0" w:color="669A8C" w:themeColor="accent5"/>
        <w:bottom w:val="single" w:sz="4" w:space="0" w:color="669A8C" w:themeColor="accent5"/>
      </w:tblBorders>
    </w:tblPr>
    <w:tblStylePr w:type="firstRow">
      <w:rPr>
        <w:b/>
        <w:bCs/>
      </w:rPr>
      <w:tblPr/>
      <w:tcPr>
        <w:tcBorders>
          <w:bottom w:val="single" w:sz="4" w:space="0" w:color="669A8C" w:themeColor="accent5"/>
        </w:tcBorders>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6Colorful-Accent6">
    <w:name w:val="List Table 6 Colorful Accent 6"/>
    <w:basedOn w:val="TableNormal"/>
    <w:uiPriority w:val="51"/>
    <w:semiHidden/>
    <w:rsid w:val="0058629F"/>
    <w:rPr>
      <w:color w:val="C3B190" w:themeColor="accent6" w:themeShade="BF"/>
    </w:rPr>
    <w:tblPr>
      <w:tblStyleRowBandSize w:val="1"/>
      <w:tblStyleColBandSize w:val="1"/>
      <w:tblBorders>
        <w:top w:val="single" w:sz="4" w:space="0" w:color="EBE5DA" w:themeColor="accent6"/>
        <w:bottom w:val="single" w:sz="4" w:space="0" w:color="EBE5DA" w:themeColor="accent6"/>
      </w:tblBorders>
    </w:tblPr>
    <w:tblStylePr w:type="firstRow">
      <w:rPr>
        <w:b/>
        <w:bCs/>
      </w:rPr>
      <w:tblPr/>
      <w:tcPr>
        <w:tcBorders>
          <w:bottom w:val="single" w:sz="4" w:space="0" w:color="EBE5DA" w:themeColor="accent6"/>
        </w:tcBorders>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41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7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7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73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73F" w:themeColor="accent1"/>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B7A4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4C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4C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4C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4C2" w:themeColor="accent2"/>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4C73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A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A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A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A8C" w:themeColor="accent5"/>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3B19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E5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5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5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E5DA" w:themeColor="accent6"/>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insideV w:val="single" w:sz="8" w:space="0" w:color="00C18B" w:themeColor="accent1" w:themeTint="BF"/>
      </w:tblBorders>
    </w:tblPr>
    <w:tcPr>
      <w:shd w:val="clear" w:color="auto" w:fill="96FFE1" w:themeFill="accent1" w:themeFillTint="3F"/>
    </w:tcPr>
    <w:tblStylePr w:type="firstRow">
      <w:rPr>
        <w:b/>
        <w:bCs/>
      </w:rPr>
    </w:tblStylePr>
    <w:tblStylePr w:type="lastRow">
      <w:rPr>
        <w:b/>
        <w:bCs/>
      </w:rPr>
      <w:tblPr/>
      <w:tcPr>
        <w:tcBorders>
          <w:top w:val="single" w:sz="18" w:space="0" w:color="00C18B" w:themeColor="accent1" w:themeTint="BF"/>
        </w:tcBorders>
      </w:tcPr>
    </w:tblStylePr>
    <w:tblStylePr w:type="firstCol">
      <w:rPr>
        <w:b/>
        <w:bCs/>
      </w:rPr>
    </w:tblStylePr>
    <w:tblStylePr w:type="lastCol">
      <w:rPr>
        <w:b/>
        <w:bCs/>
      </w:r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insideV w:val="single" w:sz="8" w:space="0" w:color="E5DED1" w:themeColor="accent2" w:themeTint="BF"/>
      </w:tblBorders>
    </w:tblPr>
    <w:tcPr>
      <w:shd w:val="clear" w:color="auto" w:fill="F6F4EF" w:themeFill="accent2" w:themeFillTint="3F"/>
    </w:tcPr>
    <w:tblStylePr w:type="firstRow">
      <w:rPr>
        <w:b/>
        <w:bCs/>
      </w:rPr>
    </w:tblStylePr>
    <w:tblStylePr w:type="lastRow">
      <w:rPr>
        <w:b/>
        <w:bCs/>
      </w:rPr>
      <w:tblPr/>
      <w:tcPr>
        <w:tcBorders>
          <w:top w:val="single" w:sz="18" w:space="0" w:color="E5DED1" w:themeColor="accent2" w:themeTint="BF"/>
        </w:tcBorders>
      </w:tcPr>
    </w:tblStylePr>
    <w:tblStylePr w:type="firstCol">
      <w:rPr>
        <w:b/>
        <w:bCs/>
      </w:rPr>
    </w:tblStylePr>
    <w:tblStylePr w:type="lastCol">
      <w:rPr>
        <w:b/>
        <w:bCs/>
      </w:r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insideV w:val="single" w:sz="8" w:space="0" w:color="8CB3A8" w:themeColor="accent5" w:themeTint="BF"/>
      </w:tblBorders>
    </w:tblPr>
    <w:tcPr>
      <w:shd w:val="clear" w:color="auto" w:fill="D9E6E2" w:themeFill="accent5" w:themeFillTint="3F"/>
    </w:tcPr>
    <w:tblStylePr w:type="firstRow">
      <w:rPr>
        <w:b/>
        <w:bCs/>
      </w:rPr>
    </w:tblStylePr>
    <w:tblStylePr w:type="lastRow">
      <w:rPr>
        <w:b/>
        <w:bCs/>
      </w:rPr>
      <w:tblPr/>
      <w:tcPr>
        <w:tcBorders>
          <w:top w:val="single" w:sz="18" w:space="0" w:color="8CB3A8" w:themeColor="accent5" w:themeTint="BF"/>
        </w:tcBorders>
      </w:tcPr>
    </w:tblStylePr>
    <w:tblStylePr w:type="firstCol">
      <w:rPr>
        <w:b/>
        <w:bCs/>
      </w:rPr>
    </w:tblStylePr>
    <w:tblStylePr w:type="lastCol">
      <w:rPr>
        <w:b/>
        <w:bCs/>
      </w:r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insideV w:val="single" w:sz="8" w:space="0" w:color="F0EBE3" w:themeColor="accent6" w:themeTint="BF"/>
      </w:tblBorders>
    </w:tblPr>
    <w:tcPr>
      <w:shd w:val="clear" w:color="auto" w:fill="FAF8F5" w:themeFill="accent6" w:themeFillTint="3F"/>
    </w:tcPr>
    <w:tblStylePr w:type="firstRow">
      <w:rPr>
        <w:b/>
        <w:bCs/>
      </w:rPr>
    </w:tblStylePr>
    <w:tblStylePr w:type="lastRow">
      <w:rPr>
        <w:b/>
        <w:bCs/>
      </w:rPr>
      <w:tblPr/>
      <w:tcPr>
        <w:tcBorders>
          <w:top w:val="single" w:sz="18" w:space="0" w:color="F0EBE3" w:themeColor="accent6" w:themeTint="BF"/>
        </w:tcBorders>
      </w:tcPr>
    </w:tblStylePr>
    <w:tblStylePr w:type="firstCol">
      <w:rPr>
        <w:b/>
        <w:bCs/>
      </w:rPr>
    </w:tblStylePr>
    <w:tblStylePr w:type="lastCol">
      <w:rPr>
        <w:b/>
        <w:bCs/>
      </w:r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cPr>
      <w:shd w:val="clear" w:color="auto" w:fill="96FFE1" w:themeFill="accent1" w:themeFillTint="3F"/>
    </w:tcPr>
    <w:tblStylePr w:type="firstRow">
      <w:rPr>
        <w:b/>
        <w:bCs/>
        <w:color w:val="232222" w:themeColor="text1"/>
      </w:rPr>
      <w:tblPr/>
      <w:tcPr>
        <w:shd w:val="clear" w:color="auto" w:fill="D5FFF3"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AAFFE7" w:themeFill="accent1" w:themeFillTint="33"/>
      </w:tcPr>
    </w:tblStylePr>
    <w:tblStylePr w:type="band1Vert">
      <w:tblPr/>
      <w:tcPr>
        <w:shd w:val="clear" w:color="auto" w:fill="2CFFC4" w:themeFill="accent1" w:themeFillTint="7F"/>
      </w:tcPr>
    </w:tblStylePr>
    <w:tblStylePr w:type="band1Horz">
      <w:tblPr/>
      <w:tcPr>
        <w:tcBorders>
          <w:insideH w:val="single" w:sz="6" w:space="0" w:color="00573F" w:themeColor="accent1"/>
          <w:insideV w:val="single" w:sz="6" w:space="0" w:color="00573F" w:themeColor="accent1"/>
        </w:tcBorders>
        <w:shd w:val="clear" w:color="auto" w:fill="2CFFC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cPr>
      <w:shd w:val="clear" w:color="auto" w:fill="F6F4EF" w:themeFill="accent2" w:themeFillTint="3F"/>
    </w:tcPr>
    <w:tblStylePr w:type="firstRow">
      <w:rPr>
        <w:b/>
        <w:bCs/>
        <w:color w:val="232222" w:themeColor="text1"/>
      </w:rPr>
      <w:tblPr/>
      <w:tcPr>
        <w:shd w:val="clear" w:color="auto" w:fill="FBFAF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6F2" w:themeFill="accent2" w:themeFillTint="33"/>
      </w:tcPr>
    </w:tblStylePr>
    <w:tblStylePr w:type="band1Vert">
      <w:tblPr/>
      <w:tcPr>
        <w:shd w:val="clear" w:color="auto" w:fill="EEE9E0" w:themeFill="accent2" w:themeFillTint="7F"/>
      </w:tcPr>
    </w:tblStylePr>
    <w:tblStylePr w:type="band1Horz">
      <w:tblPr/>
      <w:tcPr>
        <w:tcBorders>
          <w:insideH w:val="single" w:sz="6" w:space="0" w:color="DDD4C2" w:themeColor="accent2"/>
          <w:insideV w:val="single" w:sz="6" w:space="0" w:color="DDD4C2" w:themeColor="accent2"/>
        </w:tcBorders>
        <w:shd w:val="clear" w:color="auto" w:fill="EEE9E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cPr>
      <w:shd w:val="clear" w:color="auto" w:fill="D9E6E2" w:themeFill="accent5" w:themeFillTint="3F"/>
    </w:tcPr>
    <w:tblStylePr w:type="firstRow">
      <w:rPr>
        <w:b/>
        <w:bCs/>
        <w:color w:val="232222" w:themeColor="text1"/>
      </w:rPr>
      <w:tblPr/>
      <w:tcPr>
        <w:shd w:val="clear" w:color="auto" w:fill="EFF5F3"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AE7" w:themeFill="accent5" w:themeFillTint="33"/>
      </w:tcPr>
    </w:tblStylePr>
    <w:tblStylePr w:type="band1Vert">
      <w:tblPr/>
      <w:tcPr>
        <w:shd w:val="clear" w:color="auto" w:fill="B2CCC5" w:themeFill="accent5" w:themeFillTint="7F"/>
      </w:tcPr>
    </w:tblStylePr>
    <w:tblStylePr w:type="band1Horz">
      <w:tblPr/>
      <w:tcPr>
        <w:tcBorders>
          <w:insideH w:val="single" w:sz="6" w:space="0" w:color="669A8C" w:themeColor="accent5"/>
          <w:insideV w:val="single" w:sz="6" w:space="0" w:color="669A8C" w:themeColor="accent5"/>
        </w:tcBorders>
        <w:shd w:val="clear" w:color="auto" w:fill="B2CC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cPr>
      <w:shd w:val="clear" w:color="auto" w:fill="FAF8F5" w:themeFill="accent6" w:themeFillTint="3F"/>
    </w:tcPr>
    <w:tblStylePr w:type="firstRow">
      <w:rPr>
        <w:b/>
        <w:bCs/>
        <w:color w:val="232222" w:themeColor="text1"/>
      </w:rPr>
      <w:tblPr/>
      <w:tcPr>
        <w:shd w:val="clear" w:color="auto" w:fill="FDFCFB"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9F7" w:themeFill="accent6" w:themeFillTint="33"/>
      </w:tcPr>
    </w:tblStylePr>
    <w:tblStylePr w:type="band1Vert">
      <w:tblPr/>
      <w:tcPr>
        <w:shd w:val="clear" w:color="auto" w:fill="F5F1EC" w:themeFill="accent6" w:themeFillTint="7F"/>
      </w:tcPr>
    </w:tblStylePr>
    <w:tblStylePr w:type="band1Horz">
      <w:tblPr/>
      <w:tcPr>
        <w:tcBorders>
          <w:insideH w:val="single" w:sz="6" w:space="0" w:color="EBE5DA" w:themeColor="accent6"/>
          <w:insideV w:val="single" w:sz="6" w:space="0" w:color="EBE5DA" w:themeColor="accent6"/>
        </w:tcBorders>
        <w:shd w:val="clear" w:color="auto" w:fill="F5F1E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F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FF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FFC4"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4C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4C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9E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9E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A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A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C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CC5"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5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5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1E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1E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573F" w:themeColor="accent1"/>
        <w:bottom w:val="single" w:sz="8" w:space="0" w:color="00573F" w:themeColor="accent1"/>
      </w:tblBorders>
    </w:tblPr>
    <w:tblStylePr w:type="firstRow">
      <w:rPr>
        <w:rFonts w:asciiTheme="majorHAnsi" w:eastAsiaTheme="majorEastAsia" w:hAnsiTheme="majorHAnsi" w:cstheme="majorBidi"/>
      </w:rPr>
      <w:tblPr/>
      <w:tcPr>
        <w:tcBorders>
          <w:top w:val="nil"/>
          <w:bottom w:val="single" w:sz="8" w:space="0" w:color="00573F" w:themeColor="accent1"/>
        </w:tcBorders>
      </w:tcPr>
    </w:tblStylePr>
    <w:tblStylePr w:type="lastRow">
      <w:rPr>
        <w:b/>
        <w:bCs/>
        <w:color w:val="201547" w:themeColor="text2"/>
      </w:rPr>
      <w:tblPr/>
      <w:tcPr>
        <w:tcBorders>
          <w:top w:val="single" w:sz="8" w:space="0" w:color="00573F" w:themeColor="accent1"/>
          <w:bottom w:val="single" w:sz="8" w:space="0" w:color="00573F" w:themeColor="accent1"/>
        </w:tcBorders>
      </w:tcPr>
    </w:tblStylePr>
    <w:tblStylePr w:type="firstCol">
      <w:rPr>
        <w:b/>
        <w:bCs/>
      </w:rPr>
    </w:tblStylePr>
    <w:tblStylePr w:type="lastCol">
      <w:rPr>
        <w:b/>
        <w:bCs/>
      </w:rPr>
      <w:tblPr/>
      <w:tcPr>
        <w:tcBorders>
          <w:top w:val="single" w:sz="8" w:space="0" w:color="00573F" w:themeColor="accent1"/>
          <w:bottom w:val="single" w:sz="8" w:space="0" w:color="00573F" w:themeColor="accent1"/>
        </w:tcBorders>
      </w:tcPr>
    </w:tblStylePr>
    <w:tblStylePr w:type="band1Vert">
      <w:tblPr/>
      <w:tcPr>
        <w:shd w:val="clear" w:color="auto" w:fill="96FFE1" w:themeFill="accent1" w:themeFillTint="3F"/>
      </w:tcPr>
    </w:tblStylePr>
    <w:tblStylePr w:type="band1Horz">
      <w:tblPr/>
      <w:tcPr>
        <w:shd w:val="clear" w:color="auto" w:fill="96FFE1"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DDD4C2" w:themeColor="accent2"/>
        <w:bottom w:val="single" w:sz="8" w:space="0" w:color="DDD4C2" w:themeColor="accent2"/>
      </w:tblBorders>
    </w:tblPr>
    <w:tblStylePr w:type="firstRow">
      <w:rPr>
        <w:rFonts w:asciiTheme="majorHAnsi" w:eastAsiaTheme="majorEastAsia" w:hAnsiTheme="majorHAnsi" w:cstheme="majorBidi"/>
      </w:rPr>
      <w:tblPr/>
      <w:tcPr>
        <w:tcBorders>
          <w:top w:val="nil"/>
          <w:bottom w:val="single" w:sz="8" w:space="0" w:color="DDD4C2" w:themeColor="accent2"/>
        </w:tcBorders>
      </w:tcPr>
    </w:tblStylePr>
    <w:tblStylePr w:type="lastRow">
      <w:rPr>
        <w:b/>
        <w:bCs/>
        <w:color w:val="201547" w:themeColor="text2"/>
      </w:rPr>
      <w:tblPr/>
      <w:tcPr>
        <w:tcBorders>
          <w:top w:val="single" w:sz="8" w:space="0" w:color="DDD4C2" w:themeColor="accent2"/>
          <w:bottom w:val="single" w:sz="8" w:space="0" w:color="DDD4C2" w:themeColor="accent2"/>
        </w:tcBorders>
      </w:tcPr>
    </w:tblStylePr>
    <w:tblStylePr w:type="firstCol">
      <w:rPr>
        <w:b/>
        <w:bCs/>
      </w:rPr>
    </w:tblStylePr>
    <w:tblStylePr w:type="lastCol">
      <w:rPr>
        <w:b/>
        <w:bCs/>
      </w:rPr>
      <w:tblPr/>
      <w:tcPr>
        <w:tcBorders>
          <w:top w:val="single" w:sz="8" w:space="0" w:color="DDD4C2" w:themeColor="accent2"/>
          <w:bottom w:val="single" w:sz="8" w:space="0" w:color="DDD4C2" w:themeColor="accent2"/>
        </w:tcBorders>
      </w:tcPr>
    </w:tblStylePr>
    <w:tblStylePr w:type="band1Vert">
      <w:tblPr/>
      <w:tcPr>
        <w:shd w:val="clear" w:color="auto" w:fill="F6F4EF" w:themeFill="accent2" w:themeFillTint="3F"/>
      </w:tcPr>
    </w:tblStylePr>
    <w:tblStylePr w:type="band1Horz">
      <w:tblPr/>
      <w:tcPr>
        <w:shd w:val="clear" w:color="auto" w:fill="F6F4E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A8C" w:themeColor="accent5"/>
        <w:bottom w:val="single" w:sz="8" w:space="0" w:color="669A8C" w:themeColor="accent5"/>
      </w:tblBorders>
    </w:tblPr>
    <w:tblStylePr w:type="firstRow">
      <w:rPr>
        <w:rFonts w:asciiTheme="majorHAnsi" w:eastAsiaTheme="majorEastAsia" w:hAnsiTheme="majorHAnsi" w:cstheme="majorBidi"/>
      </w:rPr>
      <w:tblPr/>
      <w:tcPr>
        <w:tcBorders>
          <w:top w:val="nil"/>
          <w:bottom w:val="single" w:sz="8" w:space="0" w:color="669A8C" w:themeColor="accent5"/>
        </w:tcBorders>
      </w:tcPr>
    </w:tblStylePr>
    <w:tblStylePr w:type="lastRow">
      <w:rPr>
        <w:b/>
        <w:bCs/>
        <w:color w:val="201547" w:themeColor="text2"/>
      </w:rPr>
      <w:tblPr/>
      <w:tcPr>
        <w:tcBorders>
          <w:top w:val="single" w:sz="8" w:space="0" w:color="669A8C" w:themeColor="accent5"/>
          <w:bottom w:val="single" w:sz="8" w:space="0" w:color="669A8C" w:themeColor="accent5"/>
        </w:tcBorders>
      </w:tcPr>
    </w:tblStylePr>
    <w:tblStylePr w:type="firstCol">
      <w:rPr>
        <w:b/>
        <w:bCs/>
      </w:rPr>
    </w:tblStylePr>
    <w:tblStylePr w:type="lastCol">
      <w:rPr>
        <w:b/>
        <w:bCs/>
      </w:rPr>
      <w:tblPr/>
      <w:tcPr>
        <w:tcBorders>
          <w:top w:val="single" w:sz="8" w:space="0" w:color="669A8C" w:themeColor="accent5"/>
          <w:bottom w:val="single" w:sz="8" w:space="0" w:color="669A8C" w:themeColor="accent5"/>
        </w:tcBorders>
      </w:tcPr>
    </w:tblStylePr>
    <w:tblStylePr w:type="band1Vert">
      <w:tblPr/>
      <w:tcPr>
        <w:shd w:val="clear" w:color="auto" w:fill="D9E6E2" w:themeFill="accent5" w:themeFillTint="3F"/>
      </w:tcPr>
    </w:tblStylePr>
    <w:tblStylePr w:type="band1Horz">
      <w:tblPr/>
      <w:tcPr>
        <w:shd w:val="clear" w:color="auto" w:fill="D9E6E2"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BE5DA" w:themeColor="accent6"/>
        <w:bottom w:val="single" w:sz="8" w:space="0" w:color="EBE5DA" w:themeColor="accent6"/>
      </w:tblBorders>
    </w:tblPr>
    <w:tblStylePr w:type="firstRow">
      <w:rPr>
        <w:rFonts w:asciiTheme="majorHAnsi" w:eastAsiaTheme="majorEastAsia" w:hAnsiTheme="majorHAnsi" w:cstheme="majorBidi"/>
      </w:rPr>
      <w:tblPr/>
      <w:tcPr>
        <w:tcBorders>
          <w:top w:val="nil"/>
          <w:bottom w:val="single" w:sz="8" w:space="0" w:color="EBE5DA" w:themeColor="accent6"/>
        </w:tcBorders>
      </w:tcPr>
    </w:tblStylePr>
    <w:tblStylePr w:type="lastRow">
      <w:rPr>
        <w:b/>
        <w:bCs/>
        <w:color w:val="201547" w:themeColor="text2"/>
      </w:rPr>
      <w:tblPr/>
      <w:tcPr>
        <w:tcBorders>
          <w:top w:val="single" w:sz="8" w:space="0" w:color="EBE5DA" w:themeColor="accent6"/>
          <w:bottom w:val="single" w:sz="8" w:space="0" w:color="EBE5DA" w:themeColor="accent6"/>
        </w:tcBorders>
      </w:tcPr>
    </w:tblStylePr>
    <w:tblStylePr w:type="firstCol">
      <w:rPr>
        <w:b/>
        <w:bCs/>
      </w:rPr>
    </w:tblStylePr>
    <w:tblStylePr w:type="lastCol">
      <w:rPr>
        <w:b/>
        <w:bCs/>
      </w:rPr>
      <w:tblPr/>
      <w:tcPr>
        <w:tcBorders>
          <w:top w:val="single" w:sz="8" w:space="0" w:color="EBE5DA" w:themeColor="accent6"/>
          <w:bottom w:val="single" w:sz="8" w:space="0" w:color="EBE5DA" w:themeColor="accent6"/>
        </w:tcBorders>
      </w:tcPr>
    </w:tblStylePr>
    <w:tblStylePr w:type="band1Vert">
      <w:tblPr/>
      <w:tcPr>
        <w:shd w:val="clear" w:color="auto" w:fill="FAF8F5" w:themeFill="accent6" w:themeFillTint="3F"/>
      </w:tcPr>
    </w:tblStylePr>
    <w:tblStylePr w:type="band1Horz">
      <w:tblPr/>
      <w:tcPr>
        <w:shd w:val="clear" w:color="auto" w:fill="FAF8F5"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rPr>
        <w:sz w:val="24"/>
        <w:szCs w:val="24"/>
      </w:rPr>
      <w:tblPr/>
      <w:tcPr>
        <w:tcBorders>
          <w:top w:val="nil"/>
          <w:left w:val="nil"/>
          <w:bottom w:val="single" w:sz="24" w:space="0" w:color="00573F" w:themeColor="accent1"/>
          <w:right w:val="nil"/>
          <w:insideH w:val="nil"/>
          <w:insideV w:val="nil"/>
        </w:tcBorders>
        <w:shd w:val="clear" w:color="auto" w:fill="FFFFFF" w:themeFill="background1"/>
      </w:tcPr>
    </w:tblStylePr>
    <w:tblStylePr w:type="lastRow">
      <w:tblPr/>
      <w:tcPr>
        <w:tcBorders>
          <w:top w:val="single" w:sz="8" w:space="0" w:color="0057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3F" w:themeColor="accent1"/>
          <w:insideH w:val="nil"/>
          <w:insideV w:val="nil"/>
        </w:tcBorders>
        <w:shd w:val="clear" w:color="auto" w:fill="FFFFFF" w:themeFill="background1"/>
      </w:tcPr>
    </w:tblStylePr>
    <w:tblStylePr w:type="lastCol">
      <w:tblPr/>
      <w:tcPr>
        <w:tcBorders>
          <w:top w:val="nil"/>
          <w:left w:val="single" w:sz="8" w:space="0" w:color="0057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top w:val="nil"/>
          <w:bottom w:val="nil"/>
          <w:insideH w:val="nil"/>
          <w:insideV w:val="nil"/>
        </w:tcBorders>
        <w:shd w:val="clear" w:color="auto" w:fill="96FF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rPr>
        <w:sz w:val="24"/>
        <w:szCs w:val="24"/>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tblPr/>
      <w:tcPr>
        <w:tcBorders>
          <w:top w:val="single" w:sz="8" w:space="0" w:color="DDD4C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4C2" w:themeColor="accent2"/>
          <w:insideH w:val="nil"/>
          <w:insideV w:val="nil"/>
        </w:tcBorders>
        <w:shd w:val="clear" w:color="auto" w:fill="FFFFFF" w:themeFill="background1"/>
      </w:tcPr>
    </w:tblStylePr>
    <w:tblStylePr w:type="lastCol">
      <w:tblPr/>
      <w:tcPr>
        <w:tcBorders>
          <w:top w:val="nil"/>
          <w:left w:val="single" w:sz="8" w:space="0" w:color="DDD4C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top w:val="nil"/>
          <w:bottom w:val="nil"/>
          <w:insideH w:val="nil"/>
          <w:insideV w:val="nil"/>
        </w:tcBorders>
        <w:shd w:val="clear" w:color="auto" w:fill="F6F4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rPr>
        <w:sz w:val="24"/>
        <w:szCs w:val="24"/>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tblPr/>
      <w:tcPr>
        <w:tcBorders>
          <w:top w:val="single" w:sz="8" w:space="0" w:color="669A8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A8C" w:themeColor="accent5"/>
          <w:insideH w:val="nil"/>
          <w:insideV w:val="nil"/>
        </w:tcBorders>
        <w:shd w:val="clear" w:color="auto" w:fill="FFFFFF" w:themeFill="background1"/>
      </w:tcPr>
    </w:tblStylePr>
    <w:tblStylePr w:type="lastCol">
      <w:tblPr/>
      <w:tcPr>
        <w:tcBorders>
          <w:top w:val="nil"/>
          <w:left w:val="single" w:sz="8" w:space="0" w:color="669A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top w:val="nil"/>
          <w:bottom w:val="nil"/>
          <w:insideH w:val="nil"/>
          <w:insideV w:val="nil"/>
        </w:tcBorders>
        <w:shd w:val="clear" w:color="auto" w:fill="D9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rPr>
        <w:sz w:val="24"/>
        <w:szCs w:val="24"/>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tblPr/>
      <w:tcPr>
        <w:tcBorders>
          <w:top w:val="single" w:sz="8" w:space="0" w:color="EBE5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5DA" w:themeColor="accent6"/>
          <w:insideH w:val="nil"/>
          <w:insideV w:val="nil"/>
        </w:tcBorders>
        <w:shd w:val="clear" w:color="auto" w:fill="FFFFFF" w:themeFill="background1"/>
      </w:tcPr>
    </w:tblStylePr>
    <w:tblStylePr w:type="lastCol">
      <w:tblPr/>
      <w:tcPr>
        <w:tcBorders>
          <w:top w:val="nil"/>
          <w:left w:val="single" w:sz="8" w:space="0" w:color="EBE5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top w:val="nil"/>
          <w:bottom w:val="nil"/>
          <w:insideH w:val="nil"/>
          <w:insideV w:val="nil"/>
        </w:tcBorders>
        <w:shd w:val="clear" w:color="auto" w:fill="FA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tblBorders>
    </w:tblPr>
    <w:tblStylePr w:type="firstRow">
      <w:pPr>
        <w:spacing w:before="0" w:after="0" w:line="240" w:lineRule="auto"/>
      </w:pPr>
      <w:rPr>
        <w:b/>
        <w:bCs/>
        <w:color w:val="FFFFFF" w:themeColor="background1"/>
      </w:rPr>
      <w:tblPr/>
      <w:tcPr>
        <w:tc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shd w:val="clear" w:color="auto" w:fill="00573F" w:themeFill="accent1"/>
      </w:tcPr>
    </w:tblStylePr>
    <w:tblStylePr w:type="lastRow">
      <w:pPr>
        <w:spacing w:before="0" w:after="0" w:line="240" w:lineRule="auto"/>
      </w:pPr>
      <w:rPr>
        <w:b/>
        <w:bCs/>
      </w:rPr>
      <w:tblPr/>
      <w:tcPr>
        <w:tcBorders>
          <w:top w:val="double" w:sz="6"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FFE1" w:themeFill="accent1" w:themeFillTint="3F"/>
      </w:tcPr>
    </w:tblStylePr>
    <w:tblStylePr w:type="band1Horz">
      <w:tblPr/>
      <w:tcPr>
        <w:tcBorders>
          <w:insideH w:val="nil"/>
          <w:insideV w:val="nil"/>
        </w:tcBorders>
        <w:shd w:val="clear" w:color="auto" w:fill="96FF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tblBorders>
    </w:tblPr>
    <w:tblStylePr w:type="firstRow">
      <w:pPr>
        <w:spacing w:before="0" w:after="0" w:line="240" w:lineRule="auto"/>
      </w:pPr>
      <w:rPr>
        <w:b/>
        <w:bCs/>
        <w:color w:val="FFFFFF" w:themeColor="background1"/>
      </w:rPr>
      <w:tblPr/>
      <w:tcPr>
        <w:tc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shd w:val="clear" w:color="auto" w:fill="DDD4C2" w:themeFill="accent2"/>
      </w:tcPr>
    </w:tblStylePr>
    <w:tblStylePr w:type="lastRow">
      <w:pPr>
        <w:spacing w:before="0" w:after="0" w:line="240" w:lineRule="auto"/>
      </w:pPr>
      <w:rPr>
        <w:b/>
        <w:bCs/>
      </w:rPr>
      <w:tblPr/>
      <w:tcPr>
        <w:tcBorders>
          <w:top w:val="double" w:sz="6"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EF" w:themeFill="accent2" w:themeFillTint="3F"/>
      </w:tcPr>
    </w:tblStylePr>
    <w:tblStylePr w:type="band1Horz">
      <w:tblPr/>
      <w:tcPr>
        <w:tcBorders>
          <w:insideH w:val="nil"/>
          <w:insideV w:val="nil"/>
        </w:tcBorders>
        <w:shd w:val="clear" w:color="auto" w:fill="F6F4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tblBorders>
    </w:tblPr>
    <w:tblStylePr w:type="firstRow">
      <w:pPr>
        <w:spacing w:before="0" w:after="0" w:line="240" w:lineRule="auto"/>
      </w:pPr>
      <w:rPr>
        <w:b/>
        <w:bCs/>
        <w:color w:val="FFFFFF" w:themeColor="background1"/>
      </w:rPr>
      <w:tblPr/>
      <w:tcPr>
        <w:tc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shd w:val="clear" w:color="auto" w:fill="669A8C" w:themeFill="accent5"/>
      </w:tcPr>
    </w:tblStylePr>
    <w:tblStylePr w:type="lastRow">
      <w:pPr>
        <w:spacing w:before="0" w:after="0" w:line="240" w:lineRule="auto"/>
      </w:pPr>
      <w:rPr>
        <w:b/>
        <w:bCs/>
      </w:rPr>
      <w:tblPr/>
      <w:tcPr>
        <w:tcBorders>
          <w:top w:val="double" w:sz="6"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6E2" w:themeFill="accent5" w:themeFillTint="3F"/>
      </w:tcPr>
    </w:tblStylePr>
    <w:tblStylePr w:type="band1Horz">
      <w:tblPr/>
      <w:tcPr>
        <w:tcBorders>
          <w:insideH w:val="nil"/>
          <w:insideV w:val="nil"/>
        </w:tcBorders>
        <w:shd w:val="clear" w:color="auto" w:fill="D9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tblBorders>
    </w:tblPr>
    <w:tblStylePr w:type="firstRow">
      <w:pPr>
        <w:spacing w:before="0" w:after="0" w:line="240" w:lineRule="auto"/>
      </w:pPr>
      <w:rPr>
        <w:b/>
        <w:bCs/>
        <w:color w:val="FFFFFF" w:themeColor="background1"/>
      </w:rPr>
      <w:tblPr/>
      <w:tcPr>
        <w:tc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shd w:val="clear" w:color="auto" w:fill="EBE5DA" w:themeFill="accent6"/>
      </w:tcPr>
    </w:tblStylePr>
    <w:tblStylePr w:type="lastRow">
      <w:pPr>
        <w:spacing w:before="0" w:after="0" w:line="240" w:lineRule="auto"/>
      </w:pPr>
      <w:rPr>
        <w:b/>
        <w:bCs/>
      </w:rPr>
      <w:tblPr/>
      <w:tcPr>
        <w:tcBorders>
          <w:top w:val="double" w:sz="6"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8F5" w:themeFill="accent6" w:themeFillTint="3F"/>
      </w:tcPr>
    </w:tblStylePr>
    <w:tblStylePr w:type="band1Horz">
      <w:tblPr/>
      <w:tcPr>
        <w:tcBorders>
          <w:insideH w:val="nil"/>
          <w:insideV w:val="nil"/>
        </w:tcBorders>
        <w:shd w:val="clear" w:color="auto" w:fill="FA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3F" w:themeFill="accent1"/>
      </w:tcPr>
    </w:tblStylePr>
    <w:tblStylePr w:type="lastCol">
      <w:rPr>
        <w:b/>
        <w:bCs/>
        <w:color w:val="FFFFFF" w:themeColor="background1"/>
      </w:rPr>
      <w:tblPr/>
      <w:tcPr>
        <w:tcBorders>
          <w:left w:val="nil"/>
          <w:right w:val="nil"/>
          <w:insideH w:val="nil"/>
          <w:insideV w:val="nil"/>
        </w:tcBorders>
        <w:shd w:val="clear" w:color="auto" w:fill="0057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4C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4C2" w:themeFill="accent2"/>
      </w:tcPr>
    </w:tblStylePr>
    <w:tblStylePr w:type="lastCol">
      <w:rPr>
        <w:b/>
        <w:bCs/>
        <w:color w:val="FFFFFF" w:themeColor="background1"/>
      </w:rPr>
      <w:tblPr/>
      <w:tcPr>
        <w:tcBorders>
          <w:left w:val="nil"/>
          <w:right w:val="nil"/>
          <w:insideH w:val="nil"/>
          <w:insideV w:val="nil"/>
        </w:tcBorders>
        <w:shd w:val="clear" w:color="auto" w:fill="DDD4C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A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A8C" w:themeFill="accent5"/>
      </w:tcPr>
    </w:tblStylePr>
    <w:tblStylePr w:type="lastCol">
      <w:rPr>
        <w:b/>
        <w:bCs/>
        <w:color w:val="FFFFFF" w:themeColor="background1"/>
      </w:rPr>
      <w:tblPr/>
      <w:tcPr>
        <w:tcBorders>
          <w:left w:val="nil"/>
          <w:right w:val="nil"/>
          <w:insideH w:val="nil"/>
          <w:insideV w:val="nil"/>
        </w:tcBorders>
        <w:shd w:val="clear" w:color="auto" w:fill="669A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5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E5DA" w:themeFill="accent6"/>
      </w:tcPr>
    </w:tblStylePr>
    <w:tblStylePr w:type="lastCol">
      <w:rPr>
        <w:b/>
        <w:bCs/>
        <w:color w:val="FFFFFF" w:themeColor="background1"/>
      </w:rPr>
      <w:tblPr/>
      <w:tcPr>
        <w:tcBorders>
          <w:left w:val="nil"/>
          <w:right w:val="nil"/>
          <w:insideH w:val="nil"/>
          <w:insideV w:val="nil"/>
        </w:tcBorders>
        <w:shd w:val="clear" w:color="auto" w:fill="EBE5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B942C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573F" w:themeFill="accent1"/>
      </w:tcPr>
    </w:tblStylePr>
    <w:tblStylePr w:type="firstCol">
      <w:tblPr/>
      <w:tcPr>
        <w:shd w:val="clear" w:color="auto" w:fill="FFFFFF" w:themeFill="background1"/>
      </w:tcPr>
    </w:tblStylePr>
    <w:tblStylePr w:type="band1Vert">
      <w:tblPr/>
      <w:tcPr>
        <w:shd w:val="clear" w:color="auto" w:fill="CCDD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573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573F" w:themeColor="accent1"/>
        <w:left w:val="single" w:sz="4" w:space="12" w:color="00573F" w:themeColor="accent1"/>
        <w:bottom w:val="single" w:sz="4" w:space="14" w:color="00573F" w:themeColor="accent1"/>
        <w:right w:val="single" w:sz="4" w:space="12" w:color="00573F" w:themeColor="accent1"/>
      </w:pBdr>
      <w:shd w:val="clear" w:color="auto" w:fill="00573F"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Agbodytext">
    <w:name w:val="Ag body text"/>
    <w:basedOn w:val="Normal"/>
    <w:qFormat/>
    <w:rsid w:val="008A00E7"/>
    <w:pPr>
      <w:spacing w:before="0" w:line="220" w:lineRule="exact"/>
    </w:pPr>
    <w:rPr>
      <w:rFonts w:ascii="Arial" w:eastAsiaTheme="minorHAnsi" w:hAnsi="Arial" w:cs="VIC-SemiBold"/>
      <w:color w:val="232222" w:themeColor="text1"/>
      <w:sz w:val="24"/>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austlii.edu.au/cgi-bin/viewdoc/au/cases/vic/VCAT/2025/47.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ustlii.edu.au/cgi-bin/viewdoc/au/cases/vic/VCAT/2025/170.html"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austlii.edu.au/cgi-bin/viewdoc/au/cases/vic/VCAT/2025/120.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ustlii.edu.au/cgi-bin/viewdoc/au/cases/vic/VCAT/2025/36.html" TargetMode="External"/><Relationship Id="rId20" Type="http://schemas.openxmlformats.org/officeDocument/2006/relationships/hyperlink" Target="http://www8.austlii.edu.au/cgi-bin/viewdoc/au/cases/vic/VCAT/2023/601.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austlii.edu.au/cgi-bin/viewdoc/au/cases/vic/VCAT/2025/127.html" TargetMode="External"/><Relationship Id="rId5" Type="http://schemas.openxmlformats.org/officeDocument/2006/relationships/customXml" Target="../customXml/item5.xml"/><Relationship Id="rId15" Type="http://schemas.openxmlformats.org/officeDocument/2006/relationships/hyperlink" Target="http://www.austlii.edu.au/cgi-bin/viewdoc/au/cases/vic/VCAT/2025/211.html" TargetMode="External"/><Relationship Id="rId23" Type="http://schemas.openxmlformats.org/officeDocument/2006/relationships/hyperlink" Target="http://www8.austlii.edu.au/cgi-bin/viewdoc/au/cases/vic/VCAT/2023/601.html"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www.austlii.edu.au/cgi-bin/viewdoc/au/cases/vic/VCAT/2025/127.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austlii.edu.au/cgi-bin/viewdoc/au/cases/vic/VCAT/2025/217.html" TargetMode="External"/><Relationship Id="rId22" Type="http://schemas.openxmlformats.org/officeDocument/2006/relationships/hyperlink" Target="http://www.austlii.edu.au/cgi-bin/viewdoc/au/cases/vic/VCAT/2025/203.htm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5sg\OneDrive%20-%20Department%20of%20Energy,%20Environment%20and%20Climate%20Action\templates\Template.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DD9"/>
      </a:lt2>
      <a:accent1>
        <a:srgbClr val="00573F"/>
      </a:accent1>
      <a:accent2>
        <a:srgbClr val="DDD4C2"/>
      </a:accent2>
      <a:accent3>
        <a:srgbClr val="00B2A9"/>
      </a:accent3>
      <a:accent4>
        <a:srgbClr val="201547"/>
      </a:accent4>
      <a:accent5>
        <a:srgbClr val="669A8C"/>
      </a:accent5>
      <a:accent6>
        <a:srgbClr val="EBE5DA"/>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025EE73B25F4FA0E9A5359FFE1D79" ma:contentTypeVersion="37" ma:contentTypeDescription="Create a new document." ma:contentTypeScope="" ma:versionID="20c479b3b38a41fb9198220c9bcfacef">
  <xsd:schema xmlns:xsd="http://www.w3.org/2001/XMLSchema" xmlns:xs="http://www.w3.org/2001/XMLSchema" xmlns:p="http://schemas.microsoft.com/office/2006/metadata/properties" xmlns:ns2="dfdb2c2a-825d-4477-a6ed-4319034bda8d" xmlns:ns3="887eca38-3000-431a-91c1-a3c0b60f7d3d" xmlns:ns4="a5f32de4-e402-4188-b034-e71ca7d22e54" targetNamespace="http://schemas.microsoft.com/office/2006/metadata/properties" ma:root="true" ma:fieldsID="9c553758b4f087d33d5652722452f4c0" ns2:_="" ns3:_="" ns4:_="">
    <xsd:import namespace="dfdb2c2a-825d-4477-a6ed-4319034bda8d"/>
    <xsd:import namespace="887eca38-3000-431a-91c1-a3c0b60f7d3d"/>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b2c2a-825d-4477-a6ed-4319034bda8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e939099-7407-4bc1-9508-4ecf242d684a}" ma:internalName="TaxCatchAll"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dfdb2c2a-825d-4477-a6ed-4319034bd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412310-403F-43E6-B134-D21D283EB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b2c2a-825d-4477-a6ed-4319034bda8d"/>
    <ds:schemaRef ds:uri="887eca38-3000-431a-91c1-a3c0b60f7d3d"/>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743C4-A433-4268-845E-E5FD8EBF919E}">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8282FCE9-2781-4BA1-837E-8C3A0524B9F2}">
  <ds:schemaRefs>
    <ds:schemaRef ds:uri="http://schemas.microsoft.com/sharepoint/event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887eca38-3000-431a-91c1-a3c0b60f7d3d"/>
    <ds:schemaRef ds:uri="dfdb2c2a-825d-4477-a6ed-4319034bda8d"/>
  </ds:schemaRefs>
</ds:datastoreItem>
</file>

<file path=docProps/app.xml><?xml version="1.0" encoding="utf-8"?>
<Properties xmlns="http://schemas.openxmlformats.org/officeDocument/2006/extended-properties" xmlns:vt="http://schemas.openxmlformats.org/officeDocument/2006/docPropsVTypes">
  <Template>Template.dotm</Template>
  <TotalTime>2</TotalTime>
  <Pages>5</Pages>
  <Words>2176</Words>
  <Characters>12409</Characters>
  <Application>Microsoft Office Word</Application>
  <DocSecurity>0</DocSecurity>
  <Lines>103</Lines>
  <Paragraphs>29</Paragraphs>
  <ScaleCrop>false</ScaleCrop>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VCAT Update</dc:title>
  <dc:subject>Industry and Regions Update Year :#                                                             DATE</dc:subject>
  <dc:creator>Ann M McDowell (DEECA)</dc:creator>
  <cp:keywords/>
  <dc:description/>
  <cp:lastModifiedBy>Ann M McDowell (DEECA)</cp:lastModifiedBy>
  <cp:revision>2</cp:revision>
  <cp:lastPrinted>2022-06-17T19:14:00Z</cp:lastPrinted>
  <dcterms:created xsi:type="dcterms:W3CDTF">2025-04-06T19:16:00Z</dcterms:created>
  <dcterms:modified xsi:type="dcterms:W3CDTF">2025-04-06T19:16:00Z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0x01010002D025EE73B25F4FA0E9A5359FFE1D79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2023-05-02T12:11:48Z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4dc268fa-a1bc-41e9-9568-bcaa91dc7dfd</vt:lpwstr>
  </property>
  <property fmtid="{D5CDD505-2E9C-101B-9397-08002B2CF9AE}" pid="12" name="MSIP_Label_4257e2ab-f512-40e2-9c9a-c64247360765_ContentBits">
    <vt:lpwstr>2</vt:lpwstr>
  </property>
  <property fmtid="{D5CDD505-2E9C-101B-9397-08002B2CF9AE}" pid="13" name="DEDJTRBranch">
    <vt:lpwstr/>
  </property>
  <property fmtid="{D5CDD505-2E9C-101B-9397-08002B2CF9AE}" pid="14" name="DEDJTRSection">
    <vt:lpwstr/>
  </property>
  <property fmtid="{D5CDD505-2E9C-101B-9397-08002B2CF9AE}" pid="15" name="DEDJTRGroup">
    <vt:lpwstr>2;#Agriculture Victoria|aa595c92-527f-46eb-8130-f23c3634d9e6</vt:lpwstr>
  </property>
  <property fmtid="{D5CDD505-2E9C-101B-9397-08002B2CF9AE}" pid="16" name="DEDJTRSecurityClassification">
    <vt:lpwstr/>
  </property>
  <property fmtid="{D5CDD505-2E9C-101B-9397-08002B2CF9AE}" pid="17" name="DEDJTRDivision">
    <vt:lpwstr>3;#Agriculture Services ＆ Biosecurity Operations|23aac04a-53c7-49d3-9813-61ba2b9015a6</vt:lpwstr>
  </property>
  <property fmtid="{D5CDD505-2E9C-101B-9397-08002B2CF9AE}" pid="18" name="MSIP_Label_aa68e262-e170-41e9-aa6c-458b7c5d1ee8_Enabled">
    <vt:lpwstr>true</vt:lpwstr>
  </property>
  <property fmtid="{D5CDD505-2E9C-101B-9397-08002B2CF9AE}" pid="19" name="MSIP_Label_aa68e262-e170-41e9-aa6c-458b7c5d1ee8_SetDate">
    <vt:lpwstr>2023-08-20T22:45:51Z</vt:lpwstr>
  </property>
  <property fmtid="{D5CDD505-2E9C-101B-9397-08002B2CF9AE}" pid="20" name="MSIP_Label_aa68e262-e170-41e9-aa6c-458b7c5d1ee8_Method">
    <vt:lpwstr>Privileged</vt:lpwstr>
  </property>
  <property fmtid="{D5CDD505-2E9C-101B-9397-08002B2CF9AE}" pid="21" name="MSIP_Label_aa68e262-e170-41e9-aa6c-458b7c5d1ee8_Name">
    <vt:lpwstr>OFFICIAL-SENSITIVE (DJPR)</vt:lpwstr>
  </property>
  <property fmtid="{D5CDD505-2E9C-101B-9397-08002B2CF9AE}" pid="22" name="MSIP_Label_aa68e262-e170-41e9-aa6c-458b7c5d1ee8_SiteId">
    <vt:lpwstr>722ea0be-3e1c-4b11-ad6f-9401d6856e24</vt:lpwstr>
  </property>
  <property fmtid="{D5CDD505-2E9C-101B-9397-08002B2CF9AE}" pid="23" name="MSIP_Label_aa68e262-e170-41e9-aa6c-458b7c5d1ee8_ActionId">
    <vt:lpwstr>f21e5f3a-131d-4153-a470-2220d3fb4515</vt:lpwstr>
  </property>
  <property fmtid="{D5CDD505-2E9C-101B-9397-08002B2CF9AE}" pid="24" name="MSIP_Label_aa68e262-e170-41e9-aa6c-458b7c5d1ee8_ContentBits">
    <vt:lpwstr>3</vt:lpwstr>
  </property>
  <property fmtid="{D5CDD505-2E9C-101B-9397-08002B2CF9AE}" pid="25" name="Order">
    <vt:r8>1045200</vt:r8>
  </property>
  <property fmtid="{D5CDD505-2E9C-101B-9397-08002B2CF9AE}" pid="26" name="_ExtendedDescription">
    <vt:lpwstr/>
  </property>
</Properties>
</file>