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5E36" w:rsidRDefault="009E661F" w:rsidP="00DD35EE">
      <w:pPr>
        <w:pStyle w:val="Agintrotext"/>
        <w:sectPr w:rsidR="00BD5E36" w:rsidSect="00731FF4">
          <w:headerReference w:type="default" r:id="rId8"/>
          <w:headerReference w:type="first" r:id="rId9"/>
          <w:type w:val="continuous"/>
          <w:pgSz w:w="11900" w:h="16840"/>
          <w:pgMar w:top="1843" w:right="709" w:bottom="1701" w:left="709" w:header="709" w:footer="709" w:gutter="0"/>
          <w:cols w:num="2" w:space="708"/>
          <w:titlePg/>
          <w:docGrid w:linePitch="360"/>
        </w:sectPr>
      </w:pPr>
      <w:r>
        <w:rPr>
          <w:noProof/>
          <w:lang w:val="en-AU" w:eastAsia="en-AU"/>
        </w:rPr>
        <mc:AlternateContent>
          <mc:Choice Requires="wps">
            <w:drawing>
              <wp:anchor distT="0" distB="0" distL="114300" distR="114300" simplePos="0" relativeHeight="251659264" behindDoc="1" locked="0" layoutInCell="1" allowOverlap="1" wp14:anchorId="4296ADAB" wp14:editId="0020CCC4">
                <wp:simplePos x="0" y="0"/>
                <wp:positionH relativeFrom="column">
                  <wp:posOffset>27940</wp:posOffset>
                </wp:positionH>
                <wp:positionV relativeFrom="paragraph">
                  <wp:posOffset>-730933</wp:posOffset>
                </wp:positionV>
                <wp:extent cx="4670473" cy="787791"/>
                <wp:effectExtent l="0" t="0" r="15875" b="12700"/>
                <wp:wrapNone/>
                <wp:docPr id="80" name="Text Box 80"/>
                <wp:cNvGraphicFramePr/>
                <a:graphic xmlns:a="http://schemas.openxmlformats.org/drawingml/2006/main">
                  <a:graphicData uri="http://schemas.microsoft.com/office/word/2010/wordprocessingShape">
                    <wps:wsp>
                      <wps:cNvSpPr txBox="1"/>
                      <wps:spPr>
                        <a:xfrm>
                          <a:off x="0" y="0"/>
                          <a:ext cx="4670473" cy="787791"/>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9E661F" w:rsidRPr="007219EC" w:rsidRDefault="00005EDA" w:rsidP="009E661F">
                            <w:pPr>
                              <w:pStyle w:val="Agtitle"/>
                              <w:rPr>
                                <w:lang w:val="en-AU"/>
                              </w:rPr>
                            </w:pPr>
                            <w:r>
                              <w:t>Blue</w:t>
                            </w:r>
                            <w:r w:rsidR="007D0EB5">
                              <w:t>-</w:t>
                            </w:r>
                            <w:r>
                              <w:t>green algae</w:t>
                            </w:r>
                            <w:r w:rsidR="007D0EB5">
                              <w:t>:</w:t>
                            </w:r>
                            <w:r>
                              <w:t xml:space="preserve"> options for livestock drinking water</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96ADAB" id="_x0000_t202" coordsize="21600,21600" o:spt="202" path="m,l,21600r21600,l21600,xe">
                <v:stroke joinstyle="miter"/>
                <v:path gradientshapeok="t" o:connecttype="rect"/>
              </v:shapetype>
              <v:shape id="Text Box 80" o:spid="_x0000_s1026" type="#_x0000_t202" style="position:absolute;margin-left:2.2pt;margin-top:-57.55pt;width:367.75pt;height:62.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" filled="f" stroked="f">
                <v:textbox inset="0,0,0,0">
                  <w:txbxContent>
                    <w:p w:rsidR="009E661F" w:rsidRPr="007219EC" w:rsidRDefault="00005EDA" w:rsidP="009E661F">
                      <w:pPr>
                        <w:pStyle w:val="Agtitle"/>
                        <w:rPr>
                          <w:lang w:val="en-AU"/>
                        </w:rPr>
                      </w:pPr>
                      <w:r>
                        <w:t>Blue</w:t>
                      </w:r>
                      <w:r w:rsidR="007D0EB5">
                        <w:t>-</w:t>
                      </w:r>
                      <w:r>
                        <w:t>green algae</w:t>
                      </w:r>
                      <w:r w:rsidR="007D0EB5">
                        <w:t>:</w:t>
                      </w:r>
                      <w:r>
                        <w:t xml:space="preserve"> options for livestock drinking water</w:t>
                      </w:r>
                    </w:p>
                  </w:txbxContent>
                </v:textbox>
              </v:shape>
            </w:pict>
          </mc:Fallback>
        </mc:AlternateContent>
      </w:r>
    </w:p>
    <w:p w:rsidR="00005EDA" w:rsidRDefault="00E9080D" w:rsidP="00DD35EE">
      <w:pPr>
        <w:pStyle w:val="Agintrotext"/>
      </w:pPr>
      <w:r w:rsidRPr="00DD35EE">
        <w:t>I</w:t>
      </w:r>
      <w:r w:rsidR="00005EDA">
        <w:t>t is likely that blue</w:t>
      </w:r>
      <w:r w:rsidR="007D0EB5">
        <w:t>-</w:t>
      </w:r>
      <w:r w:rsidR="00005EDA">
        <w:t xml:space="preserve">green algae </w:t>
      </w:r>
      <w:r w:rsidR="000260BA">
        <w:t xml:space="preserve">(BGA) </w:t>
      </w:r>
      <w:r w:rsidR="007D0EB5">
        <w:t>incidents</w:t>
      </w:r>
      <w:r w:rsidR="00005EDA">
        <w:t xml:space="preserve"> will become more common </w:t>
      </w:r>
      <w:proofErr w:type="gramStart"/>
      <w:r w:rsidR="00005EDA">
        <w:t>as a result of</w:t>
      </w:r>
      <w:proofErr w:type="gramEnd"/>
      <w:r w:rsidR="00005EDA">
        <w:t xml:space="preserve"> climate change and </w:t>
      </w:r>
      <w:r w:rsidR="006167A8">
        <w:t>current land management</w:t>
      </w:r>
      <w:r w:rsidR="00005EDA">
        <w:t xml:space="preserve"> practices. It is imperative that livestock owners are prepared and have access to alternate water supplies </w:t>
      </w:r>
      <w:r w:rsidR="006167A8">
        <w:t xml:space="preserve">for their livestock </w:t>
      </w:r>
      <w:r w:rsidR="00005EDA">
        <w:t xml:space="preserve">in the event of BGA </w:t>
      </w:r>
      <w:r w:rsidR="006167A8">
        <w:t xml:space="preserve">contamination of their </w:t>
      </w:r>
      <w:r w:rsidR="007D0EB5">
        <w:t>primary</w:t>
      </w:r>
      <w:r w:rsidR="00005EDA">
        <w:t xml:space="preserve"> water supply. </w:t>
      </w:r>
    </w:p>
    <w:p w:rsidR="00E9080D" w:rsidRPr="00DD35EE" w:rsidRDefault="000260BA" w:rsidP="00DD35EE">
      <w:pPr>
        <w:pStyle w:val="Heading1"/>
      </w:pPr>
      <w:r>
        <w:t xml:space="preserve">LIVESTOCK OWNERS </w:t>
      </w:r>
      <w:r w:rsidR="007D0EB5">
        <w:t>must</w:t>
      </w:r>
      <w:r>
        <w:t xml:space="preserve"> BE PREPARED</w:t>
      </w:r>
    </w:p>
    <w:p w:rsidR="000260BA" w:rsidRDefault="000260BA" w:rsidP="00E9080D">
      <w:pPr>
        <w:pStyle w:val="Heading2"/>
      </w:pPr>
      <w:r>
        <w:t>Lessons learnt from the summer of 2016</w:t>
      </w:r>
    </w:p>
    <w:p w:rsidR="0015401C" w:rsidRDefault="0015401C" w:rsidP="0015401C">
      <w:pPr>
        <w:pStyle w:val="NormalWeb"/>
        <w:rPr>
          <w:rFonts w:ascii="Arial" w:hAnsi="Arial" w:cs="Arial"/>
          <w:sz w:val="21"/>
          <w:szCs w:val="21"/>
          <w:lang w:val="en"/>
        </w:rPr>
      </w:pPr>
      <w:r w:rsidRPr="003C54B0">
        <w:rPr>
          <w:rFonts w:ascii="Arial" w:hAnsi="Arial" w:cs="Arial"/>
          <w:sz w:val="21"/>
          <w:szCs w:val="21"/>
          <w:lang w:val="en"/>
        </w:rPr>
        <w:t xml:space="preserve">During the summer of 2016, the Murray River, </w:t>
      </w:r>
      <w:r w:rsidR="00E362DD">
        <w:rPr>
          <w:rFonts w:ascii="Arial" w:hAnsi="Arial" w:cs="Arial"/>
          <w:sz w:val="21"/>
          <w:szCs w:val="21"/>
          <w:lang w:val="en"/>
        </w:rPr>
        <w:t>initially</w:t>
      </w:r>
      <w:r>
        <w:rPr>
          <w:rFonts w:ascii="Arial" w:hAnsi="Arial" w:cs="Arial"/>
          <w:sz w:val="21"/>
          <w:szCs w:val="21"/>
          <w:lang w:val="en"/>
        </w:rPr>
        <w:t xml:space="preserve"> </w:t>
      </w:r>
      <w:r w:rsidRPr="003C54B0">
        <w:rPr>
          <w:rFonts w:ascii="Arial" w:hAnsi="Arial" w:cs="Arial"/>
          <w:sz w:val="21"/>
          <w:szCs w:val="21"/>
          <w:lang w:val="en"/>
        </w:rPr>
        <w:t>upstream of the Yarrawonga Weir, was affected by</w:t>
      </w:r>
      <w:r>
        <w:rPr>
          <w:rFonts w:ascii="Arial" w:hAnsi="Arial" w:cs="Arial"/>
          <w:sz w:val="21"/>
          <w:szCs w:val="21"/>
          <w:lang w:val="en"/>
        </w:rPr>
        <w:t xml:space="preserve"> high levels of blue</w:t>
      </w:r>
      <w:r w:rsidR="007D0EB5">
        <w:rPr>
          <w:rFonts w:ascii="Arial" w:hAnsi="Arial" w:cs="Arial"/>
          <w:sz w:val="21"/>
          <w:szCs w:val="21"/>
          <w:lang w:val="en"/>
        </w:rPr>
        <w:t>-</w:t>
      </w:r>
      <w:r>
        <w:rPr>
          <w:rFonts w:ascii="Arial" w:hAnsi="Arial" w:cs="Arial"/>
          <w:sz w:val="21"/>
          <w:szCs w:val="21"/>
          <w:lang w:val="en"/>
        </w:rPr>
        <w:t>green algae. This algal bloom extended until it contaminated virtually the entire length of the Murray River</w:t>
      </w:r>
      <w:r w:rsidR="007D0EB5">
        <w:rPr>
          <w:rFonts w:ascii="Arial" w:hAnsi="Arial" w:cs="Arial"/>
          <w:sz w:val="21"/>
          <w:szCs w:val="21"/>
          <w:lang w:val="en"/>
        </w:rPr>
        <w:t>, and</w:t>
      </w:r>
      <w:r>
        <w:rPr>
          <w:rFonts w:ascii="Arial" w:hAnsi="Arial" w:cs="Arial"/>
          <w:sz w:val="21"/>
          <w:szCs w:val="21"/>
          <w:lang w:val="en"/>
        </w:rPr>
        <w:t xml:space="preserve"> persisted for an unprecedented </w:t>
      </w:r>
      <w:proofErr w:type="gramStart"/>
      <w:r w:rsidR="00D75136">
        <w:rPr>
          <w:rFonts w:ascii="Arial" w:hAnsi="Arial" w:cs="Arial"/>
          <w:sz w:val="21"/>
          <w:szCs w:val="21"/>
          <w:lang w:val="en"/>
        </w:rPr>
        <w:t xml:space="preserve">period of </w:t>
      </w:r>
      <w:r>
        <w:rPr>
          <w:rFonts w:ascii="Arial" w:hAnsi="Arial" w:cs="Arial"/>
          <w:sz w:val="21"/>
          <w:szCs w:val="21"/>
          <w:lang w:val="en"/>
        </w:rPr>
        <w:t>time</w:t>
      </w:r>
      <w:proofErr w:type="gramEnd"/>
      <w:r>
        <w:rPr>
          <w:rFonts w:ascii="Arial" w:hAnsi="Arial" w:cs="Arial"/>
          <w:sz w:val="21"/>
          <w:szCs w:val="21"/>
          <w:lang w:val="en"/>
        </w:rPr>
        <w:t xml:space="preserve"> for Victoria. BGA alerts were not lifted until the winter of 2016.</w:t>
      </w:r>
    </w:p>
    <w:p w:rsidR="0015401C" w:rsidRDefault="0015401C" w:rsidP="0015401C">
      <w:pPr>
        <w:pStyle w:val="NormalWeb"/>
        <w:rPr>
          <w:rFonts w:ascii="Arial" w:hAnsi="Arial" w:cs="Arial"/>
          <w:sz w:val="21"/>
          <w:szCs w:val="21"/>
          <w:lang w:val="en"/>
        </w:rPr>
      </w:pPr>
      <w:r>
        <w:rPr>
          <w:rFonts w:ascii="Arial" w:hAnsi="Arial" w:cs="Arial"/>
          <w:sz w:val="21"/>
          <w:szCs w:val="21"/>
          <w:lang w:val="en"/>
        </w:rPr>
        <w:t>During this period, many farmers were forced to supply livestock with BGA contaminated drinking water, as they had no available alternate water supply. Fortunately, the algal bloom in 2016 was not toxic, and no stock deaths were directly attributed to BGA toxicity during this incident.</w:t>
      </w:r>
    </w:p>
    <w:p w:rsidR="00E362DD" w:rsidRDefault="0015401C" w:rsidP="00E362DD">
      <w:pPr>
        <w:pStyle w:val="Agbodytext"/>
      </w:pPr>
      <w:r>
        <w:rPr>
          <w:rFonts w:cs="Arial"/>
          <w:sz w:val="21"/>
          <w:szCs w:val="21"/>
          <w:lang w:val="en"/>
        </w:rPr>
        <w:t>It is imperative, given the likelihood that the frequency of algal blooms may increase</w:t>
      </w:r>
      <w:r w:rsidR="00BA485D">
        <w:rPr>
          <w:rFonts w:cs="Arial"/>
          <w:sz w:val="21"/>
          <w:szCs w:val="21"/>
          <w:lang w:val="en"/>
        </w:rPr>
        <w:t xml:space="preserve">, </w:t>
      </w:r>
      <w:r>
        <w:rPr>
          <w:rFonts w:cs="Arial"/>
          <w:sz w:val="21"/>
          <w:szCs w:val="21"/>
          <w:lang w:val="en"/>
        </w:rPr>
        <w:t xml:space="preserve">that all livestock owners have access to an alternate water supply if their </w:t>
      </w:r>
      <w:r w:rsidR="007D0EB5">
        <w:rPr>
          <w:rFonts w:cs="Arial"/>
          <w:sz w:val="21"/>
          <w:szCs w:val="21"/>
          <w:lang w:val="en"/>
        </w:rPr>
        <w:t>primary</w:t>
      </w:r>
      <w:r>
        <w:rPr>
          <w:rFonts w:cs="Arial"/>
          <w:sz w:val="21"/>
          <w:szCs w:val="21"/>
          <w:lang w:val="en"/>
        </w:rPr>
        <w:t xml:space="preserve"> water supply </w:t>
      </w:r>
      <w:r w:rsidR="00BA485D">
        <w:rPr>
          <w:rFonts w:cs="Arial"/>
          <w:sz w:val="21"/>
          <w:szCs w:val="21"/>
          <w:lang w:val="en"/>
        </w:rPr>
        <w:t>becomes</w:t>
      </w:r>
      <w:r>
        <w:rPr>
          <w:rFonts w:cs="Arial"/>
          <w:sz w:val="21"/>
          <w:szCs w:val="21"/>
          <w:lang w:val="en"/>
        </w:rPr>
        <w:t xml:space="preserve"> contaminated with a toxic algal bloom.</w:t>
      </w:r>
    </w:p>
    <w:p w:rsidR="00E362DD" w:rsidRPr="007D0EB5" w:rsidRDefault="00E362DD" w:rsidP="007D0EB5">
      <w:pPr>
        <w:pStyle w:val="Heading2"/>
        <w:spacing w:line="240" w:lineRule="auto"/>
        <w:rPr>
          <w:sz w:val="2"/>
          <w:szCs w:val="2"/>
        </w:rPr>
      </w:pPr>
    </w:p>
    <w:p w:rsidR="00E9080D" w:rsidRPr="00D55D23" w:rsidRDefault="0015401C" w:rsidP="00E9080D">
      <w:pPr>
        <w:pStyle w:val="Heading2"/>
      </w:pPr>
      <w:r>
        <w:t>Livestock should not drink BGA affected water</w:t>
      </w:r>
    </w:p>
    <w:p w:rsidR="0015401C" w:rsidRPr="0015401C" w:rsidRDefault="007D0EB5" w:rsidP="0015401C">
      <w:pPr>
        <w:pStyle w:val="NormalWeb"/>
        <w:rPr>
          <w:rFonts w:ascii="Arial" w:hAnsi="Arial" w:cs="Arial"/>
          <w:sz w:val="21"/>
          <w:szCs w:val="21"/>
          <w:lang w:val="en"/>
        </w:rPr>
      </w:pPr>
      <w:r>
        <w:rPr>
          <w:rFonts w:ascii="Arial" w:hAnsi="Arial" w:cs="Arial"/>
          <w:sz w:val="21"/>
          <w:szCs w:val="21"/>
          <w:lang w:val="en"/>
        </w:rPr>
        <w:t>BGA</w:t>
      </w:r>
      <w:r w:rsidR="0015401C" w:rsidRPr="0015401C">
        <w:rPr>
          <w:rFonts w:ascii="Arial" w:hAnsi="Arial" w:cs="Arial"/>
          <w:sz w:val="21"/>
          <w:szCs w:val="21"/>
          <w:lang w:val="en"/>
        </w:rPr>
        <w:t xml:space="preserve"> contaminated water can cause deaths in livestock</w:t>
      </w:r>
      <w:r>
        <w:rPr>
          <w:rFonts w:ascii="Arial" w:hAnsi="Arial" w:cs="Arial"/>
          <w:sz w:val="21"/>
          <w:szCs w:val="21"/>
          <w:lang w:val="en"/>
        </w:rPr>
        <w:t xml:space="preserve"> very quickly</w:t>
      </w:r>
      <w:r w:rsidR="0015401C" w:rsidRPr="0015401C">
        <w:rPr>
          <w:rFonts w:ascii="Arial" w:hAnsi="Arial" w:cs="Arial"/>
          <w:sz w:val="21"/>
          <w:szCs w:val="21"/>
          <w:lang w:val="en"/>
        </w:rPr>
        <w:t>.</w:t>
      </w:r>
      <w:r w:rsidR="0015401C">
        <w:rPr>
          <w:rFonts w:ascii="Arial" w:hAnsi="Arial" w:cs="Arial"/>
          <w:sz w:val="21"/>
          <w:szCs w:val="21"/>
          <w:lang w:val="en"/>
        </w:rPr>
        <w:t xml:space="preserve"> </w:t>
      </w:r>
      <w:r w:rsidR="0015401C" w:rsidRPr="0015401C">
        <w:rPr>
          <w:rFonts w:ascii="Arial" w:hAnsi="Arial" w:cs="Arial"/>
          <w:sz w:val="21"/>
          <w:szCs w:val="21"/>
          <w:lang w:val="en"/>
        </w:rPr>
        <w:t xml:space="preserve">Not all blooms are </w:t>
      </w:r>
      <w:r w:rsidR="0015401C" w:rsidRPr="0015401C">
        <w:rPr>
          <w:rStyle w:val="Strong"/>
          <w:rFonts w:ascii="Arial" w:hAnsi="Arial" w:cs="Arial"/>
          <w:b w:val="0"/>
          <w:sz w:val="21"/>
          <w:szCs w:val="21"/>
          <w:lang w:val="en"/>
        </w:rPr>
        <w:t>toxic</w:t>
      </w:r>
      <w:r w:rsidR="0015401C" w:rsidRPr="0015401C">
        <w:rPr>
          <w:rFonts w:ascii="Arial" w:hAnsi="Arial" w:cs="Arial"/>
          <w:sz w:val="21"/>
          <w:szCs w:val="21"/>
          <w:lang w:val="en"/>
        </w:rPr>
        <w:t xml:space="preserve"> but they should be </w:t>
      </w:r>
      <w:r w:rsidR="0015401C" w:rsidRPr="0015401C">
        <w:rPr>
          <w:rStyle w:val="Strong"/>
          <w:rFonts w:ascii="Arial" w:hAnsi="Arial" w:cs="Arial"/>
          <w:b w:val="0"/>
          <w:sz w:val="21"/>
          <w:szCs w:val="21"/>
          <w:lang w:val="en"/>
        </w:rPr>
        <w:t>treated as toxic</w:t>
      </w:r>
      <w:r w:rsidR="0015401C" w:rsidRPr="0015401C">
        <w:rPr>
          <w:rFonts w:ascii="Arial" w:hAnsi="Arial" w:cs="Arial"/>
          <w:sz w:val="21"/>
          <w:szCs w:val="21"/>
          <w:lang w:val="en"/>
        </w:rPr>
        <w:t xml:space="preserve"> until the water has been </w:t>
      </w:r>
      <w:r w:rsidR="0015401C" w:rsidRPr="0015401C">
        <w:rPr>
          <w:rStyle w:val="Strong"/>
          <w:rFonts w:ascii="Arial" w:hAnsi="Arial" w:cs="Arial"/>
          <w:b w:val="0"/>
          <w:sz w:val="21"/>
          <w:szCs w:val="21"/>
          <w:lang w:val="en"/>
        </w:rPr>
        <w:t>tested</w:t>
      </w:r>
      <w:r w:rsidR="0015401C" w:rsidRPr="0015401C">
        <w:rPr>
          <w:rFonts w:ascii="Arial" w:hAnsi="Arial" w:cs="Arial"/>
          <w:b/>
          <w:sz w:val="21"/>
          <w:szCs w:val="21"/>
          <w:lang w:val="en"/>
        </w:rPr>
        <w:t>.</w:t>
      </w:r>
      <w:r w:rsidR="0015401C">
        <w:rPr>
          <w:rFonts w:ascii="Arial" w:hAnsi="Arial" w:cs="Arial"/>
          <w:b/>
          <w:sz w:val="21"/>
          <w:szCs w:val="21"/>
          <w:lang w:val="en"/>
        </w:rPr>
        <w:t xml:space="preserve"> </w:t>
      </w:r>
      <w:r w:rsidR="0015401C" w:rsidRPr="0015401C">
        <w:rPr>
          <w:rFonts w:ascii="Arial" w:hAnsi="Arial" w:cs="Arial"/>
          <w:sz w:val="21"/>
          <w:szCs w:val="21"/>
          <w:lang w:val="en"/>
        </w:rPr>
        <w:t xml:space="preserve">Alternative drinking water supplies should be provided if </w:t>
      </w:r>
      <w:r>
        <w:rPr>
          <w:rFonts w:ascii="Arial" w:hAnsi="Arial" w:cs="Arial"/>
          <w:sz w:val="21"/>
          <w:szCs w:val="21"/>
          <w:lang w:val="en"/>
        </w:rPr>
        <w:t>BGA</w:t>
      </w:r>
      <w:r w:rsidR="0015401C" w:rsidRPr="0015401C">
        <w:rPr>
          <w:rFonts w:ascii="Arial" w:hAnsi="Arial" w:cs="Arial"/>
          <w:sz w:val="21"/>
          <w:szCs w:val="21"/>
          <w:lang w:val="en"/>
        </w:rPr>
        <w:t xml:space="preserve"> contamination of water supplies is suspected. </w:t>
      </w:r>
    </w:p>
    <w:p w:rsidR="0015401C" w:rsidRDefault="00E362DD" w:rsidP="0015401C">
      <w:pPr>
        <w:pStyle w:val="NormalWeb"/>
        <w:ind w:right="240"/>
        <w:rPr>
          <w:rFonts w:ascii="Arial" w:hAnsi="Arial" w:cs="Arial"/>
          <w:sz w:val="21"/>
          <w:szCs w:val="21"/>
          <w:lang w:val="en"/>
        </w:rPr>
      </w:pPr>
      <w:r w:rsidRPr="0015401C">
        <w:rPr>
          <w:rFonts w:ascii="Arial" w:hAnsi="Arial" w:cs="Arial"/>
          <w:sz w:val="21"/>
          <w:szCs w:val="21"/>
          <w:lang w:val="en"/>
        </w:rPr>
        <w:t xml:space="preserve">Death may occur suddenly, and </w:t>
      </w:r>
      <w:proofErr w:type="gramStart"/>
      <w:r w:rsidRPr="0015401C">
        <w:rPr>
          <w:rFonts w:ascii="Arial" w:hAnsi="Arial" w:cs="Arial"/>
          <w:sz w:val="21"/>
          <w:szCs w:val="21"/>
          <w:lang w:val="en"/>
        </w:rPr>
        <w:t>a number of</w:t>
      </w:r>
      <w:proofErr w:type="gramEnd"/>
      <w:r w:rsidRPr="0015401C">
        <w:rPr>
          <w:rFonts w:ascii="Arial" w:hAnsi="Arial" w:cs="Arial"/>
          <w:sz w:val="21"/>
          <w:szCs w:val="21"/>
          <w:lang w:val="en"/>
        </w:rPr>
        <w:t xml:space="preserve"> </w:t>
      </w:r>
      <w:r>
        <w:rPr>
          <w:rFonts w:ascii="Arial" w:hAnsi="Arial" w:cs="Arial"/>
          <w:sz w:val="21"/>
          <w:szCs w:val="21"/>
          <w:lang w:val="en"/>
        </w:rPr>
        <w:t>live</w:t>
      </w:r>
      <w:r w:rsidRPr="0015401C">
        <w:rPr>
          <w:rFonts w:ascii="Arial" w:hAnsi="Arial" w:cs="Arial"/>
          <w:sz w:val="21"/>
          <w:szCs w:val="21"/>
          <w:lang w:val="en"/>
        </w:rPr>
        <w:t xml:space="preserve">stock may be affected.  </w:t>
      </w:r>
      <w:bookmarkStart w:id="0" w:name="v3348330"/>
      <w:bookmarkEnd w:id="0"/>
      <w:r w:rsidR="0015401C" w:rsidRPr="0015401C">
        <w:rPr>
          <w:rFonts w:ascii="Arial" w:eastAsia="Times New Roman" w:hAnsi="Arial" w:cs="Arial"/>
          <w:color w:val="000000"/>
          <w:sz w:val="21"/>
          <w:szCs w:val="21"/>
        </w:rPr>
        <w:t xml:space="preserve">Apparently unaffected or recovered animals may continue to die over </w:t>
      </w:r>
      <w:proofErr w:type="gramStart"/>
      <w:r w:rsidR="0015401C" w:rsidRPr="0015401C">
        <w:rPr>
          <w:rFonts w:ascii="Arial" w:eastAsia="Times New Roman" w:hAnsi="Arial" w:cs="Arial"/>
          <w:color w:val="000000"/>
          <w:sz w:val="21"/>
          <w:szCs w:val="21"/>
        </w:rPr>
        <w:t xml:space="preserve">a </w:t>
      </w:r>
      <w:r w:rsidR="0015401C" w:rsidRPr="0015401C">
        <w:rPr>
          <w:rFonts w:ascii="Arial" w:eastAsia="Times New Roman" w:hAnsi="Arial" w:cs="Arial"/>
          <w:color w:val="000000"/>
          <w:sz w:val="21"/>
          <w:szCs w:val="21"/>
        </w:rPr>
        <w:t>number of</w:t>
      </w:r>
      <w:proofErr w:type="gramEnd"/>
      <w:r w:rsidR="0015401C" w:rsidRPr="0015401C">
        <w:rPr>
          <w:rFonts w:ascii="Arial" w:eastAsia="Times New Roman" w:hAnsi="Arial" w:cs="Arial"/>
          <w:color w:val="000000"/>
          <w:sz w:val="21"/>
          <w:szCs w:val="21"/>
        </w:rPr>
        <w:t xml:space="preserve"> months. </w:t>
      </w:r>
      <w:r w:rsidR="0015401C" w:rsidRPr="0015401C">
        <w:rPr>
          <w:rFonts w:ascii="Arial" w:hAnsi="Arial" w:cs="Arial"/>
          <w:sz w:val="21"/>
          <w:szCs w:val="21"/>
          <w:lang w:val="en"/>
        </w:rPr>
        <w:t xml:space="preserve">Productivity losses may occur with milder cases of algal poisoning, which in dairy cattle may </w:t>
      </w:r>
      <w:proofErr w:type="gramStart"/>
      <w:r w:rsidR="0015401C" w:rsidRPr="0015401C">
        <w:rPr>
          <w:rFonts w:ascii="Arial" w:hAnsi="Arial" w:cs="Arial"/>
          <w:sz w:val="21"/>
          <w:szCs w:val="21"/>
          <w:lang w:val="en"/>
        </w:rPr>
        <w:t>be seen as</w:t>
      </w:r>
      <w:proofErr w:type="gramEnd"/>
      <w:r w:rsidR="0015401C" w:rsidRPr="0015401C">
        <w:rPr>
          <w:rFonts w:ascii="Arial" w:hAnsi="Arial" w:cs="Arial"/>
          <w:sz w:val="21"/>
          <w:szCs w:val="21"/>
          <w:lang w:val="en"/>
        </w:rPr>
        <w:t xml:space="preserve"> a loss of appetite and consequent decline in milk yield. </w:t>
      </w:r>
    </w:p>
    <w:p w:rsidR="0015401C" w:rsidRDefault="0015401C" w:rsidP="0015401C">
      <w:pPr>
        <w:pStyle w:val="NormalWeb"/>
        <w:ind w:right="240"/>
        <w:rPr>
          <w:rFonts w:ascii="Arial" w:hAnsi="Arial" w:cs="Arial"/>
          <w:sz w:val="21"/>
          <w:szCs w:val="21"/>
          <w:lang w:val="en"/>
        </w:rPr>
      </w:pPr>
      <w:r>
        <w:rPr>
          <w:rFonts w:ascii="Arial" w:hAnsi="Arial" w:cs="Arial"/>
          <w:sz w:val="21"/>
          <w:szCs w:val="21"/>
          <w:lang w:val="en"/>
        </w:rPr>
        <w:t xml:space="preserve">Algal blooms can appear very quickly. Livestock owners need to identify an alternate water supply prior to their </w:t>
      </w:r>
      <w:r w:rsidR="007D0EB5">
        <w:rPr>
          <w:rFonts w:ascii="Arial" w:hAnsi="Arial" w:cs="Arial"/>
          <w:sz w:val="21"/>
          <w:szCs w:val="21"/>
          <w:lang w:val="en"/>
        </w:rPr>
        <w:t>primary</w:t>
      </w:r>
      <w:r>
        <w:rPr>
          <w:rFonts w:ascii="Arial" w:hAnsi="Arial" w:cs="Arial"/>
          <w:sz w:val="21"/>
          <w:szCs w:val="21"/>
          <w:lang w:val="en"/>
        </w:rPr>
        <w:t xml:space="preserve"> source of livestock drinking water being affected by a bloom. There may not be time to identify an alternate water source once </w:t>
      </w:r>
      <w:r w:rsidR="00961E2D">
        <w:rPr>
          <w:rFonts w:ascii="Arial" w:hAnsi="Arial" w:cs="Arial"/>
          <w:sz w:val="21"/>
          <w:szCs w:val="21"/>
          <w:lang w:val="en"/>
        </w:rPr>
        <w:t>the primary water supply is affected.</w:t>
      </w:r>
    </w:p>
    <w:p w:rsidR="00E9080D" w:rsidRPr="00D55D23" w:rsidRDefault="0031415E" w:rsidP="00E9080D">
      <w:pPr>
        <w:pStyle w:val="Heading2"/>
      </w:pPr>
      <w:r>
        <w:t>Options for alternate water supplies</w:t>
      </w:r>
    </w:p>
    <w:p w:rsidR="0031415E" w:rsidRDefault="0031415E" w:rsidP="0031415E">
      <w:pPr>
        <w:pStyle w:val="Agbodytext"/>
        <w:rPr>
          <w:sz w:val="21"/>
          <w:szCs w:val="21"/>
        </w:rPr>
      </w:pPr>
      <w:r>
        <w:rPr>
          <w:sz w:val="21"/>
          <w:szCs w:val="21"/>
        </w:rPr>
        <w:t xml:space="preserve">Algal blooms may be large scale and affect many livestock owners, as seen in 2016, or may occur in individual farm dams. Either scenario requires removal of livestock from the affected water supply until it is deemed safe. </w:t>
      </w:r>
      <w:r w:rsidR="00E362DD">
        <w:rPr>
          <w:sz w:val="21"/>
          <w:szCs w:val="21"/>
        </w:rPr>
        <w:t>Options to ensure livestock have access to safe water include</w:t>
      </w:r>
      <w:r w:rsidR="00BA485D">
        <w:rPr>
          <w:sz w:val="21"/>
          <w:szCs w:val="21"/>
        </w:rPr>
        <w:t xml:space="preserve"> to</w:t>
      </w:r>
      <w:r w:rsidR="00E362DD">
        <w:rPr>
          <w:sz w:val="21"/>
          <w:szCs w:val="21"/>
        </w:rPr>
        <w:t>:</w:t>
      </w:r>
    </w:p>
    <w:p w:rsidR="00C60798" w:rsidRDefault="00C60798" w:rsidP="0031415E">
      <w:pPr>
        <w:pStyle w:val="Agbodytext"/>
        <w:numPr>
          <w:ilvl w:val="0"/>
          <w:numId w:val="17"/>
        </w:numPr>
        <w:rPr>
          <w:sz w:val="21"/>
          <w:szCs w:val="21"/>
        </w:rPr>
      </w:pPr>
      <w:r>
        <w:rPr>
          <w:sz w:val="21"/>
          <w:szCs w:val="21"/>
        </w:rPr>
        <w:t xml:space="preserve">calculate how much water livestock </w:t>
      </w:r>
      <w:r w:rsidR="00D75136">
        <w:rPr>
          <w:sz w:val="21"/>
          <w:szCs w:val="21"/>
        </w:rPr>
        <w:t xml:space="preserve">will </w:t>
      </w:r>
      <w:r>
        <w:rPr>
          <w:sz w:val="21"/>
          <w:szCs w:val="21"/>
        </w:rPr>
        <w:t xml:space="preserve">require if </w:t>
      </w:r>
      <w:r w:rsidR="00BA485D">
        <w:rPr>
          <w:sz w:val="21"/>
          <w:szCs w:val="21"/>
        </w:rPr>
        <w:t>the</w:t>
      </w:r>
      <w:r>
        <w:rPr>
          <w:sz w:val="21"/>
          <w:szCs w:val="21"/>
        </w:rPr>
        <w:t xml:space="preserve"> primary water supply </w:t>
      </w:r>
      <w:r w:rsidR="00D75136">
        <w:rPr>
          <w:sz w:val="21"/>
          <w:szCs w:val="21"/>
        </w:rPr>
        <w:t xml:space="preserve">is </w:t>
      </w:r>
      <w:r>
        <w:rPr>
          <w:sz w:val="21"/>
          <w:szCs w:val="21"/>
        </w:rPr>
        <w:t>not available for up to 100 days (see Table 1 to assist calculations)</w:t>
      </w:r>
    </w:p>
    <w:p w:rsidR="0031415E" w:rsidRDefault="0031415E" w:rsidP="0031415E">
      <w:pPr>
        <w:pStyle w:val="Agbodytext"/>
        <w:numPr>
          <w:ilvl w:val="0"/>
          <w:numId w:val="17"/>
        </w:numPr>
        <w:rPr>
          <w:sz w:val="21"/>
          <w:szCs w:val="21"/>
        </w:rPr>
      </w:pPr>
      <w:r>
        <w:rPr>
          <w:sz w:val="21"/>
          <w:szCs w:val="21"/>
        </w:rPr>
        <w:t>ensur</w:t>
      </w:r>
      <w:r w:rsidR="00C60798">
        <w:rPr>
          <w:sz w:val="21"/>
          <w:szCs w:val="21"/>
        </w:rPr>
        <w:t>e</w:t>
      </w:r>
      <w:r>
        <w:rPr>
          <w:sz w:val="21"/>
          <w:szCs w:val="21"/>
        </w:rPr>
        <w:t xml:space="preserve"> </w:t>
      </w:r>
      <w:r w:rsidR="00BA485D">
        <w:rPr>
          <w:sz w:val="21"/>
          <w:szCs w:val="21"/>
        </w:rPr>
        <w:t xml:space="preserve">it is possible </w:t>
      </w:r>
      <w:r>
        <w:rPr>
          <w:sz w:val="21"/>
          <w:szCs w:val="21"/>
        </w:rPr>
        <w:t xml:space="preserve">to isolate specific dams and not receive </w:t>
      </w:r>
      <w:r w:rsidR="00C60798">
        <w:rPr>
          <w:sz w:val="21"/>
          <w:szCs w:val="21"/>
        </w:rPr>
        <w:t xml:space="preserve">contaminated </w:t>
      </w:r>
      <w:r>
        <w:rPr>
          <w:sz w:val="21"/>
          <w:szCs w:val="21"/>
        </w:rPr>
        <w:t>water (if receiving water via channels)</w:t>
      </w:r>
    </w:p>
    <w:p w:rsidR="00C60798" w:rsidRDefault="00C60798" w:rsidP="0031415E">
      <w:pPr>
        <w:pStyle w:val="Agbodytext"/>
        <w:numPr>
          <w:ilvl w:val="0"/>
          <w:numId w:val="17"/>
        </w:numPr>
        <w:rPr>
          <w:sz w:val="21"/>
          <w:szCs w:val="21"/>
        </w:rPr>
      </w:pPr>
      <w:r>
        <w:rPr>
          <w:sz w:val="21"/>
          <w:szCs w:val="21"/>
        </w:rPr>
        <w:t>determine if purchasing water from an external source</w:t>
      </w:r>
      <w:r w:rsidR="007D0EB5">
        <w:rPr>
          <w:sz w:val="21"/>
          <w:szCs w:val="21"/>
        </w:rPr>
        <w:t>,</w:t>
      </w:r>
      <w:r>
        <w:rPr>
          <w:sz w:val="21"/>
          <w:szCs w:val="21"/>
        </w:rPr>
        <w:t xml:space="preserve"> and having sufficient storage capacity (tanks and/or dams) for its storage</w:t>
      </w:r>
      <w:r w:rsidR="007D0EB5">
        <w:rPr>
          <w:sz w:val="21"/>
          <w:szCs w:val="21"/>
        </w:rPr>
        <w:t>,</w:t>
      </w:r>
      <w:r>
        <w:rPr>
          <w:sz w:val="21"/>
          <w:szCs w:val="21"/>
        </w:rPr>
        <w:t xml:space="preserve"> is an economically </w:t>
      </w:r>
      <w:r w:rsidR="007D0EB5">
        <w:rPr>
          <w:sz w:val="21"/>
          <w:szCs w:val="21"/>
        </w:rPr>
        <w:t xml:space="preserve">and logistically </w:t>
      </w:r>
      <w:r>
        <w:rPr>
          <w:sz w:val="21"/>
          <w:szCs w:val="21"/>
        </w:rPr>
        <w:t>viable option</w:t>
      </w:r>
    </w:p>
    <w:p w:rsidR="00C60798" w:rsidRDefault="00C60798" w:rsidP="0031415E">
      <w:pPr>
        <w:pStyle w:val="Agbodytext"/>
        <w:numPr>
          <w:ilvl w:val="0"/>
          <w:numId w:val="17"/>
        </w:numPr>
        <w:rPr>
          <w:sz w:val="21"/>
          <w:szCs w:val="21"/>
        </w:rPr>
      </w:pPr>
      <w:r>
        <w:rPr>
          <w:sz w:val="21"/>
          <w:szCs w:val="21"/>
        </w:rPr>
        <w:t xml:space="preserve">identify another property where </w:t>
      </w:r>
      <w:r w:rsidR="007D0EB5">
        <w:rPr>
          <w:sz w:val="21"/>
          <w:szCs w:val="21"/>
        </w:rPr>
        <w:t>live</w:t>
      </w:r>
      <w:r>
        <w:rPr>
          <w:sz w:val="21"/>
          <w:szCs w:val="21"/>
        </w:rPr>
        <w:t xml:space="preserve">stock can be agisted until the contaminated water supply is considered safe (not on the same water system </w:t>
      </w:r>
      <w:r w:rsidR="00BA485D">
        <w:rPr>
          <w:sz w:val="21"/>
          <w:szCs w:val="21"/>
        </w:rPr>
        <w:t xml:space="preserve">which would be </w:t>
      </w:r>
      <w:r>
        <w:rPr>
          <w:sz w:val="21"/>
          <w:szCs w:val="21"/>
        </w:rPr>
        <w:t>likely to be affected</w:t>
      </w:r>
      <w:r w:rsidR="007D0EB5">
        <w:rPr>
          <w:sz w:val="21"/>
          <w:szCs w:val="21"/>
        </w:rPr>
        <w:t xml:space="preserve"> also</w:t>
      </w:r>
      <w:r>
        <w:rPr>
          <w:sz w:val="21"/>
          <w:szCs w:val="21"/>
        </w:rPr>
        <w:t>).</w:t>
      </w:r>
    </w:p>
    <w:p w:rsidR="00C60798" w:rsidRDefault="00C60798" w:rsidP="00C60798">
      <w:pPr>
        <w:pStyle w:val="Agbodytext"/>
        <w:rPr>
          <w:sz w:val="21"/>
          <w:szCs w:val="21"/>
        </w:rPr>
      </w:pPr>
    </w:p>
    <w:p w:rsidR="005F4802" w:rsidRPr="005F4802" w:rsidRDefault="005F4802" w:rsidP="005A777D">
      <w:pPr>
        <w:pStyle w:val="Agbodytext"/>
        <w:rPr>
          <w:sz w:val="21"/>
          <w:szCs w:val="21"/>
        </w:rPr>
      </w:pPr>
      <w:r w:rsidRPr="005F4802">
        <w:rPr>
          <w:sz w:val="21"/>
          <w:szCs w:val="21"/>
        </w:rPr>
        <w:t xml:space="preserve">Not every livestock owner will be able to identify a potential alternate water supply easily.  However, it is not </w:t>
      </w:r>
      <w:r>
        <w:rPr>
          <w:sz w:val="21"/>
          <w:szCs w:val="21"/>
        </w:rPr>
        <w:t xml:space="preserve">an </w:t>
      </w:r>
      <w:r w:rsidRPr="005F4802">
        <w:rPr>
          <w:sz w:val="21"/>
          <w:szCs w:val="21"/>
        </w:rPr>
        <w:t xml:space="preserve">acceptable </w:t>
      </w:r>
      <w:r>
        <w:rPr>
          <w:sz w:val="21"/>
          <w:szCs w:val="21"/>
        </w:rPr>
        <w:t xml:space="preserve">alternative </w:t>
      </w:r>
      <w:r w:rsidRPr="005F4802">
        <w:rPr>
          <w:sz w:val="21"/>
          <w:szCs w:val="21"/>
        </w:rPr>
        <w:t xml:space="preserve">to leave livestock with no access to clean, safe drinking water. </w:t>
      </w:r>
    </w:p>
    <w:p w:rsidR="00F764FD" w:rsidRDefault="00F764FD" w:rsidP="00E9080D">
      <w:pPr>
        <w:pStyle w:val="Heading3"/>
      </w:pPr>
    </w:p>
    <w:p w:rsidR="00F764FD" w:rsidRDefault="00F764FD" w:rsidP="00E9080D">
      <w:pPr>
        <w:pStyle w:val="Heading3"/>
      </w:pPr>
    </w:p>
    <w:p w:rsidR="00BA485D" w:rsidRDefault="00BA485D" w:rsidP="00BA485D"/>
    <w:p w:rsidR="00BA485D" w:rsidRDefault="00BA485D" w:rsidP="00BA485D"/>
    <w:p w:rsidR="00BA485D" w:rsidRPr="00BA485D" w:rsidRDefault="00BA485D" w:rsidP="00BA485D"/>
    <w:p w:rsidR="00F764FD" w:rsidRDefault="00F764FD" w:rsidP="005A777D">
      <w:pPr>
        <w:pStyle w:val="Agbodytext"/>
      </w:pPr>
    </w:p>
    <w:p w:rsidR="005F4802" w:rsidRPr="00E362DD" w:rsidRDefault="005F4802" w:rsidP="005A777D">
      <w:pPr>
        <w:pStyle w:val="Agbodytext"/>
        <w:rPr>
          <w:b/>
          <w:sz w:val="21"/>
          <w:szCs w:val="21"/>
        </w:rPr>
      </w:pPr>
      <w:r w:rsidRPr="00E362DD">
        <w:rPr>
          <w:b/>
          <w:sz w:val="21"/>
          <w:szCs w:val="21"/>
        </w:rPr>
        <w:lastRenderedPageBreak/>
        <w:t>Table 1. Livestock wate</w:t>
      </w:r>
      <w:r w:rsidR="008C2817">
        <w:rPr>
          <w:b/>
          <w:sz w:val="21"/>
          <w:szCs w:val="21"/>
        </w:rPr>
        <w:t xml:space="preserve">r requirements </w:t>
      </w:r>
    </w:p>
    <w:tbl>
      <w:tblPr>
        <w:tblW w:w="0" w:type="auto"/>
        <w:tblCellMar>
          <w:top w:w="15" w:type="dxa"/>
          <w:left w:w="15" w:type="dxa"/>
          <w:bottom w:w="15" w:type="dxa"/>
          <w:right w:w="15" w:type="dxa"/>
        </w:tblCellMar>
        <w:tblLook w:val="04A0" w:firstRow="1" w:lastRow="0" w:firstColumn="1" w:lastColumn="0" w:noHBand="0" w:noVBand="1"/>
      </w:tblPr>
      <w:tblGrid>
        <w:gridCol w:w="2567"/>
        <w:gridCol w:w="2268"/>
      </w:tblGrid>
      <w:tr w:rsidR="004546D5" w:rsidRPr="004B08A1" w:rsidTr="004546D5">
        <w:trPr>
          <w:tblHeader/>
        </w:trPr>
        <w:tc>
          <w:tcPr>
            <w:tcW w:w="4835" w:type="dxa"/>
            <w:gridSpan w:val="2"/>
            <w:tcBorders>
              <w:bottom w:val="single" w:sz="4" w:space="0" w:color="auto"/>
            </w:tcBorders>
            <w:vAlign w:val="center"/>
            <w:hideMark/>
          </w:tcPr>
          <w:p w:rsidR="004546D5" w:rsidRPr="004B08A1" w:rsidRDefault="004546D5" w:rsidP="001B3240">
            <w:pPr>
              <w:spacing w:after="309"/>
              <w:jc w:val="center"/>
              <w:rPr>
                <w:rFonts w:eastAsia="Times New Roman" w:cs="Arial"/>
                <w:b/>
                <w:bCs/>
                <w:sz w:val="21"/>
                <w:szCs w:val="21"/>
              </w:rPr>
            </w:pPr>
          </w:p>
        </w:tc>
      </w:tr>
      <w:tr w:rsidR="004546D5" w:rsidRPr="004B08A1" w:rsidTr="004546D5">
        <w:tc>
          <w:tcPr>
            <w:tcW w:w="2567" w:type="dxa"/>
            <w:tcBorders>
              <w:top w:val="single" w:sz="4" w:space="0" w:color="auto"/>
              <w:left w:val="single" w:sz="4" w:space="0" w:color="auto"/>
              <w:bottom w:val="single" w:sz="4" w:space="0" w:color="auto"/>
              <w:right w:val="single" w:sz="4" w:space="0" w:color="auto"/>
            </w:tcBorders>
            <w:vAlign w:val="center"/>
            <w:hideMark/>
          </w:tcPr>
          <w:p w:rsidR="004546D5" w:rsidRPr="004546D5" w:rsidRDefault="004546D5" w:rsidP="00E362DD">
            <w:pPr>
              <w:spacing w:after="309"/>
              <w:rPr>
                <w:rFonts w:eastAsia="Times New Roman" w:cs="Arial"/>
                <w:b/>
                <w:sz w:val="21"/>
                <w:szCs w:val="21"/>
              </w:rPr>
            </w:pPr>
            <w:r>
              <w:rPr>
                <w:rFonts w:eastAsia="Times New Roman" w:cs="Arial"/>
                <w:b/>
                <w:sz w:val="21"/>
                <w:szCs w:val="21"/>
              </w:rPr>
              <w:t>Lives</w:t>
            </w:r>
            <w:r w:rsidRPr="004546D5">
              <w:rPr>
                <w:rFonts w:eastAsia="Times New Roman" w:cs="Arial"/>
                <w:b/>
                <w:sz w:val="21"/>
                <w:szCs w:val="21"/>
              </w:rPr>
              <w:t>tock type</w:t>
            </w:r>
          </w:p>
        </w:tc>
        <w:tc>
          <w:tcPr>
            <w:tcW w:w="2268" w:type="dxa"/>
            <w:tcBorders>
              <w:top w:val="single" w:sz="4" w:space="0" w:color="auto"/>
              <w:left w:val="single" w:sz="4" w:space="0" w:color="auto"/>
              <w:bottom w:val="single" w:sz="4" w:space="0" w:color="auto"/>
              <w:right w:val="single" w:sz="4" w:space="0" w:color="auto"/>
            </w:tcBorders>
            <w:vAlign w:val="center"/>
            <w:hideMark/>
          </w:tcPr>
          <w:p w:rsidR="00E362DD" w:rsidRPr="004546D5" w:rsidRDefault="004546D5" w:rsidP="008C2817">
            <w:pPr>
              <w:spacing w:after="309"/>
              <w:rPr>
                <w:rFonts w:eastAsia="Times New Roman" w:cs="Arial"/>
                <w:b/>
                <w:sz w:val="21"/>
                <w:szCs w:val="21"/>
              </w:rPr>
            </w:pPr>
            <w:r w:rsidRPr="004546D5">
              <w:rPr>
                <w:rFonts w:eastAsia="Times New Roman" w:cs="Arial"/>
                <w:b/>
                <w:sz w:val="21"/>
                <w:szCs w:val="21"/>
              </w:rPr>
              <w:t>Water consumption</w:t>
            </w:r>
            <w:r w:rsidR="008C2817">
              <w:rPr>
                <w:rFonts w:eastAsia="Times New Roman" w:cs="Arial"/>
                <w:b/>
                <w:sz w:val="21"/>
                <w:szCs w:val="21"/>
              </w:rPr>
              <w:t xml:space="preserve"> (</w:t>
            </w:r>
            <w:r w:rsidR="00D862CA">
              <w:rPr>
                <w:rFonts w:eastAsia="Times New Roman" w:cs="Arial"/>
                <w:b/>
                <w:sz w:val="21"/>
                <w:szCs w:val="21"/>
              </w:rPr>
              <w:t>grazing grassland</w:t>
            </w:r>
            <w:r w:rsidR="008C2817">
              <w:rPr>
                <w:rFonts w:eastAsia="Times New Roman" w:cs="Arial"/>
                <w:b/>
                <w:sz w:val="21"/>
                <w:szCs w:val="21"/>
              </w:rPr>
              <w:t xml:space="preserve">; </w:t>
            </w:r>
            <w:proofErr w:type="spellStart"/>
            <w:r w:rsidR="008C2817">
              <w:rPr>
                <w:rFonts w:eastAsia="Times New Roman" w:cs="Arial"/>
                <w:b/>
                <w:sz w:val="21"/>
                <w:szCs w:val="21"/>
              </w:rPr>
              <w:t>litres</w:t>
            </w:r>
            <w:proofErr w:type="spellEnd"/>
            <w:r w:rsidR="008C2817">
              <w:rPr>
                <w:rFonts w:eastAsia="Times New Roman" w:cs="Arial"/>
                <w:b/>
                <w:sz w:val="21"/>
                <w:szCs w:val="21"/>
              </w:rPr>
              <w:t>/head/</w:t>
            </w:r>
            <w:proofErr w:type="gramStart"/>
            <w:r w:rsidR="008C2817">
              <w:rPr>
                <w:rFonts w:eastAsia="Times New Roman" w:cs="Arial"/>
                <w:b/>
                <w:sz w:val="21"/>
                <w:szCs w:val="21"/>
              </w:rPr>
              <w:t>day)</w:t>
            </w:r>
            <w:r w:rsidR="00D75136">
              <w:rPr>
                <w:rFonts w:eastAsia="Times New Roman" w:cs="Arial"/>
                <w:b/>
                <w:sz w:val="21"/>
                <w:szCs w:val="21"/>
              </w:rPr>
              <w:t>*</w:t>
            </w:r>
            <w:proofErr w:type="gramEnd"/>
          </w:p>
        </w:tc>
      </w:tr>
      <w:tr w:rsidR="004546D5" w:rsidRPr="004B08A1" w:rsidTr="004546D5">
        <w:tc>
          <w:tcPr>
            <w:tcW w:w="2567" w:type="dxa"/>
            <w:tcBorders>
              <w:top w:val="single" w:sz="4" w:space="0" w:color="auto"/>
              <w:left w:val="single" w:sz="4" w:space="0" w:color="auto"/>
              <w:bottom w:val="single" w:sz="4" w:space="0" w:color="auto"/>
              <w:right w:val="single" w:sz="4" w:space="0" w:color="auto"/>
            </w:tcBorders>
            <w:vAlign w:val="center"/>
            <w:hideMark/>
          </w:tcPr>
          <w:p w:rsidR="004546D5" w:rsidRPr="004B08A1" w:rsidRDefault="004546D5" w:rsidP="001B3240">
            <w:pPr>
              <w:spacing w:after="309"/>
              <w:jc w:val="center"/>
              <w:rPr>
                <w:rFonts w:eastAsia="Times New Roman" w:cs="Arial"/>
                <w:sz w:val="21"/>
                <w:szCs w:val="21"/>
              </w:rPr>
            </w:pPr>
            <w:r>
              <w:rPr>
                <w:rFonts w:eastAsia="Times New Roman" w:cs="Arial"/>
                <w:sz w:val="21"/>
                <w:szCs w:val="21"/>
              </w:rPr>
              <w:t>Adult d</w:t>
            </w:r>
            <w:r w:rsidRPr="004B08A1">
              <w:rPr>
                <w:rFonts w:eastAsia="Times New Roman" w:cs="Arial"/>
                <w:sz w:val="21"/>
                <w:szCs w:val="21"/>
              </w:rPr>
              <w:t>ry sheep</w:t>
            </w:r>
          </w:p>
        </w:tc>
        <w:tc>
          <w:tcPr>
            <w:tcW w:w="2268" w:type="dxa"/>
            <w:tcBorders>
              <w:top w:val="single" w:sz="4" w:space="0" w:color="auto"/>
              <w:left w:val="single" w:sz="4" w:space="0" w:color="auto"/>
              <w:bottom w:val="single" w:sz="4" w:space="0" w:color="auto"/>
              <w:right w:val="single" w:sz="4" w:space="0" w:color="auto"/>
            </w:tcBorders>
            <w:vAlign w:val="center"/>
            <w:hideMark/>
          </w:tcPr>
          <w:p w:rsidR="004546D5" w:rsidRPr="004B08A1" w:rsidRDefault="004546D5" w:rsidP="008C2817">
            <w:pPr>
              <w:spacing w:after="309"/>
              <w:jc w:val="center"/>
              <w:rPr>
                <w:rFonts w:eastAsia="Times New Roman" w:cs="Arial"/>
                <w:sz w:val="21"/>
                <w:szCs w:val="21"/>
              </w:rPr>
            </w:pPr>
            <w:r>
              <w:rPr>
                <w:rFonts w:eastAsia="Times New Roman" w:cs="Arial"/>
                <w:sz w:val="21"/>
                <w:szCs w:val="21"/>
              </w:rPr>
              <w:t>2-</w:t>
            </w:r>
            <w:r w:rsidR="008C2817">
              <w:rPr>
                <w:rFonts w:eastAsia="Times New Roman" w:cs="Arial"/>
                <w:sz w:val="21"/>
                <w:szCs w:val="21"/>
              </w:rPr>
              <w:t>6</w:t>
            </w:r>
          </w:p>
        </w:tc>
      </w:tr>
      <w:tr w:rsidR="004546D5" w:rsidRPr="004B08A1" w:rsidTr="004546D5">
        <w:tc>
          <w:tcPr>
            <w:tcW w:w="2567" w:type="dxa"/>
            <w:tcBorders>
              <w:top w:val="single" w:sz="4" w:space="0" w:color="auto"/>
              <w:left w:val="single" w:sz="4" w:space="0" w:color="auto"/>
              <w:bottom w:val="single" w:sz="4" w:space="0" w:color="auto"/>
              <w:right w:val="single" w:sz="4" w:space="0" w:color="auto"/>
            </w:tcBorders>
            <w:vAlign w:val="center"/>
            <w:hideMark/>
          </w:tcPr>
          <w:p w:rsidR="004546D5" w:rsidRPr="004B08A1" w:rsidRDefault="004546D5" w:rsidP="001B3240">
            <w:pPr>
              <w:spacing w:after="309"/>
              <w:jc w:val="center"/>
              <w:rPr>
                <w:rFonts w:eastAsia="Times New Roman" w:cs="Arial"/>
                <w:sz w:val="21"/>
                <w:szCs w:val="21"/>
              </w:rPr>
            </w:pPr>
            <w:r>
              <w:rPr>
                <w:rFonts w:eastAsia="Times New Roman" w:cs="Arial"/>
                <w:sz w:val="21"/>
                <w:szCs w:val="21"/>
              </w:rPr>
              <w:t>E</w:t>
            </w:r>
            <w:r w:rsidRPr="004B08A1">
              <w:rPr>
                <w:rFonts w:eastAsia="Times New Roman" w:cs="Arial"/>
                <w:sz w:val="21"/>
                <w:szCs w:val="21"/>
              </w:rPr>
              <w:t>wes</w:t>
            </w:r>
            <w:r>
              <w:rPr>
                <w:rFonts w:eastAsia="Times New Roman" w:cs="Arial"/>
                <w:sz w:val="21"/>
                <w:szCs w:val="21"/>
              </w:rPr>
              <w:t xml:space="preserve"> with lambs</w:t>
            </w:r>
          </w:p>
        </w:tc>
        <w:tc>
          <w:tcPr>
            <w:tcW w:w="2268" w:type="dxa"/>
            <w:tcBorders>
              <w:top w:val="single" w:sz="4" w:space="0" w:color="auto"/>
              <w:left w:val="single" w:sz="4" w:space="0" w:color="auto"/>
              <w:bottom w:val="single" w:sz="4" w:space="0" w:color="auto"/>
              <w:right w:val="single" w:sz="4" w:space="0" w:color="auto"/>
            </w:tcBorders>
            <w:vAlign w:val="center"/>
            <w:hideMark/>
          </w:tcPr>
          <w:p w:rsidR="004546D5" w:rsidRPr="004B08A1" w:rsidRDefault="004546D5" w:rsidP="004546D5">
            <w:pPr>
              <w:spacing w:after="309"/>
              <w:jc w:val="center"/>
              <w:rPr>
                <w:rFonts w:eastAsia="Times New Roman" w:cs="Arial"/>
                <w:sz w:val="21"/>
                <w:szCs w:val="21"/>
              </w:rPr>
            </w:pPr>
            <w:r>
              <w:rPr>
                <w:rFonts w:eastAsia="Times New Roman" w:cs="Arial"/>
                <w:sz w:val="21"/>
                <w:szCs w:val="21"/>
              </w:rPr>
              <w:t>4-1</w:t>
            </w:r>
            <w:r w:rsidR="008C2817">
              <w:rPr>
                <w:rFonts w:eastAsia="Times New Roman" w:cs="Arial"/>
                <w:sz w:val="21"/>
                <w:szCs w:val="21"/>
              </w:rPr>
              <w:t>0</w:t>
            </w:r>
          </w:p>
        </w:tc>
      </w:tr>
      <w:tr w:rsidR="004546D5" w:rsidRPr="004B08A1" w:rsidTr="004546D5">
        <w:tc>
          <w:tcPr>
            <w:tcW w:w="2567" w:type="dxa"/>
            <w:tcBorders>
              <w:top w:val="single" w:sz="4" w:space="0" w:color="auto"/>
              <w:left w:val="single" w:sz="4" w:space="0" w:color="auto"/>
              <w:bottom w:val="single" w:sz="4" w:space="0" w:color="auto"/>
              <w:right w:val="single" w:sz="4" w:space="0" w:color="auto"/>
            </w:tcBorders>
            <w:vAlign w:val="center"/>
            <w:hideMark/>
          </w:tcPr>
          <w:p w:rsidR="004546D5" w:rsidRPr="004B08A1" w:rsidRDefault="008C2817" w:rsidP="008C2817">
            <w:pPr>
              <w:spacing w:after="309"/>
              <w:jc w:val="center"/>
              <w:rPr>
                <w:rFonts w:eastAsia="Times New Roman" w:cs="Arial"/>
                <w:sz w:val="21"/>
                <w:szCs w:val="21"/>
              </w:rPr>
            </w:pPr>
            <w:r>
              <w:rPr>
                <w:rFonts w:eastAsia="Times New Roman" w:cs="Arial"/>
                <w:sz w:val="21"/>
                <w:szCs w:val="21"/>
              </w:rPr>
              <w:t>Sheep w</w:t>
            </w:r>
            <w:r w:rsidR="004546D5" w:rsidRPr="004B08A1">
              <w:rPr>
                <w:rFonts w:eastAsia="Times New Roman" w:cs="Arial"/>
                <w:sz w:val="21"/>
                <w:szCs w:val="21"/>
              </w:rPr>
              <w:t>eaners</w:t>
            </w:r>
          </w:p>
        </w:tc>
        <w:tc>
          <w:tcPr>
            <w:tcW w:w="2268" w:type="dxa"/>
            <w:tcBorders>
              <w:top w:val="single" w:sz="4" w:space="0" w:color="auto"/>
              <w:left w:val="single" w:sz="4" w:space="0" w:color="auto"/>
              <w:bottom w:val="single" w:sz="4" w:space="0" w:color="auto"/>
              <w:right w:val="single" w:sz="4" w:space="0" w:color="auto"/>
            </w:tcBorders>
            <w:vAlign w:val="center"/>
            <w:hideMark/>
          </w:tcPr>
          <w:p w:rsidR="004546D5" w:rsidRPr="004B08A1" w:rsidRDefault="004546D5" w:rsidP="008C2817">
            <w:pPr>
              <w:spacing w:after="309"/>
              <w:jc w:val="center"/>
              <w:rPr>
                <w:rFonts w:eastAsia="Times New Roman" w:cs="Arial"/>
                <w:sz w:val="21"/>
                <w:szCs w:val="21"/>
              </w:rPr>
            </w:pPr>
            <w:r>
              <w:rPr>
                <w:rFonts w:eastAsia="Times New Roman" w:cs="Arial"/>
                <w:sz w:val="21"/>
                <w:szCs w:val="21"/>
              </w:rPr>
              <w:t>2-</w:t>
            </w:r>
            <w:r w:rsidR="008C2817">
              <w:rPr>
                <w:rFonts w:eastAsia="Times New Roman" w:cs="Arial"/>
                <w:sz w:val="21"/>
                <w:szCs w:val="21"/>
              </w:rPr>
              <w:t>4</w:t>
            </w:r>
          </w:p>
        </w:tc>
      </w:tr>
      <w:tr w:rsidR="004546D5" w:rsidRPr="004B08A1" w:rsidTr="004546D5">
        <w:tc>
          <w:tcPr>
            <w:tcW w:w="2567" w:type="dxa"/>
            <w:tcBorders>
              <w:top w:val="single" w:sz="4" w:space="0" w:color="auto"/>
              <w:left w:val="single" w:sz="4" w:space="0" w:color="auto"/>
              <w:bottom w:val="single" w:sz="4" w:space="0" w:color="auto"/>
              <w:right w:val="single" w:sz="4" w:space="0" w:color="auto"/>
            </w:tcBorders>
            <w:vAlign w:val="center"/>
            <w:hideMark/>
          </w:tcPr>
          <w:p w:rsidR="004546D5" w:rsidRPr="004B08A1" w:rsidRDefault="004546D5" w:rsidP="001B3240">
            <w:pPr>
              <w:spacing w:after="309"/>
              <w:jc w:val="center"/>
              <w:rPr>
                <w:rFonts w:eastAsia="Times New Roman" w:cs="Arial"/>
                <w:sz w:val="21"/>
                <w:szCs w:val="21"/>
              </w:rPr>
            </w:pPr>
            <w:r w:rsidRPr="004B08A1">
              <w:rPr>
                <w:rFonts w:eastAsia="Times New Roman" w:cs="Arial"/>
                <w:sz w:val="21"/>
                <w:szCs w:val="21"/>
              </w:rPr>
              <w:t>Dry cattle</w:t>
            </w:r>
            <w:r>
              <w:rPr>
                <w:rFonts w:eastAsia="Times New Roman" w:cs="Arial"/>
                <w:sz w:val="21"/>
                <w:szCs w:val="21"/>
              </w:rPr>
              <w:t xml:space="preserve"> (400kg)</w:t>
            </w:r>
          </w:p>
        </w:tc>
        <w:tc>
          <w:tcPr>
            <w:tcW w:w="2268" w:type="dxa"/>
            <w:tcBorders>
              <w:top w:val="single" w:sz="4" w:space="0" w:color="auto"/>
              <w:left w:val="single" w:sz="4" w:space="0" w:color="auto"/>
              <w:bottom w:val="single" w:sz="4" w:space="0" w:color="auto"/>
              <w:right w:val="single" w:sz="4" w:space="0" w:color="auto"/>
            </w:tcBorders>
            <w:vAlign w:val="center"/>
            <w:hideMark/>
          </w:tcPr>
          <w:p w:rsidR="004546D5" w:rsidRPr="004B08A1" w:rsidRDefault="004546D5" w:rsidP="008C2817">
            <w:pPr>
              <w:spacing w:after="309"/>
              <w:jc w:val="center"/>
              <w:rPr>
                <w:rFonts w:eastAsia="Times New Roman" w:cs="Arial"/>
                <w:sz w:val="21"/>
                <w:szCs w:val="21"/>
              </w:rPr>
            </w:pPr>
            <w:r>
              <w:rPr>
                <w:rFonts w:eastAsia="Times New Roman" w:cs="Arial"/>
                <w:sz w:val="21"/>
                <w:szCs w:val="21"/>
              </w:rPr>
              <w:t>35-</w:t>
            </w:r>
            <w:r w:rsidR="008C2817">
              <w:rPr>
                <w:rFonts w:eastAsia="Times New Roman" w:cs="Arial"/>
                <w:sz w:val="21"/>
                <w:szCs w:val="21"/>
              </w:rPr>
              <w:t>80</w:t>
            </w:r>
          </w:p>
        </w:tc>
      </w:tr>
      <w:tr w:rsidR="004546D5" w:rsidRPr="004B08A1" w:rsidTr="004546D5">
        <w:tc>
          <w:tcPr>
            <w:tcW w:w="2567" w:type="dxa"/>
            <w:tcBorders>
              <w:top w:val="single" w:sz="4" w:space="0" w:color="auto"/>
              <w:left w:val="single" w:sz="4" w:space="0" w:color="auto"/>
              <w:bottom w:val="single" w:sz="4" w:space="0" w:color="auto"/>
              <w:right w:val="single" w:sz="4" w:space="0" w:color="auto"/>
            </w:tcBorders>
            <w:vAlign w:val="center"/>
            <w:hideMark/>
          </w:tcPr>
          <w:p w:rsidR="004546D5" w:rsidRPr="004B08A1" w:rsidRDefault="004546D5" w:rsidP="00E362DD">
            <w:pPr>
              <w:spacing w:after="309"/>
              <w:jc w:val="center"/>
              <w:rPr>
                <w:rFonts w:eastAsia="Times New Roman" w:cs="Arial"/>
                <w:sz w:val="21"/>
                <w:szCs w:val="21"/>
              </w:rPr>
            </w:pPr>
            <w:r w:rsidRPr="004B08A1">
              <w:rPr>
                <w:rFonts w:eastAsia="Times New Roman" w:cs="Arial"/>
                <w:sz w:val="21"/>
                <w:szCs w:val="21"/>
              </w:rPr>
              <w:t xml:space="preserve">Lactating cattle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4546D5" w:rsidRPr="004B08A1" w:rsidRDefault="00E362DD" w:rsidP="008C2817">
            <w:pPr>
              <w:spacing w:after="309"/>
              <w:jc w:val="center"/>
              <w:rPr>
                <w:rFonts w:eastAsia="Times New Roman" w:cs="Arial"/>
                <w:sz w:val="21"/>
                <w:szCs w:val="21"/>
              </w:rPr>
            </w:pPr>
            <w:r>
              <w:rPr>
                <w:rFonts w:eastAsia="Times New Roman" w:cs="Arial"/>
                <w:sz w:val="21"/>
                <w:szCs w:val="21"/>
              </w:rPr>
              <w:t>40 -</w:t>
            </w:r>
            <w:r w:rsidR="004546D5" w:rsidRPr="004B08A1">
              <w:rPr>
                <w:rFonts w:eastAsia="Times New Roman" w:cs="Arial"/>
                <w:sz w:val="21"/>
                <w:szCs w:val="21"/>
              </w:rPr>
              <w:t>1</w:t>
            </w:r>
            <w:r w:rsidR="008C2817">
              <w:rPr>
                <w:rFonts w:eastAsia="Times New Roman" w:cs="Arial"/>
                <w:sz w:val="21"/>
                <w:szCs w:val="21"/>
              </w:rPr>
              <w:t>0</w:t>
            </w:r>
            <w:r w:rsidR="004546D5" w:rsidRPr="004B08A1">
              <w:rPr>
                <w:rFonts w:eastAsia="Times New Roman" w:cs="Arial"/>
                <w:sz w:val="21"/>
                <w:szCs w:val="21"/>
              </w:rPr>
              <w:t>0</w:t>
            </w:r>
          </w:p>
        </w:tc>
      </w:tr>
      <w:tr w:rsidR="004546D5" w:rsidRPr="004B08A1" w:rsidTr="004546D5">
        <w:tc>
          <w:tcPr>
            <w:tcW w:w="2567" w:type="dxa"/>
            <w:tcBorders>
              <w:top w:val="single" w:sz="4" w:space="0" w:color="auto"/>
              <w:left w:val="single" w:sz="4" w:space="0" w:color="auto"/>
              <w:bottom w:val="single" w:sz="4" w:space="0" w:color="auto"/>
              <w:right w:val="single" w:sz="4" w:space="0" w:color="auto"/>
            </w:tcBorders>
            <w:vAlign w:val="center"/>
            <w:hideMark/>
          </w:tcPr>
          <w:p w:rsidR="004546D5" w:rsidRPr="004B08A1" w:rsidRDefault="008C2817" w:rsidP="008C2817">
            <w:pPr>
              <w:spacing w:after="309"/>
              <w:jc w:val="center"/>
              <w:rPr>
                <w:rFonts w:eastAsia="Times New Roman" w:cs="Arial"/>
                <w:sz w:val="21"/>
                <w:szCs w:val="21"/>
              </w:rPr>
            </w:pPr>
            <w:r>
              <w:rPr>
                <w:rFonts w:eastAsia="Times New Roman" w:cs="Arial"/>
                <w:sz w:val="21"/>
                <w:szCs w:val="21"/>
              </w:rPr>
              <w:t>Cattle w</w:t>
            </w:r>
            <w:r w:rsidR="004546D5" w:rsidRPr="004B08A1">
              <w:rPr>
                <w:rFonts w:eastAsia="Times New Roman" w:cs="Arial"/>
                <w:sz w:val="21"/>
                <w:szCs w:val="21"/>
              </w:rPr>
              <w:t xml:space="preserve">eaners </w:t>
            </w:r>
          </w:p>
        </w:tc>
        <w:tc>
          <w:tcPr>
            <w:tcW w:w="2268" w:type="dxa"/>
            <w:tcBorders>
              <w:top w:val="single" w:sz="4" w:space="0" w:color="auto"/>
              <w:left w:val="single" w:sz="4" w:space="0" w:color="auto"/>
              <w:bottom w:val="single" w:sz="4" w:space="0" w:color="auto"/>
              <w:right w:val="single" w:sz="4" w:space="0" w:color="auto"/>
            </w:tcBorders>
            <w:vAlign w:val="center"/>
            <w:hideMark/>
          </w:tcPr>
          <w:p w:rsidR="004546D5" w:rsidRPr="004B08A1" w:rsidRDefault="00E362DD" w:rsidP="008C2817">
            <w:pPr>
              <w:spacing w:after="309"/>
              <w:jc w:val="center"/>
              <w:rPr>
                <w:rFonts w:eastAsia="Times New Roman" w:cs="Arial"/>
                <w:sz w:val="21"/>
                <w:szCs w:val="21"/>
              </w:rPr>
            </w:pPr>
            <w:r>
              <w:rPr>
                <w:rFonts w:eastAsia="Times New Roman" w:cs="Arial"/>
                <w:sz w:val="21"/>
                <w:szCs w:val="21"/>
              </w:rPr>
              <w:t>25-</w:t>
            </w:r>
            <w:r w:rsidR="008C2817">
              <w:rPr>
                <w:rFonts w:eastAsia="Times New Roman" w:cs="Arial"/>
                <w:sz w:val="21"/>
                <w:szCs w:val="21"/>
              </w:rPr>
              <w:t>5</w:t>
            </w:r>
            <w:r w:rsidR="004546D5" w:rsidRPr="004B08A1">
              <w:rPr>
                <w:rFonts w:eastAsia="Times New Roman" w:cs="Arial"/>
                <w:sz w:val="21"/>
                <w:szCs w:val="21"/>
              </w:rPr>
              <w:t>0</w:t>
            </w:r>
          </w:p>
        </w:tc>
      </w:tr>
      <w:tr w:rsidR="00E362DD" w:rsidRPr="004B08A1" w:rsidTr="004546D5">
        <w:tc>
          <w:tcPr>
            <w:tcW w:w="2567" w:type="dxa"/>
            <w:tcBorders>
              <w:top w:val="single" w:sz="4" w:space="0" w:color="auto"/>
              <w:left w:val="single" w:sz="4" w:space="0" w:color="auto"/>
              <w:bottom w:val="single" w:sz="4" w:space="0" w:color="auto"/>
              <w:right w:val="single" w:sz="4" w:space="0" w:color="auto"/>
            </w:tcBorders>
            <w:vAlign w:val="center"/>
          </w:tcPr>
          <w:p w:rsidR="00E362DD" w:rsidRDefault="00E362DD" w:rsidP="00E362DD">
            <w:pPr>
              <w:spacing w:after="309"/>
              <w:jc w:val="center"/>
              <w:rPr>
                <w:rFonts w:eastAsia="Times New Roman" w:cs="Arial"/>
                <w:sz w:val="21"/>
                <w:szCs w:val="21"/>
              </w:rPr>
            </w:pPr>
            <w:r>
              <w:rPr>
                <w:rFonts w:eastAsia="Times New Roman" w:cs="Arial"/>
                <w:sz w:val="21"/>
                <w:szCs w:val="21"/>
              </w:rPr>
              <w:t>Horses</w:t>
            </w:r>
          </w:p>
        </w:tc>
        <w:tc>
          <w:tcPr>
            <w:tcW w:w="2268" w:type="dxa"/>
            <w:tcBorders>
              <w:top w:val="single" w:sz="4" w:space="0" w:color="auto"/>
              <w:left w:val="single" w:sz="4" w:space="0" w:color="auto"/>
              <w:bottom w:val="single" w:sz="4" w:space="0" w:color="auto"/>
              <w:right w:val="single" w:sz="4" w:space="0" w:color="auto"/>
            </w:tcBorders>
            <w:vAlign w:val="center"/>
          </w:tcPr>
          <w:p w:rsidR="00E362DD" w:rsidRDefault="00E362DD" w:rsidP="001B3240">
            <w:pPr>
              <w:spacing w:after="309"/>
              <w:jc w:val="center"/>
              <w:rPr>
                <w:rFonts w:eastAsia="Times New Roman" w:cs="Arial"/>
                <w:sz w:val="21"/>
                <w:szCs w:val="21"/>
              </w:rPr>
            </w:pPr>
            <w:r>
              <w:rPr>
                <w:rFonts w:eastAsia="Times New Roman" w:cs="Arial"/>
                <w:sz w:val="21"/>
                <w:szCs w:val="21"/>
              </w:rPr>
              <w:t>40-50</w:t>
            </w:r>
          </w:p>
        </w:tc>
      </w:tr>
    </w:tbl>
    <w:p w:rsidR="005F4802" w:rsidRPr="00E362DD" w:rsidRDefault="00E362DD" w:rsidP="00E362DD">
      <w:pPr>
        <w:pStyle w:val="Agbodytext"/>
        <w:rPr>
          <w:i/>
        </w:rPr>
      </w:pPr>
      <w:r w:rsidRPr="00E362DD">
        <w:rPr>
          <w:i/>
        </w:rPr>
        <w:t>*When calculating, allow for evaporation, consumption by   native and feral animals, and other farm water requirements.</w:t>
      </w:r>
      <w:r w:rsidR="008C2817">
        <w:rPr>
          <w:i/>
        </w:rPr>
        <w:t xml:space="preserve"> Higher </w:t>
      </w:r>
      <w:r w:rsidR="00BA485D">
        <w:rPr>
          <w:i/>
        </w:rPr>
        <w:t xml:space="preserve">water </w:t>
      </w:r>
      <w:r w:rsidR="008C2817">
        <w:rPr>
          <w:i/>
        </w:rPr>
        <w:t>requirement if grazing vegetation such as saltbush</w:t>
      </w:r>
      <w:r w:rsidR="00BA485D">
        <w:rPr>
          <w:i/>
        </w:rPr>
        <w:t xml:space="preserve"> (not included in this table)</w:t>
      </w:r>
      <w:r w:rsidR="008C2817">
        <w:rPr>
          <w:i/>
        </w:rPr>
        <w:t>.</w:t>
      </w:r>
    </w:p>
    <w:p w:rsidR="005F4802" w:rsidRDefault="005F4802" w:rsidP="005A777D">
      <w:pPr>
        <w:pStyle w:val="Agbodytext"/>
      </w:pPr>
    </w:p>
    <w:p w:rsidR="00C71CD4" w:rsidRPr="00C71CD4" w:rsidRDefault="00C71CD4" w:rsidP="00F764FD">
      <w:pPr>
        <w:pStyle w:val="Agbodytext"/>
        <w:rPr>
          <w:b/>
          <w:color w:val="808080" w:themeColor="background1" w:themeShade="80"/>
          <w:sz w:val="21"/>
          <w:szCs w:val="21"/>
        </w:rPr>
      </w:pPr>
      <w:r w:rsidRPr="00C71CD4">
        <w:rPr>
          <w:b/>
          <w:color w:val="808080" w:themeColor="background1" w:themeShade="80"/>
          <w:sz w:val="21"/>
          <w:szCs w:val="21"/>
        </w:rPr>
        <w:t>Other con</w:t>
      </w:r>
      <w:r>
        <w:rPr>
          <w:b/>
          <w:color w:val="808080" w:themeColor="background1" w:themeShade="80"/>
          <w:sz w:val="21"/>
          <w:szCs w:val="21"/>
        </w:rPr>
        <w:t>trol measures</w:t>
      </w:r>
    </w:p>
    <w:p w:rsidR="00F764FD" w:rsidRDefault="00F764FD" w:rsidP="00F764FD">
      <w:pPr>
        <w:pStyle w:val="Agbodytext"/>
        <w:rPr>
          <w:sz w:val="21"/>
          <w:szCs w:val="21"/>
        </w:rPr>
      </w:pPr>
      <w:r w:rsidRPr="005F4802">
        <w:rPr>
          <w:sz w:val="21"/>
          <w:szCs w:val="21"/>
        </w:rPr>
        <w:t xml:space="preserve">Other control measures to consider, </w:t>
      </w:r>
      <w:r w:rsidRPr="00940497">
        <w:rPr>
          <w:b/>
          <w:sz w:val="21"/>
          <w:szCs w:val="21"/>
        </w:rPr>
        <w:t xml:space="preserve">which do not necessarily provide </w:t>
      </w:r>
      <w:r w:rsidR="00E362DD" w:rsidRPr="00940497">
        <w:rPr>
          <w:b/>
          <w:sz w:val="21"/>
          <w:szCs w:val="21"/>
        </w:rPr>
        <w:t>immediate</w:t>
      </w:r>
      <w:r w:rsidRPr="00940497">
        <w:rPr>
          <w:b/>
          <w:sz w:val="21"/>
          <w:szCs w:val="21"/>
        </w:rPr>
        <w:t xml:space="preserve"> access to a safe water supply</w:t>
      </w:r>
      <w:r w:rsidRPr="005F4802">
        <w:rPr>
          <w:sz w:val="21"/>
          <w:szCs w:val="21"/>
        </w:rPr>
        <w:t>, include:</w:t>
      </w:r>
    </w:p>
    <w:p w:rsidR="00F764FD" w:rsidRPr="00055A33" w:rsidRDefault="00F764FD" w:rsidP="00F764FD">
      <w:pPr>
        <w:pStyle w:val="ListParagraph"/>
        <w:numPr>
          <w:ilvl w:val="0"/>
          <w:numId w:val="19"/>
        </w:numPr>
        <w:spacing w:before="100" w:beforeAutospacing="1" w:after="86"/>
        <w:ind w:right="480"/>
        <w:rPr>
          <w:rFonts w:eastAsia="Times New Roman" w:cs="Arial"/>
          <w:sz w:val="21"/>
          <w:szCs w:val="21"/>
          <w:lang w:val="en"/>
        </w:rPr>
      </w:pPr>
      <w:r>
        <w:rPr>
          <w:rFonts w:eastAsia="Times New Roman" w:cs="Arial"/>
          <w:sz w:val="21"/>
          <w:szCs w:val="21"/>
          <w:lang w:val="en"/>
        </w:rPr>
        <w:t>b</w:t>
      </w:r>
      <w:r w:rsidRPr="00055A33">
        <w:rPr>
          <w:rFonts w:eastAsia="Times New Roman" w:cs="Arial"/>
          <w:sz w:val="21"/>
          <w:szCs w:val="21"/>
          <w:lang w:val="en"/>
        </w:rPr>
        <w:t>arley straw</w:t>
      </w:r>
      <w:r>
        <w:rPr>
          <w:rFonts w:eastAsia="Times New Roman" w:cs="Arial"/>
          <w:sz w:val="21"/>
          <w:szCs w:val="21"/>
          <w:lang w:val="en"/>
        </w:rPr>
        <w:t>,</w:t>
      </w:r>
      <w:r w:rsidRPr="00055A33">
        <w:rPr>
          <w:rFonts w:eastAsia="Times New Roman" w:cs="Arial"/>
          <w:sz w:val="21"/>
          <w:szCs w:val="21"/>
          <w:lang w:val="en"/>
        </w:rPr>
        <w:t xml:space="preserve"> applied in plastic mesh bags at a rate of 100 grams over 1000 litres of </w:t>
      </w:r>
      <w:bookmarkStart w:id="1" w:name="_GoBack"/>
      <w:bookmarkEnd w:id="1"/>
      <w:r w:rsidRPr="00055A33">
        <w:rPr>
          <w:rFonts w:eastAsia="Times New Roman" w:cs="Arial"/>
          <w:sz w:val="21"/>
          <w:szCs w:val="21"/>
          <w:lang w:val="en"/>
        </w:rPr>
        <w:t>water</w:t>
      </w:r>
      <w:r>
        <w:rPr>
          <w:rFonts w:eastAsia="Times New Roman" w:cs="Arial"/>
          <w:sz w:val="21"/>
          <w:szCs w:val="21"/>
          <w:lang w:val="en"/>
        </w:rPr>
        <w:t>,</w:t>
      </w:r>
      <w:r w:rsidRPr="00055A33">
        <w:rPr>
          <w:rFonts w:eastAsia="Times New Roman" w:cs="Arial"/>
          <w:sz w:val="21"/>
          <w:szCs w:val="21"/>
          <w:lang w:val="en"/>
        </w:rPr>
        <w:t xml:space="preserve"> can help break up algal </w:t>
      </w:r>
      <w:r>
        <w:rPr>
          <w:rFonts w:eastAsia="Times New Roman" w:cs="Arial"/>
          <w:sz w:val="21"/>
          <w:szCs w:val="21"/>
          <w:lang w:val="en"/>
        </w:rPr>
        <w:t>blooms in farm dams</w:t>
      </w:r>
      <w:r w:rsidRPr="00055A33">
        <w:rPr>
          <w:rFonts w:eastAsia="Times New Roman" w:cs="Arial"/>
          <w:sz w:val="21"/>
          <w:szCs w:val="21"/>
          <w:lang w:val="en"/>
        </w:rPr>
        <w:t xml:space="preserve">. It can take </w:t>
      </w:r>
      <w:proofErr w:type="gramStart"/>
      <w:r w:rsidR="00BA485D">
        <w:rPr>
          <w:rFonts w:eastAsia="Times New Roman" w:cs="Arial"/>
          <w:sz w:val="21"/>
          <w:szCs w:val="21"/>
          <w:lang w:val="en"/>
        </w:rPr>
        <w:t>a number of</w:t>
      </w:r>
      <w:proofErr w:type="gramEnd"/>
      <w:r w:rsidR="00BA485D">
        <w:rPr>
          <w:rFonts w:eastAsia="Times New Roman" w:cs="Arial"/>
          <w:sz w:val="21"/>
          <w:szCs w:val="21"/>
          <w:lang w:val="en"/>
        </w:rPr>
        <w:t xml:space="preserve"> weeks </w:t>
      </w:r>
      <w:r w:rsidRPr="00055A33">
        <w:rPr>
          <w:rFonts w:eastAsia="Times New Roman" w:cs="Arial"/>
          <w:sz w:val="21"/>
          <w:szCs w:val="21"/>
          <w:lang w:val="en"/>
        </w:rPr>
        <w:t xml:space="preserve">to </w:t>
      </w:r>
      <w:r w:rsidR="00BA485D">
        <w:rPr>
          <w:rFonts w:eastAsia="Times New Roman" w:cs="Arial"/>
          <w:sz w:val="21"/>
          <w:szCs w:val="21"/>
          <w:lang w:val="en"/>
        </w:rPr>
        <w:t>be effective</w:t>
      </w:r>
      <w:r w:rsidRPr="00055A33">
        <w:rPr>
          <w:rFonts w:eastAsia="Times New Roman" w:cs="Arial"/>
          <w:sz w:val="21"/>
          <w:szCs w:val="21"/>
          <w:lang w:val="en"/>
        </w:rPr>
        <w:t>.</w:t>
      </w:r>
    </w:p>
    <w:p w:rsidR="00F764FD" w:rsidRPr="00DE33E2" w:rsidRDefault="00F764FD" w:rsidP="00F764FD">
      <w:pPr>
        <w:pStyle w:val="ListParagraph"/>
        <w:numPr>
          <w:ilvl w:val="0"/>
          <w:numId w:val="19"/>
        </w:numPr>
        <w:spacing w:before="100" w:beforeAutospacing="1" w:after="86"/>
        <w:ind w:right="720"/>
        <w:rPr>
          <w:rFonts w:eastAsia="Times New Roman" w:cs="Arial"/>
          <w:sz w:val="21"/>
          <w:szCs w:val="21"/>
          <w:lang w:val="en"/>
        </w:rPr>
      </w:pPr>
      <w:r>
        <w:rPr>
          <w:rFonts w:eastAsia="Times New Roman" w:cs="Arial"/>
          <w:sz w:val="21"/>
          <w:szCs w:val="21"/>
          <w:lang w:val="en"/>
        </w:rPr>
        <w:t>t</w:t>
      </w:r>
      <w:r w:rsidRPr="00DE33E2">
        <w:rPr>
          <w:rFonts w:eastAsia="Times New Roman" w:cs="Arial"/>
          <w:sz w:val="21"/>
          <w:szCs w:val="21"/>
          <w:lang w:val="en"/>
        </w:rPr>
        <w:t xml:space="preserve">he use of an outboard motor or fire pump to circulate oxygen through the water supply (i.e. farm dam) </w:t>
      </w:r>
      <w:proofErr w:type="gramStart"/>
      <w:r w:rsidRPr="00DE33E2">
        <w:rPr>
          <w:rFonts w:eastAsia="Times New Roman" w:cs="Arial"/>
          <w:sz w:val="21"/>
          <w:szCs w:val="21"/>
          <w:lang w:val="en"/>
        </w:rPr>
        <w:t>in order to</w:t>
      </w:r>
      <w:proofErr w:type="gramEnd"/>
      <w:r w:rsidRPr="00DE33E2">
        <w:rPr>
          <w:rFonts w:eastAsia="Times New Roman" w:cs="Arial"/>
          <w:sz w:val="21"/>
          <w:szCs w:val="21"/>
          <w:lang w:val="en"/>
        </w:rPr>
        <w:t xml:space="preserve"> aerate the water source and disperse the algal scum</w:t>
      </w:r>
    </w:p>
    <w:p w:rsidR="00F764FD" w:rsidRDefault="00F764FD" w:rsidP="00F764FD">
      <w:pPr>
        <w:pStyle w:val="ListParagraph"/>
        <w:numPr>
          <w:ilvl w:val="0"/>
          <w:numId w:val="19"/>
        </w:numPr>
        <w:spacing w:before="100" w:beforeAutospacing="1" w:after="86"/>
        <w:ind w:right="720"/>
        <w:rPr>
          <w:rFonts w:eastAsia="Times New Roman" w:cs="Arial"/>
          <w:sz w:val="21"/>
          <w:szCs w:val="21"/>
          <w:lang w:val="en"/>
        </w:rPr>
      </w:pPr>
      <w:r>
        <w:rPr>
          <w:rFonts w:eastAsia="Times New Roman" w:cs="Arial"/>
          <w:sz w:val="21"/>
          <w:szCs w:val="21"/>
          <w:lang w:val="en"/>
        </w:rPr>
        <w:t>t</w:t>
      </w:r>
      <w:r w:rsidRPr="00DE33E2">
        <w:rPr>
          <w:rFonts w:eastAsia="Times New Roman" w:cs="Arial"/>
          <w:sz w:val="21"/>
          <w:szCs w:val="21"/>
          <w:lang w:val="en"/>
        </w:rPr>
        <w:t xml:space="preserve">he selective withdrawal of water from different depths </w:t>
      </w:r>
      <w:r>
        <w:rPr>
          <w:rFonts w:eastAsia="Times New Roman" w:cs="Arial"/>
          <w:sz w:val="21"/>
          <w:szCs w:val="21"/>
          <w:lang w:val="en"/>
        </w:rPr>
        <w:t>in</w:t>
      </w:r>
      <w:r w:rsidRPr="00DE33E2">
        <w:rPr>
          <w:rFonts w:eastAsia="Times New Roman" w:cs="Arial"/>
          <w:sz w:val="21"/>
          <w:szCs w:val="21"/>
          <w:lang w:val="en"/>
        </w:rPr>
        <w:t xml:space="preserve"> a water source may minimize the intake of high surface accumulations</w:t>
      </w:r>
      <w:r>
        <w:rPr>
          <w:rFonts w:eastAsia="Times New Roman" w:cs="Arial"/>
          <w:sz w:val="21"/>
          <w:szCs w:val="21"/>
          <w:lang w:val="en"/>
        </w:rPr>
        <w:t xml:space="preserve"> (scum)</w:t>
      </w:r>
      <w:r w:rsidRPr="00DE33E2">
        <w:rPr>
          <w:rFonts w:eastAsia="Times New Roman" w:cs="Arial"/>
          <w:sz w:val="21"/>
          <w:szCs w:val="21"/>
          <w:lang w:val="en"/>
        </w:rPr>
        <w:t xml:space="preserve"> of </w:t>
      </w:r>
      <w:r>
        <w:rPr>
          <w:rFonts w:eastAsia="Times New Roman" w:cs="Arial"/>
          <w:sz w:val="21"/>
          <w:szCs w:val="21"/>
          <w:lang w:val="en"/>
        </w:rPr>
        <w:t>blue-green algae</w:t>
      </w:r>
    </w:p>
    <w:p w:rsidR="00F764FD" w:rsidRDefault="00F764FD" w:rsidP="00F764FD">
      <w:pPr>
        <w:pStyle w:val="ListParagraph"/>
        <w:numPr>
          <w:ilvl w:val="0"/>
          <w:numId w:val="19"/>
        </w:numPr>
        <w:spacing w:before="100" w:beforeAutospacing="1" w:after="86"/>
        <w:ind w:right="720"/>
        <w:rPr>
          <w:rFonts w:eastAsia="Times New Roman" w:cs="Arial"/>
          <w:sz w:val="21"/>
          <w:szCs w:val="21"/>
          <w:lang w:val="en"/>
        </w:rPr>
      </w:pPr>
      <w:r>
        <w:rPr>
          <w:rFonts w:eastAsia="Times New Roman" w:cs="Arial"/>
          <w:sz w:val="21"/>
          <w:szCs w:val="21"/>
          <w:lang w:val="en"/>
        </w:rPr>
        <w:t>products such as Phoslock™ are available for use as water conditioners. These products reduce the amount of nutrients present in the water and may reduce the amount of BGA present in a dam</w:t>
      </w:r>
    </w:p>
    <w:p w:rsidR="00F764FD" w:rsidRPr="00F764FD" w:rsidRDefault="00F764FD" w:rsidP="00F764FD">
      <w:pPr>
        <w:pStyle w:val="Heading4"/>
        <w:numPr>
          <w:ilvl w:val="0"/>
          <w:numId w:val="19"/>
        </w:numPr>
        <w:ind w:right="480"/>
        <w:rPr>
          <w:rFonts w:ascii="Arial" w:hAnsi="Arial" w:cs="Arial"/>
          <w:b w:val="0"/>
          <w:i w:val="0"/>
          <w:color w:val="auto"/>
          <w:sz w:val="21"/>
          <w:szCs w:val="21"/>
        </w:rPr>
      </w:pPr>
      <w:r w:rsidRPr="00F764FD">
        <w:rPr>
          <w:rFonts w:ascii="Arial" w:eastAsia="Times New Roman" w:hAnsi="Arial" w:cs="Arial"/>
          <w:b w:val="0"/>
          <w:i w:val="0"/>
          <w:color w:val="auto"/>
          <w:sz w:val="21"/>
          <w:szCs w:val="21"/>
          <w:lang w:val="en"/>
        </w:rPr>
        <w:t>chemical algicides are available to kill algae in farm water storages.</w:t>
      </w:r>
      <w:r w:rsidRPr="00F764FD">
        <w:rPr>
          <w:rFonts w:ascii="Arial" w:eastAsia="Times New Roman" w:hAnsi="Arial" w:cs="Arial"/>
          <w:b w:val="0"/>
          <w:bCs w:val="0"/>
          <w:i w:val="0"/>
          <w:color w:val="auto"/>
          <w:sz w:val="21"/>
          <w:szCs w:val="21"/>
          <w:lang w:val="en"/>
        </w:rPr>
        <w:t xml:space="preserve"> </w:t>
      </w:r>
      <w:r w:rsidR="00E362DD" w:rsidRPr="00F764FD">
        <w:rPr>
          <w:rFonts w:ascii="Arial" w:eastAsia="Times New Roman" w:hAnsi="Arial" w:cs="Arial"/>
          <w:b w:val="0"/>
          <w:bCs w:val="0"/>
          <w:i w:val="0"/>
          <w:color w:val="auto"/>
          <w:sz w:val="21"/>
          <w:szCs w:val="21"/>
          <w:lang w:val="en"/>
        </w:rPr>
        <w:t xml:space="preserve">Any agent that kills </w:t>
      </w:r>
      <w:r w:rsidR="00036B89">
        <w:rPr>
          <w:rFonts w:ascii="Arial" w:eastAsia="Times New Roman" w:hAnsi="Arial" w:cs="Arial"/>
          <w:b w:val="0"/>
          <w:bCs w:val="0"/>
          <w:i w:val="0"/>
          <w:color w:val="auto"/>
          <w:sz w:val="21"/>
          <w:szCs w:val="21"/>
          <w:lang w:val="en"/>
        </w:rPr>
        <w:t>BGA</w:t>
      </w:r>
      <w:r w:rsidR="00E362DD" w:rsidRPr="00F764FD">
        <w:rPr>
          <w:rFonts w:ascii="Arial" w:eastAsia="Times New Roman" w:hAnsi="Arial" w:cs="Arial"/>
          <w:b w:val="0"/>
          <w:bCs w:val="0"/>
          <w:i w:val="0"/>
          <w:color w:val="auto"/>
          <w:sz w:val="21"/>
          <w:szCs w:val="21"/>
          <w:lang w:val="en"/>
        </w:rPr>
        <w:t xml:space="preserve"> will result in an initial increase in toxin levels as the algae die and more toxin is released into the water supply.  </w:t>
      </w:r>
      <w:r w:rsidRPr="00F764FD">
        <w:rPr>
          <w:rFonts w:ascii="Arial" w:eastAsia="Times New Roman" w:hAnsi="Arial" w:cs="Arial"/>
          <w:b w:val="0"/>
          <w:bCs w:val="0"/>
          <w:i w:val="0"/>
          <w:color w:val="auto"/>
          <w:sz w:val="21"/>
          <w:szCs w:val="21"/>
          <w:lang w:val="en"/>
        </w:rPr>
        <w:t>Water shoul</w:t>
      </w:r>
      <w:r w:rsidR="00BA485D">
        <w:rPr>
          <w:rFonts w:ascii="Arial" w:eastAsia="Times New Roman" w:hAnsi="Arial" w:cs="Arial"/>
          <w:b w:val="0"/>
          <w:bCs w:val="0"/>
          <w:i w:val="0"/>
          <w:color w:val="auto"/>
          <w:sz w:val="21"/>
          <w:szCs w:val="21"/>
          <w:lang w:val="en"/>
        </w:rPr>
        <w:t>d not be used for a period (</w:t>
      </w:r>
      <w:r w:rsidRPr="00F764FD">
        <w:rPr>
          <w:rFonts w:ascii="Arial" w:eastAsia="Times New Roman" w:hAnsi="Arial" w:cs="Arial"/>
          <w:b w:val="0"/>
          <w:bCs w:val="0"/>
          <w:i w:val="0"/>
          <w:color w:val="auto"/>
          <w:sz w:val="21"/>
          <w:szCs w:val="21"/>
          <w:lang w:val="en"/>
        </w:rPr>
        <w:t xml:space="preserve">as per manufacturer guidelines) after the use of algicides to prevent the increased risk of </w:t>
      </w:r>
      <w:r w:rsidR="00036B89">
        <w:rPr>
          <w:rFonts w:ascii="Arial" w:eastAsia="Times New Roman" w:hAnsi="Arial" w:cs="Arial"/>
          <w:b w:val="0"/>
          <w:bCs w:val="0"/>
          <w:i w:val="0"/>
          <w:color w:val="auto"/>
          <w:sz w:val="21"/>
          <w:szCs w:val="21"/>
          <w:lang w:val="en"/>
        </w:rPr>
        <w:t>BGA</w:t>
      </w:r>
      <w:r w:rsidRPr="00F764FD">
        <w:rPr>
          <w:rFonts w:ascii="Arial" w:eastAsia="Times New Roman" w:hAnsi="Arial" w:cs="Arial"/>
          <w:b w:val="0"/>
          <w:bCs w:val="0"/>
          <w:i w:val="0"/>
          <w:color w:val="auto"/>
          <w:sz w:val="21"/>
          <w:szCs w:val="21"/>
          <w:lang w:val="en"/>
        </w:rPr>
        <w:t xml:space="preserve"> toxicity.</w:t>
      </w:r>
      <w:r w:rsidRPr="00F764FD">
        <w:rPr>
          <w:rFonts w:ascii="Arial" w:hAnsi="Arial" w:cs="Arial"/>
          <w:b w:val="0"/>
          <w:i w:val="0"/>
          <w:color w:val="auto"/>
        </w:rPr>
        <w:t xml:space="preserve"> </w:t>
      </w:r>
      <w:r w:rsidRPr="00F764FD">
        <w:rPr>
          <w:rFonts w:ascii="Arial" w:hAnsi="Arial" w:cs="Arial"/>
          <w:b w:val="0"/>
          <w:i w:val="0"/>
          <w:color w:val="auto"/>
          <w:sz w:val="21"/>
          <w:szCs w:val="21"/>
        </w:rPr>
        <w:t>For this reason, algicides do not necessarily provide a short-term solution to the lack of an alternate water supply.</w:t>
      </w:r>
      <w:r w:rsidR="00036B89">
        <w:rPr>
          <w:rFonts w:ascii="Arial" w:hAnsi="Arial" w:cs="Arial"/>
          <w:b w:val="0"/>
          <w:i w:val="0"/>
          <w:color w:val="auto"/>
          <w:sz w:val="21"/>
          <w:szCs w:val="21"/>
        </w:rPr>
        <w:t xml:space="preserve"> Care should also be taken with copper based algicides as livestock </w:t>
      </w:r>
      <w:r w:rsidR="00BA485D">
        <w:rPr>
          <w:rFonts w:ascii="Arial" w:hAnsi="Arial" w:cs="Arial"/>
          <w:b w:val="0"/>
          <w:i w:val="0"/>
          <w:color w:val="auto"/>
          <w:sz w:val="21"/>
          <w:szCs w:val="21"/>
        </w:rPr>
        <w:t>are</w:t>
      </w:r>
      <w:r w:rsidR="00036B89">
        <w:rPr>
          <w:rFonts w:ascii="Arial" w:hAnsi="Arial" w:cs="Arial"/>
          <w:b w:val="0"/>
          <w:i w:val="0"/>
          <w:color w:val="auto"/>
          <w:sz w:val="21"/>
          <w:szCs w:val="21"/>
        </w:rPr>
        <w:t xml:space="preserve"> very sensitive to copper toxicity.</w:t>
      </w:r>
    </w:p>
    <w:p w:rsidR="00F764FD" w:rsidRDefault="00F764FD" w:rsidP="005A777D">
      <w:pPr>
        <w:pStyle w:val="Agbodytext"/>
      </w:pPr>
    </w:p>
    <w:p w:rsidR="00F764FD" w:rsidRPr="00F764FD" w:rsidRDefault="00F764FD" w:rsidP="005A777D">
      <w:pPr>
        <w:pStyle w:val="Agbodytext"/>
        <w:rPr>
          <w:sz w:val="21"/>
          <w:szCs w:val="21"/>
        </w:rPr>
      </w:pPr>
      <w:r w:rsidRPr="00F764FD">
        <w:rPr>
          <w:sz w:val="21"/>
          <w:szCs w:val="21"/>
        </w:rPr>
        <w:t xml:space="preserve">Every livestock owner should consider their own circumstances and ensure they are prepared </w:t>
      </w:r>
      <w:r w:rsidR="009E1491">
        <w:rPr>
          <w:sz w:val="21"/>
          <w:szCs w:val="21"/>
        </w:rPr>
        <w:t xml:space="preserve">if they </w:t>
      </w:r>
      <w:r w:rsidRPr="00F764FD">
        <w:rPr>
          <w:sz w:val="21"/>
          <w:szCs w:val="21"/>
        </w:rPr>
        <w:t xml:space="preserve">lose </w:t>
      </w:r>
      <w:r w:rsidR="009E1491">
        <w:rPr>
          <w:sz w:val="21"/>
          <w:szCs w:val="21"/>
        </w:rPr>
        <w:t xml:space="preserve">access to </w:t>
      </w:r>
      <w:r w:rsidRPr="00F764FD">
        <w:rPr>
          <w:sz w:val="21"/>
          <w:szCs w:val="21"/>
        </w:rPr>
        <w:t>their primary water supply</w:t>
      </w:r>
      <w:r w:rsidR="00036B89">
        <w:rPr>
          <w:sz w:val="21"/>
          <w:szCs w:val="21"/>
        </w:rPr>
        <w:t>, potentially</w:t>
      </w:r>
      <w:r w:rsidRPr="00F764FD">
        <w:rPr>
          <w:sz w:val="21"/>
          <w:szCs w:val="21"/>
        </w:rPr>
        <w:t xml:space="preserve"> with no or little notice. It is imperative they incorporate </w:t>
      </w:r>
      <w:r w:rsidR="00036B89">
        <w:rPr>
          <w:sz w:val="21"/>
          <w:szCs w:val="21"/>
        </w:rPr>
        <w:t>this plan</w:t>
      </w:r>
      <w:r w:rsidR="009E1491">
        <w:rPr>
          <w:sz w:val="21"/>
          <w:szCs w:val="21"/>
        </w:rPr>
        <w:t xml:space="preserve"> </w:t>
      </w:r>
      <w:r w:rsidRPr="00F764FD">
        <w:rPr>
          <w:sz w:val="21"/>
          <w:szCs w:val="21"/>
        </w:rPr>
        <w:t>into their overall farm management plan.</w:t>
      </w:r>
    </w:p>
    <w:p w:rsidR="00E362DD" w:rsidRDefault="00E362DD" w:rsidP="005A777D">
      <w:pPr>
        <w:pStyle w:val="Agbodytext"/>
      </w:pPr>
    </w:p>
    <w:p w:rsidR="009B6C6B" w:rsidRDefault="009B6C6B" w:rsidP="005A777D">
      <w:pPr>
        <w:pStyle w:val="Agbodytext"/>
        <w:rPr>
          <w:rStyle w:val="Heading1Char"/>
        </w:rPr>
      </w:pPr>
      <w:r w:rsidRPr="005C6A3C">
        <w:rPr>
          <w:rStyle w:val="Heading1Char"/>
        </w:rPr>
        <w:t>Accessibility</w:t>
      </w:r>
    </w:p>
    <w:p w:rsidR="009B6C6B" w:rsidRPr="00E362DD" w:rsidRDefault="009B6C6B" w:rsidP="009B6C6B">
      <w:pPr>
        <w:pStyle w:val="Agbodytext"/>
        <w:rPr>
          <w:sz w:val="21"/>
          <w:szCs w:val="21"/>
        </w:rPr>
      </w:pPr>
      <w:r w:rsidRPr="00E362DD">
        <w:rPr>
          <w:sz w:val="21"/>
          <w:szCs w:val="21"/>
        </w:rPr>
        <w:t xml:space="preserve">If you would like to receive this publication in an accessible format, please telephone </w:t>
      </w:r>
      <w:r w:rsidR="00327366">
        <w:rPr>
          <w:sz w:val="21"/>
          <w:szCs w:val="21"/>
        </w:rPr>
        <w:t xml:space="preserve">the Customer Service Centre on </w:t>
      </w:r>
      <w:r w:rsidR="00BA485D">
        <w:rPr>
          <w:sz w:val="21"/>
          <w:szCs w:val="21"/>
        </w:rPr>
        <w:t>136 186</w:t>
      </w:r>
      <w:r w:rsidR="00327366">
        <w:rPr>
          <w:sz w:val="21"/>
          <w:szCs w:val="21"/>
        </w:rPr>
        <w:t>.</w:t>
      </w:r>
      <w:r w:rsidRPr="00E362DD">
        <w:rPr>
          <w:color w:val="FF0000"/>
          <w:sz w:val="21"/>
          <w:szCs w:val="21"/>
        </w:rPr>
        <w:t xml:space="preserve"> </w:t>
      </w:r>
    </w:p>
    <w:p w:rsidR="009B6C6B" w:rsidRPr="00E362DD" w:rsidRDefault="009B6C6B" w:rsidP="009B6C6B">
      <w:pPr>
        <w:pStyle w:val="Agbodytext"/>
        <w:rPr>
          <w:sz w:val="21"/>
          <w:szCs w:val="21"/>
        </w:rPr>
      </w:pPr>
      <w:r w:rsidRPr="00E362DD">
        <w:rPr>
          <w:sz w:val="21"/>
          <w:szCs w:val="21"/>
        </w:rPr>
        <w:t>This document is a</w:t>
      </w:r>
      <w:r w:rsidR="00664933">
        <w:rPr>
          <w:sz w:val="21"/>
          <w:szCs w:val="21"/>
        </w:rPr>
        <w:t>vailable online at agriculture</w:t>
      </w:r>
      <w:r w:rsidRPr="00E362DD">
        <w:rPr>
          <w:sz w:val="21"/>
          <w:szCs w:val="21"/>
        </w:rPr>
        <w:t>.vic.gov.au</w:t>
      </w:r>
    </w:p>
    <w:p w:rsidR="00AE3162" w:rsidRPr="005C6A3C" w:rsidRDefault="00AE3162" w:rsidP="005A777D">
      <w:pPr>
        <w:pStyle w:val="Agbodytext"/>
      </w:pPr>
    </w:p>
    <w:p w:rsidR="00AE3162" w:rsidRPr="00D55D23" w:rsidRDefault="00AE3162" w:rsidP="005A777D">
      <w:pPr>
        <w:pStyle w:val="Agbodytext"/>
      </w:pPr>
    </w:p>
    <w:sectPr w:rsidR="00AE3162" w:rsidRPr="00D55D23" w:rsidSect="00E9080D">
      <w:type w:val="continuous"/>
      <w:pgSz w:w="11900" w:h="16840"/>
      <w:pgMar w:top="1701" w:right="709" w:bottom="1701" w:left="709" w:header="709" w:footer="709"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3D6D" w:rsidRDefault="00823D6D" w:rsidP="008954B2">
      <w:r>
        <w:separator/>
      </w:r>
    </w:p>
  </w:endnote>
  <w:endnote w:type="continuationSeparator" w:id="0">
    <w:p w:rsidR="00823D6D" w:rsidRDefault="00823D6D" w:rsidP="00895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IC-SemiBold">
    <w:altName w:val="Times New Roman"/>
    <w:charset w:val="00"/>
    <w:family w:val="auto"/>
    <w:pitch w:val="variable"/>
    <w:sig w:usb0="00000001"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3D6D" w:rsidRDefault="00823D6D" w:rsidP="008954B2">
      <w:r>
        <w:separator/>
      </w:r>
    </w:p>
  </w:footnote>
  <w:footnote w:type="continuationSeparator" w:id="0">
    <w:p w:rsidR="00823D6D" w:rsidRDefault="00823D6D" w:rsidP="00895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B4E" w:rsidRDefault="00FF3B94" w:rsidP="00EF3DC4">
    <w:pPr>
      <w:pStyle w:val="Agtitle"/>
    </w:pPr>
    <w:r>
      <w:rPr>
        <w:noProof/>
        <w:lang w:val="en-AU" w:eastAsia="en-AU"/>
      </w:rPr>
      <w:drawing>
        <wp:anchor distT="0" distB="0" distL="114300" distR="114300" simplePos="0" relativeHeight="251656704" behindDoc="1" locked="0" layoutInCell="1" allowOverlap="1" wp14:anchorId="51EA0BDF" wp14:editId="6759AD20">
          <wp:simplePos x="0" y="0"/>
          <wp:positionH relativeFrom="page">
            <wp:align>center</wp:align>
          </wp:positionH>
          <wp:positionV relativeFrom="page">
            <wp:align>top</wp:align>
          </wp:positionV>
          <wp:extent cx="7560000" cy="10695600"/>
          <wp:effectExtent l="0" t="0" r="0" b="0"/>
          <wp:wrapNone/>
          <wp:docPr id="3" name="Picture 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actsheet1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5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114" w:rsidRDefault="00892D1E">
    <w:pPr>
      <w:pStyle w:val="Header"/>
    </w:pPr>
    <w:r>
      <w:rPr>
        <w:noProof/>
        <w:lang w:val="en-AU" w:eastAsia="en-AU"/>
      </w:rPr>
      <w:drawing>
        <wp:anchor distT="0" distB="0" distL="114300" distR="114300" simplePos="0" relativeHeight="251657728" behindDoc="1" locked="0" layoutInCell="1" allowOverlap="1" wp14:anchorId="24C6E57D" wp14:editId="2AF079DD">
          <wp:simplePos x="0" y="0"/>
          <wp:positionH relativeFrom="page">
            <wp:posOffset>4898</wp:posOffset>
          </wp:positionH>
          <wp:positionV relativeFrom="page">
            <wp:posOffset>-8708</wp:posOffset>
          </wp:positionV>
          <wp:extent cx="7581600" cy="10724400"/>
          <wp:effectExtent l="0" t="0" r="0" b="0"/>
          <wp:wrapNone/>
          <wp:docPr id="4" name="Picture 4" descr="green banner graphic with Agriculture Victor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tsheet2.png"/>
                  <pic:cNvPicPr/>
                </pic:nvPicPr>
                <pic:blipFill>
                  <a:blip r:embed="rId1">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34A78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A8A251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F1C3CD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A60E2F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D9A6556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090E22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A3A968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BE476E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ED6BA1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446D9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46A9A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6077B1"/>
    <w:multiLevelType w:val="hybridMultilevel"/>
    <w:tmpl w:val="193A30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0FF414E"/>
    <w:multiLevelType w:val="hybridMultilevel"/>
    <w:tmpl w:val="F8127F0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6D945EE"/>
    <w:multiLevelType w:val="multilevel"/>
    <w:tmpl w:val="0409001D"/>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4E528D5"/>
    <w:multiLevelType w:val="hybridMultilevel"/>
    <w:tmpl w:val="60C600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9B64B91"/>
    <w:multiLevelType w:val="hybridMultilevel"/>
    <w:tmpl w:val="71E4B1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1433E15"/>
    <w:multiLevelType w:val="multilevel"/>
    <w:tmpl w:val="45065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DB77491"/>
    <w:multiLevelType w:val="hybridMultilevel"/>
    <w:tmpl w:val="AD505DEA"/>
    <w:lvl w:ilvl="0" w:tplc="590EFCEE">
      <w:start w:val="1"/>
      <w:numFmt w:val="bullet"/>
      <w:pStyle w:val="Agbulletlis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2A0062"/>
    <w:multiLevelType w:val="hybridMultilevel"/>
    <w:tmpl w:val="C1100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3"/>
  </w:num>
  <w:num w:numId="13">
    <w:abstractNumId w:val="17"/>
  </w:num>
  <w:num w:numId="14">
    <w:abstractNumId w:val="16"/>
  </w:num>
  <w:num w:numId="15">
    <w:abstractNumId w:val="15"/>
  </w:num>
  <w:num w:numId="16">
    <w:abstractNumId w:val="12"/>
  </w:num>
  <w:num w:numId="17">
    <w:abstractNumId w:val="18"/>
  </w:num>
  <w:num w:numId="18">
    <w:abstractNumId w:val="14"/>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US" w:vendorID="64" w:dllVersion="6" w:nlCheck="1" w:checkStyle="0"/>
  <w:activeWritingStyle w:appName="MSWord" w:lang="en-AU" w:vendorID="64" w:dllVersion="6" w:nlCheck="1" w:checkStyle="1"/>
  <w:activeWritingStyle w:appName="MSWord" w:lang="en-US" w:vendorID="64" w:dllVersion="0" w:nlCheck="1" w:checkStyle="0"/>
  <w:activeWritingStyle w:appName="MSWord" w:lang="en-AU" w:vendorID="64" w:dllVersion="0" w:nlCheck="1" w:checkStyle="0"/>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9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136"/>
    <w:rsid w:val="00002759"/>
    <w:rsid w:val="00005EDA"/>
    <w:rsid w:val="000260BA"/>
    <w:rsid w:val="0002784E"/>
    <w:rsid w:val="000356FF"/>
    <w:rsid w:val="00036B89"/>
    <w:rsid w:val="00044589"/>
    <w:rsid w:val="00051E50"/>
    <w:rsid w:val="00055C19"/>
    <w:rsid w:val="00081FFD"/>
    <w:rsid w:val="000909F0"/>
    <w:rsid w:val="000C35AB"/>
    <w:rsid w:val="00133657"/>
    <w:rsid w:val="00147114"/>
    <w:rsid w:val="0015401C"/>
    <w:rsid w:val="001719ED"/>
    <w:rsid w:val="001731CD"/>
    <w:rsid w:val="0018080B"/>
    <w:rsid w:val="00180AE6"/>
    <w:rsid w:val="00255DF1"/>
    <w:rsid w:val="00257C7B"/>
    <w:rsid w:val="00262B0D"/>
    <w:rsid w:val="00275313"/>
    <w:rsid w:val="00283833"/>
    <w:rsid w:val="002B0C9A"/>
    <w:rsid w:val="00306B4E"/>
    <w:rsid w:val="0031415E"/>
    <w:rsid w:val="00320B43"/>
    <w:rsid w:val="00321F07"/>
    <w:rsid w:val="00327366"/>
    <w:rsid w:val="00340905"/>
    <w:rsid w:val="003825E7"/>
    <w:rsid w:val="00397B9B"/>
    <w:rsid w:val="003A0AFB"/>
    <w:rsid w:val="003A0C46"/>
    <w:rsid w:val="003A2768"/>
    <w:rsid w:val="003A63C5"/>
    <w:rsid w:val="003B79F8"/>
    <w:rsid w:val="003C2E56"/>
    <w:rsid w:val="003C4A74"/>
    <w:rsid w:val="003D032C"/>
    <w:rsid w:val="003E59F9"/>
    <w:rsid w:val="003F24C6"/>
    <w:rsid w:val="00403238"/>
    <w:rsid w:val="00416217"/>
    <w:rsid w:val="00445648"/>
    <w:rsid w:val="004546D5"/>
    <w:rsid w:val="00480133"/>
    <w:rsid w:val="004A2968"/>
    <w:rsid w:val="005715B8"/>
    <w:rsid w:val="00590E4A"/>
    <w:rsid w:val="005A0417"/>
    <w:rsid w:val="005A777D"/>
    <w:rsid w:val="005D35C4"/>
    <w:rsid w:val="005D37DA"/>
    <w:rsid w:val="005D47E6"/>
    <w:rsid w:val="005D6D23"/>
    <w:rsid w:val="005D735D"/>
    <w:rsid w:val="005E07E2"/>
    <w:rsid w:val="005F4802"/>
    <w:rsid w:val="006167A8"/>
    <w:rsid w:val="00624BBC"/>
    <w:rsid w:val="006351F3"/>
    <w:rsid w:val="006522BA"/>
    <w:rsid w:val="0066292A"/>
    <w:rsid w:val="00664933"/>
    <w:rsid w:val="00694091"/>
    <w:rsid w:val="006A6409"/>
    <w:rsid w:val="006D07C3"/>
    <w:rsid w:val="006E7FA1"/>
    <w:rsid w:val="007219EC"/>
    <w:rsid w:val="00731FF4"/>
    <w:rsid w:val="0073577E"/>
    <w:rsid w:val="0074385E"/>
    <w:rsid w:val="00763A68"/>
    <w:rsid w:val="00775C11"/>
    <w:rsid w:val="00792085"/>
    <w:rsid w:val="007B43D8"/>
    <w:rsid w:val="007D0EB5"/>
    <w:rsid w:val="007F610A"/>
    <w:rsid w:val="00804CDA"/>
    <w:rsid w:val="00823D6D"/>
    <w:rsid w:val="00833E2D"/>
    <w:rsid w:val="00852653"/>
    <w:rsid w:val="0086129D"/>
    <w:rsid w:val="00886DB5"/>
    <w:rsid w:val="00892D1E"/>
    <w:rsid w:val="008954B2"/>
    <w:rsid w:val="008B3D9D"/>
    <w:rsid w:val="008B7B9E"/>
    <w:rsid w:val="008C2817"/>
    <w:rsid w:val="008C3756"/>
    <w:rsid w:val="008C5966"/>
    <w:rsid w:val="008D04F6"/>
    <w:rsid w:val="00901EEA"/>
    <w:rsid w:val="00917061"/>
    <w:rsid w:val="0093666F"/>
    <w:rsid w:val="00940497"/>
    <w:rsid w:val="00961E2D"/>
    <w:rsid w:val="00980445"/>
    <w:rsid w:val="009A3F3E"/>
    <w:rsid w:val="009A6C18"/>
    <w:rsid w:val="009B6C6B"/>
    <w:rsid w:val="009D2F90"/>
    <w:rsid w:val="009D6336"/>
    <w:rsid w:val="009E093A"/>
    <w:rsid w:val="009E1491"/>
    <w:rsid w:val="009E661F"/>
    <w:rsid w:val="00A038AC"/>
    <w:rsid w:val="00A1528A"/>
    <w:rsid w:val="00A314C5"/>
    <w:rsid w:val="00A47C38"/>
    <w:rsid w:val="00A80AF4"/>
    <w:rsid w:val="00A93FB6"/>
    <w:rsid w:val="00AB7D71"/>
    <w:rsid w:val="00AE3162"/>
    <w:rsid w:val="00AE78E9"/>
    <w:rsid w:val="00B01D4C"/>
    <w:rsid w:val="00B179B3"/>
    <w:rsid w:val="00B347F1"/>
    <w:rsid w:val="00B43DB8"/>
    <w:rsid w:val="00B47936"/>
    <w:rsid w:val="00B54184"/>
    <w:rsid w:val="00B67908"/>
    <w:rsid w:val="00B7028A"/>
    <w:rsid w:val="00B96766"/>
    <w:rsid w:val="00BA485D"/>
    <w:rsid w:val="00BC7343"/>
    <w:rsid w:val="00BD58AD"/>
    <w:rsid w:val="00BD5E36"/>
    <w:rsid w:val="00C01CFE"/>
    <w:rsid w:val="00C124F1"/>
    <w:rsid w:val="00C14E78"/>
    <w:rsid w:val="00C21C0E"/>
    <w:rsid w:val="00C35141"/>
    <w:rsid w:val="00C433B1"/>
    <w:rsid w:val="00C44299"/>
    <w:rsid w:val="00C45B22"/>
    <w:rsid w:val="00C60798"/>
    <w:rsid w:val="00C71CD4"/>
    <w:rsid w:val="00C73391"/>
    <w:rsid w:val="00CA63CF"/>
    <w:rsid w:val="00CD0EC4"/>
    <w:rsid w:val="00CD566D"/>
    <w:rsid w:val="00CF0624"/>
    <w:rsid w:val="00D33A77"/>
    <w:rsid w:val="00D35FD8"/>
    <w:rsid w:val="00D55D23"/>
    <w:rsid w:val="00D75136"/>
    <w:rsid w:val="00D862CA"/>
    <w:rsid w:val="00DC3C90"/>
    <w:rsid w:val="00DD35EE"/>
    <w:rsid w:val="00DE4095"/>
    <w:rsid w:val="00DF01D4"/>
    <w:rsid w:val="00E21EE4"/>
    <w:rsid w:val="00E32B62"/>
    <w:rsid w:val="00E362DD"/>
    <w:rsid w:val="00E55B1A"/>
    <w:rsid w:val="00E565FB"/>
    <w:rsid w:val="00E713AB"/>
    <w:rsid w:val="00E776E5"/>
    <w:rsid w:val="00E833BA"/>
    <w:rsid w:val="00E9080D"/>
    <w:rsid w:val="00EC56EC"/>
    <w:rsid w:val="00EC7A31"/>
    <w:rsid w:val="00EF3DC4"/>
    <w:rsid w:val="00F069A0"/>
    <w:rsid w:val="00F15010"/>
    <w:rsid w:val="00F42C67"/>
    <w:rsid w:val="00F5477C"/>
    <w:rsid w:val="00F6072B"/>
    <w:rsid w:val="00F63690"/>
    <w:rsid w:val="00F71FEF"/>
    <w:rsid w:val="00F7492C"/>
    <w:rsid w:val="00F764FD"/>
    <w:rsid w:val="00FA5D66"/>
    <w:rsid w:val="00FD3AD5"/>
    <w:rsid w:val="00FF3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5CA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77D"/>
    <w:pPr>
      <w:spacing w:after="120" w:line="220" w:lineRule="exact"/>
    </w:pPr>
    <w:rPr>
      <w:rFonts w:ascii="Arial" w:hAnsi="Arial" w:cs="VIC-SemiBold"/>
      <w:color w:val="000000" w:themeColor="text1"/>
      <w:sz w:val="18"/>
      <w:szCs w:val="52"/>
    </w:rPr>
  </w:style>
  <w:style w:type="paragraph" w:styleId="Heading1">
    <w:name w:val="heading 1"/>
    <w:basedOn w:val="Normal"/>
    <w:next w:val="Normal"/>
    <w:link w:val="Heading1Char"/>
    <w:uiPriority w:val="9"/>
    <w:qFormat/>
    <w:rsid w:val="00DD35EE"/>
    <w:pPr>
      <w:spacing w:before="480" w:after="220"/>
      <w:outlineLvl w:val="0"/>
    </w:pPr>
    <w:rPr>
      <w:b/>
      <w:bCs/>
      <w:caps/>
      <w:color w:val="4C7329"/>
      <w:sz w:val="22"/>
    </w:rPr>
  </w:style>
  <w:style w:type="paragraph" w:styleId="Heading2">
    <w:name w:val="heading 2"/>
    <w:basedOn w:val="Normal"/>
    <w:next w:val="Normal"/>
    <w:link w:val="Heading2Char"/>
    <w:uiPriority w:val="9"/>
    <w:unhideWhenUsed/>
    <w:qFormat/>
    <w:rsid w:val="0002784E"/>
    <w:pPr>
      <w:spacing w:before="240" w:after="80"/>
      <w:outlineLvl w:val="1"/>
    </w:pPr>
    <w:rPr>
      <w:b/>
      <w:color w:val="7F7F7F" w:themeColor="text1" w:themeTint="80"/>
      <w:sz w:val="20"/>
      <w:szCs w:val="18"/>
    </w:rPr>
  </w:style>
  <w:style w:type="paragraph" w:styleId="Heading3">
    <w:name w:val="heading 3"/>
    <w:basedOn w:val="Normal"/>
    <w:next w:val="Normal"/>
    <w:link w:val="Heading3Char"/>
    <w:uiPriority w:val="9"/>
    <w:unhideWhenUsed/>
    <w:qFormat/>
    <w:rsid w:val="00044589"/>
    <w:pPr>
      <w:spacing w:before="240" w:after="60" w:line="240" w:lineRule="auto"/>
      <w:outlineLvl w:val="2"/>
    </w:pPr>
    <w:rPr>
      <w:b/>
    </w:rPr>
  </w:style>
  <w:style w:type="paragraph" w:styleId="Heading4">
    <w:name w:val="heading 4"/>
    <w:basedOn w:val="Normal"/>
    <w:next w:val="Normal"/>
    <w:link w:val="Heading4Char"/>
    <w:uiPriority w:val="9"/>
    <w:semiHidden/>
    <w:unhideWhenUsed/>
    <w:qFormat/>
    <w:rsid w:val="005F4802"/>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6">
    <w:name w:val="heading 6"/>
    <w:basedOn w:val="Normal"/>
    <w:next w:val="Normal"/>
    <w:link w:val="Heading6Char"/>
    <w:uiPriority w:val="9"/>
    <w:unhideWhenUsed/>
    <w:qFormat/>
    <w:rsid w:val="00397B9B"/>
    <w:pPr>
      <w:keepNext/>
      <w:keepLines/>
      <w:spacing w:before="4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397B9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title">
    <w:name w:val="Ag title"/>
    <w:basedOn w:val="Normal"/>
    <w:qFormat/>
    <w:rsid w:val="0002784E"/>
    <w:pPr>
      <w:spacing w:after="80" w:line="440" w:lineRule="exact"/>
    </w:pPr>
    <w:rPr>
      <w:color w:val="FFFFFF" w:themeColor="background1" w:themeTint="80"/>
      <w:sz w:val="44"/>
      <w:szCs w:val="18"/>
    </w:rPr>
  </w:style>
  <w:style w:type="character" w:customStyle="1" w:styleId="Heading1Char">
    <w:name w:val="Heading 1 Char"/>
    <w:basedOn w:val="DefaultParagraphFont"/>
    <w:link w:val="Heading1"/>
    <w:uiPriority w:val="9"/>
    <w:rsid w:val="00DD35EE"/>
    <w:rPr>
      <w:rFonts w:ascii="Arial" w:hAnsi="Arial" w:cs="VIC-SemiBold"/>
      <w:b/>
      <w:bCs/>
      <w:caps/>
      <w:color w:val="4C7329"/>
      <w:sz w:val="22"/>
      <w:szCs w:val="52"/>
    </w:rPr>
  </w:style>
  <w:style w:type="character" w:customStyle="1" w:styleId="Heading9Char">
    <w:name w:val="Heading 9 Char"/>
    <w:basedOn w:val="DefaultParagraphFont"/>
    <w:link w:val="Heading9"/>
    <w:uiPriority w:val="9"/>
    <w:rsid w:val="00397B9B"/>
    <w:rPr>
      <w:rFonts w:asciiTheme="majorHAnsi" w:eastAsiaTheme="majorEastAsia" w:hAnsiTheme="majorHAnsi" w:cstheme="majorBidi"/>
      <w:i/>
      <w:iCs/>
      <w:color w:val="272727" w:themeColor="text1" w:themeTint="D8"/>
      <w:sz w:val="21"/>
      <w:szCs w:val="21"/>
    </w:rPr>
  </w:style>
  <w:style w:type="character" w:customStyle="1" w:styleId="Heading6Char">
    <w:name w:val="Heading 6 Char"/>
    <w:basedOn w:val="DefaultParagraphFont"/>
    <w:link w:val="Heading6"/>
    <w:uiPriority w:val="9"/>
    <w:rsid w:val="00397B9B"/>
    <w:rPr>
      <w:rFonts w:asciiTheme="majorHAnsi" w:eastAsiaTheme="majorEastAsia" w:hAnsiTheme="majorHAnsi" w:cstheme="majorBidi"/>
      <w:color w:val="1F4D78" w:themeColor="accent1" w:themeShade="7F"/>
    </w:rPr>
  </w:style>
  <w:style w:type="table" w:styleId="MediumShading1">
    <w:name w:val="Medium Shading 1"/>
    <w:basedOn w:val="TableNormal"/>
    <w:uiPriority w:val="63"/>
    <w:semiHidden/>
    <w:unhideWhenUsed/>
    <w:rsid w:val="006A64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Agintrotext">
    <w:name w:val="Ag intro text"/>
    <w:qFormat/>
    <w:rsid w:val="00DD35EE"/>
    <w:pPr>
      <w:spacing w:after="480" w:line="340" w:lineRule="exact"/>
    </w:pPr>
    <w:rPr>
      <w:rFonts w:ascii="Arial" w:hAnsi="Arial" w:cs="VIC-SemiBold"/>
      <w:i/>
      <w:iCs/>
      <w:color w:val="4C7329"/>
      <w:sz w:val="28"/>
      <w:szCs w:val="52"/>
    </w:rPr>
  </w:style>
  <w:style w:type="character" w:customStyle="1" w:styleId="Heading2Char">
    <w:name w:val="Heading 2 Char"/>
    <w:basedOn w:val="DefaultParagraphFont"/>
    <w:link w:val="Heading2"/>
    <w:uiPriority w:val="9"/>
    <w:rsid w:val="008954B2"/>
    <w:rPr>
      <w:rFonts w:ascii="Arial" w:hAnsi="Arial" w:cs="VIC-SemiBold"/>
      <w:b/>
      <w:color w:val="7F7F7F" w:themeColor="text1" w:themeTint="80"/>
      <w:sz w:val="20"/>
      <w:szCs w:val="18"/>
    </w:rPr>
  </w:style>
  <w:style w:type="paragraph" w:styleId="Header">
    <w:name w:val="header"/>
    <w:basedOn w:val="Normal"/>
    <w:link w:val="HeaderChar"/>
    <w:uiPriority w:val="99"/>
    <w:unhideWhenUsed/>
    <w:rsid w:val="008C3756"/>
    <w:pPr>
      <w:tabs>
        <w:tab w:val="center" w:pos="4513"/>
        <w:tab w:val="right" w:pos="9026"/>
      </w:tabs>
    </w:pPr>
  </w:style>
  <w:style w:type="character" w:customStyle="1" w:styleId="HeaderChar">
    <w:name w:val="Header Char"/>
    <w:basedOn w:val="DefaultParagraphFont"/>
    <w:link w:val="Header"/>
    <w:uiPriority w:val="99"/>
    <w:rsid w:val="008C3756"/>
  </w:style>
  <w:style w:type="paragraph" w:styleId="Footer">
    <w:name w:val="footer"/>
    <w:basedOn w:val="Normal"/>
    <w:link w:val="FooterChar"/>
    <w:uiPriority w:val="99"/>
    <w:unhideWhenUsed/>
    <w:rsid w:val="008C3756"/>
    <w:pPr>
      <w:tabs>
        <w:tab w:val="center" w:pos="4513"/>
        <w:tab w:val="right" w:pos="9026"/>
      </w:tabs>
    </w:pPr>
  </w:style>
  <w:style w:type="character" w:customStyle="1" w:styleId="FooterChar">
    <w:name w:val="Footer Char"/>
    <w:basedOn w:val="DefaultParagraphFont"/>
    <w:link w:val="Footer"/>
    <w:uiPriority w:val="99"/>
    <w:rsid w:val="008C3756"/>
  </w:style>
  <w:style w:type="character" w:customStyle="1" w:styleId="Heading3Char">
    <w:name w:val="Heading 3 Char"/>
    <w:basedOn w:val="DefaultParagraphFont"/>
    <w:link w:val="Heading3"/>
    <w:uiPriority w:val="9"/>
    <w:rsid w:val="00044589"/>
    <w:rPr>
      <w:rFonts w:ascii="Arial" w:hAnsi="Arial" w:cs="VIC-SemiBold"/>
      <w:b/>
      <w:color w:val="000000" w:themeColor="text1"/>
      <w:sz w:val="18"/>
      <w:szCs w:val="52"/>
    </w:rPr>
  </w:style>
  <w:style w:type="table" w:styleId="TableGrid">
    <w:name w:val="Table Grid"/>
    <w:basedOn w:val="TableNormal"/>
    <w:uiPriority w:val="39"/>
    <w:rsid w:val="00AE3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bodytext">
    <w:name w:val="Ag body text"/>
    <w:basedOn w:val="Normal"/>
    <w:qFormat/>
    <w:rsid w:val="005A777D"/>
  </w:style>
  <w:style w:type="paragraph" w:customStyle="1" w:styleId="Agbulletlist">
    <w:name w:val="Ag bullet list"/>
    <w:basedOn w:val="Normal"/>
    <w:qFormat/>
    <w:rsid w:val="005A777D"/>
    <w:pPr>
      <w:numPr>
        <w:numId w:val="13"/>
      </w:numPr>
    </w:pPr>
  </w:style>
  <w:style w:type="character" w:styleId="HTMLSample">
    <w:name w:val="HTML Sample"/>
    <w:basedOn w:val="DefaultParagraphFont"/>
    <w:uiPriority w:val="99"/>
    <w:semiHidden/>
    <w:unhideWhenUsed/>
    <w:rsid w:val="0015401C"/>
    <w:rPr>
      <w:rFonts w:ascii="Courier New" w:eastAsiaTheme="minorEastAsia" w:hAnsi="Courier New" w:cs="Courier New" w:hint="default"/>
      <w:sz w:val="24"/>
      <w:szCs w:val="24"/>
    </w:rPr>
  </w:style>
  <w:style w:type="paragraph" w:styleId="NormalWeb">
    <w:name w:val="Normal (Web)"/>
    <w:basedOn w:val="Normal"/>
    <w:uiPriority w:val="99"/>
    <w:unhideWhenUsed/>
    <w:rsid w:val="0015401C"/>
    <w:pPr>
      <w:spacing w:after="309" w:line="240" w:lineRule="auto"/>
    </w:pPr>
    <w:rPr>
      <w:rFonts w:ascii="Times New Roman" w:eastAsiaTheme="minorEastAsia" w:hAnsi="Times New Roman" w:cs="Times New Roman"/>
      <w:color w:val="auto"/>
      <w:sz w:val="24"/>
      <w:szCs w:val="24"/>
      <w:lang w:val="en-AU" w:eastAsia="en-AU"/>
    </w:rPr>
  </w:style>
  <w:style w:type="character" w:styleId="Strong">
    <w:name w:val="Strong"/>
    <w:basedOn w:val="DefaultParagraphFont"/>
    <w:uiPriority w:val="22"/>
    <w:qFormat/>
    <w:rsid w:val="0015401C"/>
    <w:rPr>
      <w:b/>
      <w:bCs/>
    </w:rPr>
  </w:style>
  <w:style w:type="character" w:customStyle="1" w:styleId="Heading4Char">
    <w:name w:val="Heading 4 Char"/>
    <w:basedOn w:val="DefaultParagraphFont"/>
    <w:link w:val="Heading4"/>
    <w:uiPriority w:val="9"/>
    <w:semiHidden/>
    <w:rsid w:val="005F4802"/>
    <w:rPr>
      <w:rFonts w:asciiTheme="majorHAnsi" w:eastAsiaTheme="majorEastAsia" w:hAnsiTheme="majorHAnsi" w:cstheme="majorBidi"/>
      <w:b/>
      <w:bCs/>
      <w:i/>
      <w:iCs/>
      <w:color w:val="5B9BD5" w:themeColor="accent1"/>
      <w:sz w:val="18"/>
      <w:szCs w:val="52"/>
    </w:rPr>
  </w:style>
  <w:style w:type="paragraph" w:styleId="ListParagraph">
    <w:name w:val="List Paragraph"/>
    <w:basedOn w:val="Normal"/>
    <w:uiPriority w:val="34"/>
    <w:qFormat/>
    <w:rsid w:val="005F4802"/>
    <w:pPr>
      <w:spacing w:after="0" w:line="240" w:lineRule="auto"/>
      <w:ind w:left="720"/>
      <w:contextualSpacing/>
    </w:pPr>
    <w:rPr>
      <w:rFonts w:eastAsiaTheme="minorEastAsia" w:cs="Times New Roman"/>
      <w:color w:val="auto"/>
      <w:sz w:val="22"/>
      <w:szCs w:val="24"/>
      <w:lang w:val="en-AU" w:eastAsia="en-AU"/>
    </w:rPr>
  </w:style>
  <w:style w:type="character" w:styleId="CommentReference">
    <w:name w:val="annotation reference"/>
    <w:basedOn w:val="DefaultParagraphFont"/>
    <w:uiPriority w:val="99"/>
    <w:semiHidden/>
    <w:unhideWhenUsed/>
    <w:rsid w:val="005F4802"/>
    <w:rPr>
      <w:sz w:val="16"/>
      <w:szCs w:val="16"/>
    </w:rPr>
  </w:style>
  <w:style w:type="paragraph" w:styleId="CommentText">
    <w:name w:val="annotation text"/>
    <w:basedOn w:val="Normal"/>
    <w:link w:val="CommentTextChar"/>
    <w:uiPriority w:val="99"/>
    <w:semiHidden/>
    <w:unhideWhenUsed/>
    <w:rsid w:val="005F4802"/>
    <w:pPr>
      <w:spacing w:after="0" w:line="240" w:lineRule="auto"/>
    </w:pPr>
    <w:rPr>
      <w:rFonts w:eastAsiaTheme="minorEastAsia" w:cs="Times New Roman"/>
      <w:color w:val="auto"/>
      <w:sz w:val="20"/>
      <w:szCs w:val="20"/>
      <w:lang w:val="en-AU" w:eastAsia="en-AU"/>
    </w:rPr>
  </w:style>
  <w:style w:type="character" w:customStyle="1" w:styleId="CommentTextChar">
    <w:name w:val="Comment Text Char"/>
    <w:basedOn w:val="DefaultParagraphFont"/>
    <w:link w:val="CommentText"/>
    <w:uiPriority w:val="99"/>
    <w:semiHidden/>
    <w:rsid w:val="005F4802"/>
    <w:rPr>
      <w:rFonts w:ascii="Arial" w:eastAsiaTheme="minorEastAsia" w:hAnsi="Arial" w:cs="Times New Roman"/>
      <w:sz w:val="20"/>
      <w:szCs w:val="20"/>
      <w:lang w:val="en-AU" w:eastAsia="en-AU"/>
    </w:rPr>
  </w:style>
  <w:style w:type="paragraph" w:styleId="BalloonText">
    <w:name w:val="Balloon Text"/>
    <w:basedOn w:val="Normal"/>
    <w:link w:val="BalloonTextChar"/>
    <w:uiPriority w:val="99"/>
    <w:semiHidden/>
    <w:unhideWhenUsed/>
    <w:rsid w:val="005F48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802"/>
    <w:rPr>
      <w:rFonts w:ascii="Tahoma" w:hAnsi="Tahoma" w:cs="Tahoma"/>
      <w:color w:val="000000" w:themeColor="text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27\AppData\Local\Temp\notes81ADC1\BGA%20-%20options%20for%20livestock%20drinking%20wa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B6E7255-6180-44F8-A6C0-4D8DB657B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BGA - options for livestock drinking water.dotx</Template>
  <TotalTime>0</TotalTime>
  <Pages>2</Pages>
  <Words>856</Words>
  <Characters>4884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2018-01-17T04:39:00Z</dcterms:created>
  <dcterms:modified xsi:type="dcterms:W3CDTF">2018-01-17T04:39:00Z</dcterms:modified>
</cp:coreProperties>
</file>