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C2435" w14:textId="77777777" w:rsidR="00BD5E36" w:rsidRDefault="00B7028A" w:rsidP="00DD35EE">
      <w:pPr>
        <w:pStyle w:val="Agintrotext"/>
        <w:sectPr w:rsidR="00BD5E36" w:rsidSect="001D09F1">
          <w:headerReference w:type="default" r:id="rId8"/>
          <w:headerReference w:type="first" r:id="rId9"/>
          <w:type w:val="continuous"/>
          <w:pgSz w:w="11900" w:h="16840"/>
          <w:pgMar w:top="2526" w:right="709" w:bottom="1701" w:left="709" w:header="709" w:footer="709" w:gutter="0"/>
          <w:cols w:num="2" w:space="708"/>
          <w:titlePg/>
          <w:docGrid w:linePitch="360"/>
        </w:sectPr>
      </w:pPr>
      <w:r>
        <w:rPr>
          <w:noProof/>
        </w:rPr>
        <mc:AlternateContent>
          <mc:Choice Requires="wps">
            <w:drawing>
              <wp:anchor distT="0" distB="0" distL="114300" distR="114300" simplePos="0" relativeHeight="251659264" behindDoc="1" locked="0" layoutInCell="1" allowOverlap="1" wp14:anchorId="07CDF013" wp14:editId="04E8052D">
                <wp:simplePos x="0" y="0"/>
                <wp:positionH relativeFrom="column">
                  <wp:posOffset>-5080</wp:posOffset>
                </wp:positionH>
                <wp:positionV relativeFrom="paragraph">
                  <wp:posOffset>-1494155</wp:posOffset>
                </wp:positionV>
                <wp:extent cx="3305175" cy="1240155"/>
                <wp:effectExtent l="0" t="0" r="22225" b="4445"/>
                <wp:wrapNone/>
                <wp:docPr id="80" name="Text Box 80"/>
                <wp:cNvGraphicFramePr/>
                <a:graphic xmlns:a="http://schemas.openxmlformats.org/drawingml/2006/main">
                  <a:graphicData uri="http://schemas.microsoft.com/office/word/2010/wordprocessingShape">
                    <wps:wsp>
                      <wps:cNvSpPr txBox="1"/>
                      <wps:spPr>
                        <a:xfrm>
                          <a:off x="0" y="0"/>
                          <a:ext cx="3305175" cy="12401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B68BA2" w14:textId="1E0088C9" w:rsidR="00B7028A" w:rsidRPr="007219EC" w:rsidRDefault="00C34463" w:rsidP="00B7028A">
                            <w:pPr>
                              <w:pStyle w:val="Agtitle"/>
                              <w:rPr>
                                <w:lang w:val="en-AU"/>
                              </w:rPr>
                            </w:pPr>
                            <w:r w:rsidRPr="00C34463">
                              <w:t>Water supply in stock containment areas</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DF013" id="_x0000_t202" coordsize="21600,21600" o:spt="202" path="m,l,21600r21600,l21600,xe">
                <v:stroke joinstyle="miter"/>
                <v:path gradientshapeok="t" o:connecttype="rect"/>
              </v:shapetype>
              <v:shape id="Text Box 80" o:spid="_x0000_s1026" type="#_x0000_t202" style="position:absolute;margin-left:-.4pt;margin-top:-117.65pt;width:260.25pt;height:97.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" filled="f" stroked="f">
                <v:textbox inset="0,0,0,0">
                  <w:txbxContent>
                    <w:p w14:paraId="2FB68BA2" w14:textId="1E0088C9" w:rsidR="00B7028A" w:rsidRPr="007219EC" w:rsidRDefault="00C34463" w:rsidP="00B7028A">
                      <w:pPr>
                        <w:pStyle w:val="Agtitle"/>
                        <w:rPr>
                          <w:lang w:val="en-AU"/>
                        </w:rPr>
                      </w:pPr>
                      <w:r w:rsidRPr="00C34463">
                        <w:t>Water supply in stock containment areas</w:t>
                      </w:r>
                    </w:p>
                  </w:txbxContent>
                </v:textbox>
              </v:shape>
            </w:pict>
          </mc:Fallback>
        </mc:AlternateContent>
      </w:r>
    </w:p>
    <w:p w14:paraId="7286260F" w14:textId="7F53990C" w:rsidR="00C34463" w:rsidRDefault="00C34463" w:rsidP="00C34463">
      <w:pPr>
        <w:pStyle w:val="Agintrotext"/>
      </w:pPr>
      <w:r>
        <w:t>A stock containment area consists of one or more small yards where stock are confined during periods of drought, natural disasters and other emergencies.</w:t>
      </w:r>
    </w:p>
    <w:p w14:paraId="7E582048" w14:textId="77777777" w:rsidR="00C34463" w:rsidRDefault="00C34463" w:rsidP="00C34463">
      <w:pPr>
        <w:pStyle w:val="Agbodytext"/>
      </w:pPr>
      <w:r>
        <w:t>The yards are permanent, stock proof and equipped with appropriate feeding and watering facilities, as well as shade. They are normally located on a well-drained site close to stock handling facilities but away from boundary fences, watercourses and drainage lines.</w:t>
      </w:r>
    </w:p>
    <w:p w14:paraId="1D723E69" w14:textId="77777777" w:rsidR="00C34463" w:rsidRDefault="00C34463" w:rsidP="00C34463">
      <w:pPr>
        <w:pStyle w:val="Agbodytext"/>
      </w:pPr>
      <w:r>
        <w:t>When animals are confined in containment areas they are required to:</w:t>
      </w:r>
    </w:p>
    <w:p w14:paraId="6740315A" w14:textId="77777777" w:rsidR="00C34463" w:rsidRDefault="00C34463" w:rsidP="00C34463">
      <w:pPr>
        <w:pStyle w:val="Agbulletlist"/>
      </w:pPr>
      <w:r>
        <w:t>live in close proximity to each other</w:t>
      </w:r>
    </w:p>
    <w:p w14:paraId="24B235E5" w14:textId="77777777" w:rsidR="00C34463" w:rsidRDefault="00C34463" w:rsidP="00C34463">
      <w:pPr>
        <w:pStyle w:val="Agbulletlist"/>
      </w:pPr>
      <w:r>
        <w:t>can be exposed to increased levels of dust and mud</w:t>
      </w:r>
    </w:p>
    <w:p w14:paraId="63CA50C1" w14:textId="77777777" w:rsidR="00C34463" w:rsidRDefault="00C34463" w:rsidP="00C34463">
      <w:pPr>
        <w:pStyle w:val="Agbulletlist"/>
      </w:pPr>
      <w:r>
        <w:t>are often on a more targeted diet than they might receive in the paddock.</w:t>
      </w:r>
    </w:p>
    <w:p w14:paraId="6388EFA7" w14:textId="77777777" w:rsidR="00C34463" w:rsidRDefault="00C34463" w:rsidP="00C34463">
      <w:pPr>
        <w:pStyle w:val="Agbodytext"/>
      </w:pPr>
      <w:r>
        <w:t xml:space="preserve">A supply of good quality water is vital to maintain stock condition, </w:t>
      </w:r>
      <w:proofErr w:type="spellStart"/>
      <w:r>
        <w:t>minimise</w:t>
      </w:r>
      <w:proofErr w:type="spellEnd"/>
      <w:r>
        <w:t xml:space="preserve"> the risk of disease and reduce stress.</w:t>
      </w:r>
    </w:p>
    <w:p w14:paraId="279D8DF4" w14:textId="77777777" w:rsidR="00C34463" w:rsidRDefault="00C34463" w:rsidP="00C34463">
      <w:pPr>
        <w:pStyle w:val="Agbodytext"/>
      </w:pPr>
      <w:r>
        <w:t>Animals placed in a containment area are totally reliant on the manager for all aspects of their welfare. Livestock managers have a legal and moral responsibility to look after their animals at all times. These responsibilities are clearly defined in:</w:t>
      </w:r>
    </w:p>
    <w:p w14:paraId="6B20B677" w14:textId="01DEE716" w:rsidR="00C34463" w:rsidRDefault="00C34463" w:rsidP="00C34463">
      <w:pPr>
        <w:pStyle w:val="Agbulletlist"/>
      </w:pPr>
      <w:r>
        <w:t>Code of Accepted Farming Practice for the Welfare of Sheep (Victoria) (Revision Number</w:t>
      </w:r>
      <w:r>
        <w:t xml:space="preserve"> 3</w:t>
      </w:r>
      <w:r>
        <w:t>)</w:t>
      </w:r>
      <w:r>
        <w:t xml:space="preserve">  </w:t>
      </w:r>
      <w:hyperlink r:id="rId10" w:history="1">
        <w:r w:rsidRPr="000B721B">
          <w:rPr>
            <w:rStyle w:val="Hyperlink"/>
          </w:rPr>
          <w:t>https://agriculture.vic.gov.au/livestock-and-animals/animal-welfare-victoria/pocta-act-1986/victorian-codes-of-practice-for-animal-welfare/code-of-accepted-farming-practice-for-the-welfare-of-sheep-victoria-revision-number-3</w:t>
        </w:r>
      </w:hyperlink>
      <w:r>
        <w:t xml:space="preserve"> </w:t>
      </w:r>
    </w:p>
    <w:p w14:paraId="6104DCCE" w14:textId="06F1111E" w:rsidR="00C34463" w:rsidRDefault="00C34463" w:rsidP="00C34463">
      <w:pPr>
        <w:pStyle w:val="Agbulletlist"/>
      </w:pPr>
      <w:r>
        <w:t>Code of Accepted Farming Practice for the Welfare of Cattle (Victoria) (Revision Number 1)</w:t>
      </w:r>
      <w:r>
        <w:t xml:space="preserve"> </w:t>
      </w:r>
      <w:hyperlink r:id="rId11" w:history="1">
        <w:r w:rsidRPr="000B721B">
          <w:rPr>
            <w:rStyle w:val="Hyperlink"/>
          </w:rPr>
          <w:t>https://agriculture.vic.gov.au/livestock-and-animals/animal-welfare-victoria/pocta-act-1986/victorian-codes-of-practice-for-animal-welfare/code-of-accepted-farming-practice-for-the-welfare-of-cattle</w:t>
        </w:r>
      </w:hyperlink>
      <w:r>
        <w:t xml:space="preserve"> </w:t>
      </w:r>
    </w:p>
    <w:p w14:paraId="1297A221" w14:textId="77777777" w:rsidR="00C34463" w:rsidRDefault="00C34463" w:rsidP="00C34463">
      <w:pPr>
        <w:pStyle w:val="Heading1"/>
      </w:pPr>
      <w:r>
        <w:t>Water quality</w:t>
      </w:r>
    </w:p>
    <w:p w14:paraId="5E3396EA" w14:textId="77777777" w:rsidR="00C34463" w:rsidRDefault="00C34463" w:rsidP="00C34463">
      <w:pPr>
        <w:pStyle w:val="Agbodytext"/>
      </w:pPr>
      <w:r>
        <w:t>Water supplied to a stock containment area should be of the highest possible quality available. It should be fresh, cool and clean.</w:t>
      </w:r>
    </w:p>
    <w:p w14:paraId="123EF417" w14:textId="77777777" w:rsidR="00C34463" w:rsidRDefault="00C34463" w:rsidP="00C34463">
      <w:pPr>
        <w:pStyle w:val="Agbodytext"/>
      </w:pPr>
      <w:r>
        <w:t>The water should be low in salt, organic matter, suspended clay and free of other toxic substances such as blue-green algae, heavy metals and chemical residues.</w:t>
      </w:r>
    </w:p>
    <w:p w14:paraId="2DB55217" w14:textId="77777777" w:rsidR="00C34463" w:rsidRDefault="00C34463" w:rsidP="00C34463">
      <w:pPr>
        <w:pStyle w:val="Agbodytext"/>
      </w:pPr>
      <w:r>
        <w:t>If there is any question regarding its suitability a sample should be collected from the water source and sent to an appropriate water testing laboratory for analysis.</w:t>
      </w:r>
    </w:p>
    <w:p w14:paraId="4635BB9E" w14:textId="77777777" w:rsidR="00C34463" w:rsidRDefault="00C34463" w:rsidP="00C34463">
      <w:pPr>
        <w:pStyle w:val="Agbodytext"/>
      </w:pPr>
      <w:r>
        <w:t>Evidence from recent droughts indicates stock avoid or reduce consumption of water which is:</w:t>
      </w:r>
    </w:p>
    <w:p w14:paraId="33BAD2CC" w14:textId="77777777" w:rsidR="00C34463" w:rsidRDefault="00C34463" w:rsidP="00C34463">
      <w:pPr>
        <w:pStyle w:val="Agbulletlist"/>
      </w:pPr>
      <w:r>
        <w:t>warm</w:t>
      </w:r>
    </w:p>
    <w:p w14:paraId="2135BAE5" w14:textId="77777777" w:rsidR="00C34463" w:rsidRDefault="00C34463" w:rsidP="00C34463">
      <w:pPr>
        <w:pStyle w:val="Agbulletlist"/>
      </w:pPr>
      <w:r>
        <w:t>stagnant</w:t>
      </w:r>
    </w:p>
    <w:p w14:paraId="254FB46A" w14:textId="77777777" w:rsidR="00C34463" w:rsidRDefault="00C34463" w:rsidP="00C34463">
      <w:pPr>
        <w:pStyle w:val="Agbulletlist"/>
      </w:pPr>
      <w:r>
        <w:t>polluted with food residues</w:t>
      </w:r>
    </w:p>
    <w:p w14:paraId="7DC91C72" w14:textId="77777777" w:rsidR="00C34463" w:rsidRDefault="00C34463" w:rsidP="00C34463">
      <w:pPr>
        <w:pStyle w:val="Agbulletlist"/>
      </w:pPr>
      <w:r>
        <w:t>has dust or straw floating on the surface.</w:t>
      </w:r>
    </w:p>
    <w:p w14:paraId="27554EBB" w14:textId="77777777" w:rsidR="00C34463" w:rsidRDefault="00C34463" w:rsidP="00C34463">
      <w:pPr>
        <w:pStyle w:val="Agbodytext"/>
      </w:pPr>
      <w:r>
        <w:t>Surface material should be skimmed off the water daily. Troughs should be completely emptied, cleaned and re-filled every 1 to 2 days.</w:t>
      </w:r>
    </w:p>
    <w:p w14:paraId="6BA14CAB" w14:textId="77777777" w:rsidR="00C34463" w:rsidRDefault="00C34463" w:rsidP="00C34463">
      <w:pPr>
        <w:pStyle w:val="Heading1"/>
      </w:pPr>
      <w:r>
        <w:t>Salinity</w:t>
      </w:r>
    </w:p>
    <w:p w14:paraId="260727A5" w14:textId="77777777" w:rsidR="00C34463" w:rsidRDefault="00C34463" w:rsidP="00C34463">
      <w:pPr>
        <w:pStyle w:val="Agbodytext"/>
      </w:pPr>
      <w:r>
        <w:t>Salinity refers to the concentration of soluble salts in soil or water. All natural waters contain some dissolved salts such as sodium, magnesium and calcium. Sodium chloride (table salt) is the most common of all the salts; it is the main constituent of seawater. The level of salt in water affects its suitability for irrigation, stock and domestic use. Salts based on calcium and magnesium also affect the hardness and alkalinity of water.</w:t>
      </w:r>
    </w:p>
    <w:p w14:paraId="4611E717" w14:textId="77777777" w:rsidR="00C34463" w:rsidRDefault="00C34463" w:rsidP="00C34463">
      <w:pPr>
        <w:pStyle w:val="Heading2"/>
      </w:pPr>
      <w:r>
        <w:t>Salinity measurement</w:t>
      </w:r>
    </w:p>
    <w:p w14:paraId="37DB334D" w14:textId="77777777" w:rsidR="00C34463" w:rsidRDefault="00C34463" w:rsidP="00C34463">
      <w:pPr>
        <w:pStyle w:val="Agbodytext"/>
      </w:pPr>
      <w:r>
        <w:t>There are two main methods of determining the salt content of water; Total Dissolved Solids and Electrical Conductivity.</w:t>
      </w:r>
    </w:p>
    <w:p w14:paraId="4AB34AD1" w14:textId="77777777" w:rsidR="00C34463" w:rsidRDefault="00C34463" w:rsidP="00C34463">
      <w:pPr>
        <w:pStyle w:val="Agbodytext"/>
      </w:pPr>
      <w:r>
        <w:t xml:space="preserve">Total Dissolved Solids (TDS) is measured by evaporating a known volume of water to dryness, then weighing the solid residue remaining. Electrical conductivity (EC) is measured by passing an electric current between two metal plates (electrodes) in the water sample and measuring how readily current flows (i.e. conducted) between the plates. EC is commonly expressed as </w:t>
      </w:r>
      <w:proofErr w:type="spellStart"/>
      <w:r>
        <w:t>microSiemens</w:t>
      </w:r>
      <w:proofErr w:type="spellEnd"/>
      <w:r>
        <w:t xml:space="preserve"> per </w:t>
      </w:r>
      <w:proofErr w:type="spellStart"/>
      <w:r>
        <w:t>centimetre</w:t>
      </w:r>
      <w:proofErr w:type="spellEnd"/>
      <w:r>
        <w:t xml:space="preserve"> (</w:t>
      </w:r>
      <w:proofErr w:type="spellStart"/>
      <w:r>
        <w:t>μS</w:t>
      </w:r>
      <w:proofErr w:type="spellEnd"/>
      <w:r>
        <w:t xml:space="preserve">/cm); TDS as milligrams per </w:t>
      </w:r>
      <w:proofErr w:type="spellStart"/>
      <w:r>
        <w:t>litre</w:t>
      </w:r>
      <w:proofErr w:type="spellEnd"/>
      <w:r>
        <w:t xml:space="preserve"> (mg/L). Parts per million (ppm) is equivalent to mg/L but it is not a </w:t>
      </w:r>
      <w:proofErr w:type="spellStart"/>
      <w:r>
        <w:t>favoured</w:t>
      </w:r>
      <w:proofErr w:type="spellEnd"/>
      <w:r>
        <w:t xml:space="preserve"> unit.</w:t>
      </w:r>
    </w:p>
    <w:p w14:paraId="6967513A" w14:textId="12317F47" w:rsidR="00AE3162" w:rsidRDefault="00C34463" w:rsidP="00C34463">
      <w:pPr>
        <w:pStyle w:val="Agbodytext"/>
      </w:pPr>
      <w:r>
        <w:t xml:space="preserve">The maximum recommended salt levels in livestock drinking water are shown in Table 1. Growth rates, animal condition and possible health will start to decline once salt levels exceed these limits. Livestock need to be introduced slowly to water at these upper levels of salt to </w:t>
      </w:r>
      <w:proofErr w:type="spellStart"/>
      <w:r>
        <w:t>minimise</w:t>
      </w:r>
      <w:proofErr w:type="spellEnd"/>
      <w:r>
        <w:t xml:space="preserve"> the impacts listed above.</w:t>
      </w:r>
    </w:p>
    <w:p w14:paraId="0FEC8F07" w14:textId="477BF40E" w:rsidR="00C34463" w:rsidRDefault="00C34463" w:rsidP="00270CD2">
      <w:pPr>
        <w:pStyle w:val="Heading3"/>
      </w:pPr>
      <w:r w:rsidRPr="00C34463">
        <w:lastRenderedPageBreak/>
        <w:t>Table 1: Maximum recommended salt levels in livestock drinking water</w:t>
      </w:r>
    </w:p>
    <w:tbl>
      <w:tblPr>
        <w:tblStyle w:val="TableGrid"/>
        <w:tblW w:w="4815" w:type="dxa"/>
        <w:tblLook w:val="04A0" w:firstRow="1" w:lastRow="0" w:firstColumn="1" w:lastColumn="0" w:noHBand="0" w:noVBand="1"/>
      </w:tblPr>
      <w:tblGrid>
        <w:gridCol w:w="1838"/>
        <w:gridCol w:w="1701"/>
        <w:gridCol w:w="1276"/>
      </w:tblGrid>
      <w:tr w:rsidR="00C34463" w:rsidRPr="00C34463" w14:paraId="4333F7DD" w14:textId="77777777" w:rsidTr="00C34463">
        <w:tc>
          <w:tcPr>
            <w:tcW w:w="1838" w:type="dxa"/>
            <w:shd w:val="clear" w:color="auto" w:fill="D9D9D9" w:themeFill="background1" w:themeFillShade="D9"/>
            <w:hideMark/>
          </w:tcPr>
          <w:p w14:paraId="53BB5897" w14:textId="77777777" w:rsidR="00C34463" w:rsidRPr="00C34463" w:rsidRDefault="00C34463" w:rsidP="00C34463">
            <w:pPr>
              <w:pStyle w:val="Agbodytext"/>
              <w:rPr>
                <w:b/>
                <w:bCs/>
                <w:lang w:val="en-AU" w:eastAsia="en-AU"/>
              </w:rPr>
            </w:pPr>
            <w:r w:rsidRPr="00C34463">
              <w:rPr>
                <w:b/>
                <w:bCs/>
                <w:lang w:val="en-AU" w:eastAsia="en-AU"/>
              </w:rPr>
              <w:t>Stock type</w:t>
            </w:r>
          </w:p>
        </w:tc>
        <w:tc>
          <w:tcPr>
            <w:tcW w:w="1701" w:type="dxa"/>
            <w:shd w:val="clear" w:color="auto" w:fill="D9D9D9" w:themeFill="background1" w:themeFillShade="D9"/>
            <w:hideMark/>
          </w:tcPr>
          <w:p w14:paraId="554269A1" w14:textId="77777777" w:rsidR="00C34463" w:rsidRPr="00C34463" w:rsidRDefault="00C34463" w:rsidP="00C34463">
            <w:pPr>
              <w:pStyle w:val="Agbodytext"/>
              <w:rPr>
                <w:b/>
                <w:bCs/>
                <w:lang w:val="en-AU" w:eastAsia="en-AU"/>
              </w:rPr>
            </w:pPr>
            <w:r w:rsidRPr="00C34463">
              <w:rPr>
                <w:b/>
                <w:bCs/>
                <w:lang w:val="en-AU" w:eastAsia="en-AU"/>
              </w:rPr>
              <w:t>EC (µS/cm)</w:t>
            </w:r>
          </w:p>
        </w:tc>
        <w:tc>
          <w:tcPr>
            <w:tcW w:w="1276" w:type="dxa"/>
            <w:shd w:val="clear" w:color="auto" w:fill="D9D9D9" w:themeFill="background1" w:themeFillShade="D9"/>
            <w:hideMark/>
          </w:tcPr>
          <w:p w14:paraId="6FDB17FB" w14:textId="77777777" w:rsidR="00C34463" w:rsidRPr="00C34463" w:rsidRDefault="00C34463" w:rsidP="00C34463">
            <w:pPr>
              <w:pStyle w:val="Agbodytext"/>
              <w:rPr>
                <w:b/>
                <w:bCs/>
                <w:lang w:val="en-AU" w:eastAsia="en-AU"/>
              </w:rPr>
            </w:pPr>
            <w:r w:rsidRPr="00C34463">
              <w:rPr>
                <w:b/>
                <w:bCs/>
                <w:lang w:val="en-AU" w:eastAsia="en-AU"/>
              </w:rPr>
              <w:t>TDS (mg/L)</w:t>
            </w:r>
          </w:p>
        </w:tc>
      </w:tr>
      <w:tr w:rsidR="00C34463" w:rsidRPr="00C34463" w14:paraId="3E2C08F1" w14:textId="77777777" w:rsidTr="00C34463">
        <w:tc>
          <w:tcPr>
            <w:tcW w:w="1838" w:type="dxa"/>
            <w:hideMark/>
          </w:tcPr>
          <w:p w14:paraId="3BB8A08B" w14:textId="77777777" w:rsidR="00C34463" w:rsidRPr="00C34463" w:rsidRDefault="00C34463" w:rsidP="00C34463">
            <w:pPr>
              <w:pStyle w:val="Agbodytext"/>
              <w:rPr>
                <w:color w:val="auto"/>
                <w:lang w:val="en-AU" w:eastAsia="en-AU"/>
              </w:rPr>
            </w:pPr>
            <w:r w:rsidRPr="00C34463">
              <w:rPr>
                <w:color w:val="auto"/>
                <w:lang w:val="en-AU" w:eastAsia="en-AU"/>
              </w:rPr>
              <w:t>Mature Sheep</w:t>
            </w:r>
          </w:p>
        </w:tc>
        <w:tc>
          <w:tcPr>
            <w:tcW w:w="1701" w:type="dxa"/>
            <w:hideMark/>
          </w:tcPr>
          <w:p w14:paraId="34F3C45F" w14:textId="77777777" w:rsidR="00C34463" w:rsidRPr="00C34463" w:rsidRDefault="00C34463" w:rsidP="00C34463">
            <w:pPr>
              <w:pStyle w:val="Agbodytext"/>
              <w:rPr>
                <w:color w:val="auto"/>
                <w:lang w:val="en-AU" w:eastAsia="en-AU"/>
              </w:rPr>
            </w:pPr>
            <w:r w:rsidRPr="00C34463">
              <w:rPr>
                <w:color w:val="auto"/>
                <w:lang w:val="en-AU" w:eastAsia="en-AU"/>
              </w:rPr>
              <w:t>9,300</w:t>
            </w:r>
          </w:p>
        </w:tc>
        <w:tc>
          <w:tcPr>
            <w:tcW w:w="1276" w:type="dxa"/>
            <w:hideMark/>
          </w:tcPr>
          <w:p w14:paraId="06C13C1E" w14:textId="77777777" w:rsidR="00C34463" w:rsidRPr="00C34463" w:rsidRDefault="00C34463" w:rsidP="00C34463">
            <w:pPr>
              <w:pStyle w:val="Agbodytext"/>
              <w:rPr>
                <w:color w:val="auto"/>
                <w:lang w:val="en-AU" w:eastAsia="en-AU"/>
              </w:rPr>
            </w:pPr>
            <w:r w:rsidRPr="00C34463">
              <w:rPr>
                <w:color w:val="auto"/>
                <w:lang w:val="en-AU" w:eastAsia="en-AU"/>
              </w:rPr>
              <w:t>5,600</w:t>
            </w:r>
          </w:p>
        </w:tc>
      </w:tr>
      <w:tr w:rsidR="00C34463" w:rsidRPr="00C34463" w14:paraId="382E3A1A" w14:textId="77777777" w:rsidTr="00C34463">
        <w:tc>
          <w:tcPr>
            <w:tcW w:w="1838" w:type="dxa"/>
            <w:hideMark/>
          </w:tcPr>
          <w:p w14:paraId="3A5FC850" w14:textId="77777777" w:rsidR="00C34463" w:rsidRPr="00C34463" w:rsidRDefault="00C34463" w:rsidP="00C34463">
            <w:pPr>
              <w:pStyle w:val="Agbodytext"/>
              <w:rPr>
                <w:color w:val="auto"/>
                <w:lang w:val="en-AU" w:eastAsia="en-AU"/>
              </w:rPr>
            </w:pPr>
            <w:r w:rsidRPr="00C34463">
              <w:rPr>
                <w:color w:val="auto"/>
                <w:lang w:val="en-AU" w:eastAsia="en-AU"/>
              </w:rPr>
              <w:t>Nursing Ewes</w:t>
            </w:r>
          </w:p>
        </w:tc>
        <w:tc>
          <w:tcPr>
            <w:tcW w:w="1701" w:type="dxa"/>
            <w:hideMark/>
          </w:tcPr>
          <w:p w14:paraId="079478D6" w14:textId="77777777" w:rsidR="00C34463" w:rsidRPr="00C34463" w:rsidRDefault="00C34463" w:rsidP="00C34463">
            <w:pPr>
              <w:pStyle w:val="Agbodytext"/>
              <w:rPr>
                <w:color w:val="auto"/>
                <w:lang w:val="en-AU" w:eastAsia="en-AU"/>
              </w:rPr>
            </w:pPr>
            <w:r w:rsidRPr="00C34463">
              <w:rPr>
                <w:color w:val="auto"/>
                <w:lang w:val="en-AU" w:eastAsia="en-AU"/>
              </w:rPr>
              <w:t>6,000</w:t>
            </w:r>
          </w:p>
        </w:tc>
        <w:tc>
          <w:tcPr>
            <w:tcW w:w="1276" w:type="dxa"/>
            <w:hideMark/>
          </w:tcPr>
          <w:p w14:paraId="65EC6010" w14:textId="77777777" w:rsidR="00C34463" w:rsidRPr="00C34463" w:rsidRDefault="00C34463" w:rsidP="00C34463">
            <w:pPr>
              <w:pStyle w:val="Agbodytext"/>
              <w:rPr>
                <w:color w:val="auto"/>
                <w:lang w:val="en-AU" w:eastAsia="en-AU"/>
              </w:rPr>
            </w:pPr>
            <w:r w:rsidRPr="00C34463">
              <w:rPr>
                <w:color w:val="auto"/>
                <w:lang w:val="en-AU" w:eastAsia="en-AU"/>
              </w:rPr>
              <w:t>3,600</w:t>
            </w:r>
          </w:p>
        </w:tc>
      </w:tr>
      <w:tr w:rsidR="00C34463" w:rsidRPr="00C34463" w14:paraId="20E1505F" w14:textId="77777777" w:rsidTr="00C34463">
        <w:tc>
          <w:tcPr>
            <w:tcW w:w="1838" w:type="dxa"/>
            <w:hideMark/>
          </w:tcPr>
          <w:p w14:paraId="6077CDB0" w14:textId="77777777" w:rsidR="00C34463" w:rsidRPr="00C34463" w:rsidRDefault="00C34463" w:rsidP="00C34463">
            <w:pPr>
              <w:pStyle w:val="Agbodytext"/>
              <w:rPr>
                <w:color w:val="auto"/>
                <w:lang w:val="en-AU" w:eastAsia="en-AU"/>
              </w:rPr>
            </w:pPr>
            <w:r w:rsidRPr="00C34463">
              <w:rPr>
                <w:color w:val="auto"/>
                <w:lang w:val="en-AU" w:eastAsia="en-AU"/>
              </w:rPr>
              <w:t>Weaner lambs</w:t>
            </w:r>
          </w:p>
        </w:tc>
        <w:tc>
          <w:tcPr>
            <w:tcW w:w="1701" w:type="dxa"/>
            <w:hideMark/>
          </w:tcPr>
          <w:p w14:paraId="6F1AB565" w14:textId="77777777" w:rsidR="00C34463" w:rsidRPr="00C34463" w:rsidRDefault="00C34463" w:rsidP="00C34463">
            <w:pPr>
              <w:pStyle w:val="Agbodytext"/>
              <w:rPr>
                <w:color w:val="auto"/>
                <w:lang w:val="en-AU" w:eastAsia="en-AU"/>
              </w:rPr>
            </w:pPr>
            <w:r w:rsidRPr="00C34463">
              <w:rPr>
                <w:color w:val="auto"/>
                <w:lang w:val="en-AU" w:eastAsia="en-AU"/>
              </w:rPr>
              <w:t>6,000</w:t>
            </w:r>
          </w:p>
        </w:tc>
        <w:tc>
          <w:tcPr>
            <w:tcW w:w="1276" w:type="dxa"/>
            <w:hideMark/>
          </w:tcPr>
          <w:p w14:paraId="6EADE970" w14:textId="77777777" w:rsidR="00C34463" w:rsidRPr="00C34463" w:rsidRDefault="00C34463" w:rsidP="00C34463">
            <w:pPr>
              <w:pStyle w:val="Agbodytext"/>
              <w:rPr>
                <w:color w:val="auto"/>
                <w:lang w:val="en-AU" w:eastAsia="en-AU"/>
              </w:rPr>
            </w:pPr>
            <w:r w:rsidRPr="00C34463">
              <w:rPr>
                <w:color w:val="auto"/>
                <w:lang w:val="en-AU" w:eastAsia="en-AU"/>
              </w:rPr>
              <w:t>3,600</w:t>
            </w:r>
          </w:p>
        </w:tc>
      </w:tr>
      <w:tr w:rsidR="00C34463" w:rsidRPr="00C34463" w14:paraId="09D69AA9" w14:textId="77777777" w:rsidTr="00C34463">
        <w:tc>
          <w:tcPr>
            <w:tcW w:w="1838" w:type="dxa"/>
            <w:hideMark/>
          </w:tcPr>
          <w:p w14:paraId="7ED50887" w14:textId="77777777" w:rsidR="00C34463" w:rsidRPr="00C34463" w:rsidRDefault="00C34463" w:rsidP="00C34463">
            <w:pPr>
              <w:pStyle w:val="Agbodytext"/>
              <w:rPr>
                <w:color w:val="auto"/>
                <w:lang w:val="en-AU" w:eastAsia="en-AU"/>
              </w:rPr>
            </w:pPr>
            <w:r w:rsidRPr="00C34463">
              <w:rPr>
                <w:color w:val="auto"/>
                <w:lang w:val="en-AU" w:eastAsia="en-AU"/>
              </w:rPr>
              <w:t>Mature cattle</w:t>
            </w:r>
          </w:p>
        </w:tc>
        <w:tc>
          <w:tcPr>
            <w:tcW w:w="1701" w:type="dxa"/>
            <w:hideMark/>
          </w:tcPr>
          <w:p w14:paraId="4DB50FD7" w14:textId="77777777" w:rsidR="00C34463" w:rsidRPr="00C34463" w:rsidRDefault="00C34463" w:rsidP="00C34463">
            <w:pPr>
              <w:pStyle w:val="Agbodytext"/>
              <w:rPr>
                <w:color w:val="auto"/>
                <w:lang w:val="en-AU" w:eastAsia="en-AU"/>
              </w:rPr>
            </w:pPr>
            <w:r w:rsidRPr="00C34463">
              <w:rPr>
                <w:color w:val="auto"/>
                <w:lang w:val="en-AU" w:eastAsia="en-AU"/>
              </w:rPr>
              <w:t>6,250</w:t>
            </w:r>
          </w:p>
        </w:tc>
        <w:tc>
          <w:tcPr>
            <w:tcW w:w="1276" w:type="dxa"/>
            <w:hideMark/>
          </w:tcPr>
          <w:p w14:paraId="362D7B0E" w14:textId="77777777" w:rsidR="00C34463" w:rsidRPr="00C34463" w:rsidRDefault="00C34463" w:rsidP="00C34463">
            <w:pPr>
              <w:pStyle w:val="Agbodytext"/>
              <w:rPr>
                <w:color w:val="auto"/>
                <w:lang w:val="en-AU" w:eastAsia="en-AU"/>
              </w:rPr>
            </w:pPr>
            <w:r w:rsidRPr="00C34463">
              <w:rPr>
                <w:color w:val="auto"/>
                <w:lang w:val="en-AU" w:eastAsia="en-AU"/>
              </w:rPr>
              <w:t>3,800</w:t>
            </w:r>
          </w:p>
        </w:tc>
      </w:tr>
      <w:tr w:rsidR="00C34463" w:rsidRPr="00C34463" w14:paraId="6CE34164" w14:textId="77777777" w:rsidTr="00C34463">
        <w:tc>
          <w:tcPr>
            <w:tcW w:w="1838" w:type="dxa"/>
            <w:hideMark/>
          </w:tcPr>
          <w:p w14:paraId="08F7FF51" w14:textId="77777777" w:rsidR="00C34463" w:rsidRPr="00C34463" w:rsidRDefault="00C34463" w:rsidP="00C34463">
            <w:pPr>
              <w:pStyle w:val="Agbodytext"/>
              <w:rPr>
                <w:color w:val="auto"/>
                <w:lang w:val="en-AU" w:eastAsia="en-AU"/>
              </w:rPr>
            </w:pPr>
            <w:r w:rsidRPr="00C34463">
              <w:rPr>
                <w:color w:val="auto"/>
                <w:lang w:val="en-AU" w:eastAsia="en-AU"/>
              </w:rPr>
              <w:t>Lactating cattle</w:t>
            </w:r>
          </w:p>
        </w:tc>
        <w:tc>
          <w:tcPr>
            <w:tcW w:w="1701" w:type="dxa"/>
            <w:hideMark/>
          </w:tcPr>
          <w:p w14:paraId="2D0A8990" w14:textId="77777777" w:rsidR="00C34463" w:rsidRPr="00C34463" w:rsidRDefault="00C34463" w:rsidP="00C34463">
            <w:pPr>
              <w:pStyle w:val="Agbodytext"/>
              <w:rPr>
                <w:color w:val="auto"/>
                <w:lang w:val="en-AU" w:eastAsia="en-AU"/>
              </w:rPr>
            </w:pPr>
            <w:r w:rsidRPr="00C34463">
              <w:rPr>
                <w:color w:val="auto"/>
                <w:lang w:val="en-AU" w:eastAsia="en-AU"/>
              </w:rPr>
              <w:t>5,000</w:t>
            </w:r>
          </w:p>
        </w:tc>
        <w:tc>
          <w:tcPr>
            <w:tcW w:w="1276" w:type="dxa"/>
            <w:hideMark/>
          </w:tcPr>
          <w:p w14:paraId="084C2990" w14:textId="77777777" w:rsidR="00C34463" w:rsidRPr="00C34463" w:rsidRDefault="00C34463" w:rsidP="00C34463">
            <w:pPr>
              <w:pStyle w:val="Agbodytext"/>
              <w:rPr>
                <w:color w:val="auto"/>
                <w:lang w:val="en-AU" w:eastAsia="en-AU"/>
              </w:rPr>
            </w:pPr>
            <w:r w:rsidRPr="00C34463">
              <w:rPr>
                <w:color w:val="auto"/>
                <w:lang w:val="en-AU" w:eastAsia="en-AU"/>
              </w:rPr>
              <w:t>3,000</w:t>
            </w:r>
          </w:p>
        </w:tc>
      </w:tr>
      <w:tr w:rsidR="00C34463" w:rsidRPr="00C34463" w14:paraId="681EE9F9" w14:textId="77777777" w:rsidTr="00C34463">
        <w:tc>
          <w:tcPr>
            <w:tcW w:w="1838" w:type="dxa"/>
            <w:hideMark/>
          </w:tcPr>
          <w:p w14:paraId="65508F7D" w14:textId="77777777" w:rsidR="00C34463" w:rsidRPr="00C34463" w:rsidRDefault="00C34463" w:rsidP="00C34463">
            <w:pPr>
              <w:pStyle w:val="Agbodytext"/>
              <w:rPr>
                <w:color w:val="auto"/>
                <w:lang w:val="en-AU" w:eastAsia="en-AU"/>
              </w:rPr>
            </w:pPr>
            <w:r w:rsidRPr="00C34463">
              <w:rPr>
                <w:color w:val="auto"/>
                <w:lang w:val="en-AU" w:eastAsia="en-AU"/>
              </w:rPr>
              <w:t>Weaner calves</w:t>
            </w:r>
          </w:p>
        </w:tc>
        <w:tc>
          <w:tcPr>
            <w:tcW w:w="1701" w:type="dxa"/>
            <w:hideMark/>
          </w:tcPr>
          <w:p w14:paraId="5E9D997B" w14:textId="77777777" w:rsidR="00C34463" w:rsidRPr="00C34463" w:rsidRDefault="00C34463" w:rsidP="00C34463">
            <w:pPr>
              <w:pStyle w:val="Agbodytext"/>
              <w:rPr>
                <w:color w:val="auto"/>
                <w:lang w:val="en-AU" w:eastAsia="en-AU"/>
              </w:rPr>
            </w:pPr>
            <w:r w:rsidRPr="00C34463">
              <w:rPr>
                <w:color w:val="auto"/>
                <w:lang w:val="en-AU" w:eastAsia="en-AU"/>
              </w:rPr>
              <w:t>5,000</w:t>
            </w:r>
          </w:p>
        </w:tc>
        <w:tc>
          <w:tcPr>
            <w:tcW w:w="1276" w:type="dxa"/>
            <w:hideMark/>
          </w:tcPr>
          <w:p w14:paraId="5F15F32D" w14:textId="77777777" w:rsidR="00C34463" w:rsidRPr="00C34463" w:rsidRDefault="00C34463" w:rsidP="00C34463">
            <w:pPr>
              <w:pStyle w:val="Agbodytext"/>
              <w:rPr>
                <w:color w:val="auto"/>
                <w:lang w:val="en-AU" w:eastAsia="en-AU"/>
              </w:rPr>
            </w:pPr>
            <w:r w:rsidRPr="00C34463">
              <w:rPr>
                <w:color w:val="auto"/>
                <w:lang w:val="en-AU" w:eastAsia="en-AU"/>
              </w:rPr>
              <w:t>3,000</w:t>
            </w:r>
          </w:p>
        </w:tc>
      </w:tr>
    </w:tbl>
    <w:p w14:paraId="2BEF91CA" w14:textId="77777777" w:rsidR="00270CD2" w:rsidRDefault="00270CD2" w:rsidP="00270CD2">
      <w:pPr>
        <w:pStyle w:val="Agbodytext"/>
      </w:pPr>
      <w:r>
        <w:t xml:space="preserve">Adapted from: Agriculture Victoria, 2016, </w:t>
      </w:r>
      <w:r w:rsidRPr="00270CD2">
        <w:rPr>
          <w:i/>
          <w:iCs/>
        </w:rPr>
        <w:t>Managing farm water supplies</w:t>
      </w:r>
      <w:r>
        <w:t>.</w:t>
      </w:r>
    </w:p>
    <w:p w14:paraId="6B60054F" w14:textId="77777777" w:rsidR="00270CD2" w:rsidRDefault="00270CD2" w:rsidP="00270CD2">
      <w:pPr>
        <w:pStyle w:val="Heading1"/>
      </w:pPr>
      <w:r>
        <w:t>Other ions and elements</w:t>
      </w:r>
    </w:p>
    <w:p w14:paraId="5DB89D8F" w14:textId="77777777" w:rsidR="00270CD2" w:rsidRDefault="00270CD2" w:rsidP="00270CD2">
      <w:pPr>
        <w:pStyle w:val="Agbodytext"/>
      </w:pPr>
      <w:r>
        <w:t>A range of other ions and elements affecting stock health and condition are listed in Table 2. While less common, these contaminates need to be considered when using a more unusual source of water or where stock health concerns are evident. Lead poisoning is a 'Notifiable disease' under the Livestock Disease Control Act 1994 and any suspected cases should be reported to the Chief Veterinary Officer, Agriculture Victoria within 7 days.</w:t>
      </w:r>
    </w:p>
    <w:p w14:paraId="162CB735" w14:textId="77777777" w:rsidR="00270CD2" w:rsidRDefault="00270CD2" w:rsidP="00270CD2">
      <w:pPr>
        <w:pStyle w:val="Heading3"/>
      </w:pPr>
      <w:r>
        <w:t>Any cases of suspected serious or exotic diseases should be reported immediately to the Disease Watch Hotline on 1800 675 888.</w:t>
      </w:r>
    </w:p>
    <w:p w14:paraId="0C9E7236" w14:textId="789B8A91" w:rsidR="00C34463" w:rsidRDefault="00270CD2" w:rsidP="00270CD2">
      <w:pPr>
        <w:pStyle w:val="Heading3"/>
      </w:pPr>
      <w:r>
        <w:t>Table 2: Livestock maximum levels for various ions and elements in stock water</w:t>
      </w:r>
    </w:p>
    <w:tbl>
      <w:tblPr>
        <w:tblStyle w:val="TableGrid"/>
        <w:tblW w:w="4815" w:type="dxa"/>
        <w:tblLook w:val="04A0" w:firstRow="1" w:lastRow="0" w:firstColumn="1" w:lastColumn="0" w:noHBand="0" w:noVBand="1"/>
      </w:tblPr>
      <w:tblGrid>
        <w:gridCol w:w="1268"/>
        <w:gridCol w:w="1077"/>
        <w:gridCol w:w="782"/>
        <w:gridCol w:w="1688"/>
      </w:tblGrid>
      <w:tr w:rsidR="00270CD2" w:rsidRPr="00270CD2" w14:paraId="13AEC074" w14:textId="77777777" w:rsidTr="00270CD2">
        <w:tc>
          <w:tcPr>
            <w:tcW w:w="1268" w:type="dxa"/>
            <w:shd w:val="clear" w:color="auto" w:fill="D9D9D9" w:themeFill="background1" w:themeFillShade="D9"/>
            <w:hideMark/>
          </w:tcPr>
          <w:p w14:paraId="4EEDC0E1" w14:textId="77777777" w:rsidR="00270CD2" w:rsidRPr="00270CD2" w:rsidRDefault="00270CD2" w:rsidP="00270CD2">
            <w:pPr>
              <w:pStyle w:val="Agbodytext"/>
              <w:rPr>
                <w:b/>
                <w:bCs/>
                <w:lang w:val="en-AU" w:eastAsia="en-AU"/>
              </w:rPr>
            </w:pPr>
            <w:r w:rsidRPr="00270CD2">
              <w:rPr>
                <w:b/>
                <w:bCs/>
                <w:lang w:val="en-AU" w:eastAsia="en-AU"/>
              </w:rPr>
              <w:t>Ion or element</w:t>
            </w:r>
          </w:p>
        </w:tc>
        <w:tc>
          <w:tcPr>
            <w:tcW w:w="1077" w:type="dxa"/>
            <w:shd w:val="clear" w:color="auto" w:fill="D9D9D9" w:themeFill="background1" w:themeFillShade="D9"/>
            <w:hideMark/>
          </w:tcPr>
          <w:p w14:paraId="120D5075" w14:textId="77777777" w:rsidR="00270CD2" w:rsidRPr="00270CD2" w:rsidRDefault="00270CD2" w:rsidP="00270CD2">
            <w:pPr>
              <w:pStyle w:val="Agbodytext"/>
              <w:rPr>
                <w:b/>
                <w:bCs/>
                <w:lang w:val="en-AU" w:eastAsia="en-AU"/>
              </w:rPr>
            </w:pPr>
            <w:r w:rsidRPr="00270CD2">
              <w:rPr>
                <w:b/>
                <w:bCs/>
                <w:lang w:val="en-AU" w:eastAsia="en-AU"/>
              </w:rPr>
              <w:t>Rainwater (mg/L)</w:t>
            </w:r>
          </w:p>
        </w:tc>
        <w:tc>
          <w:tcPr>
            <w:tcW w:w="782" w:type="dxa"/>
            <w:shd w:val="clear" w:color="auto" w:fill="D9D9D9" w:themeFill="background1" w:themeFillShade="D9"/>
            <w:hideMark/>
          </w:tcPr>
          <w:p w14:paraId="23D44E61" w14:textId="77777777" w:rsidR="00270CD2" w:rsidRPr="00270CD2" w:rsidRDefault="00270CD2" w:rsidP="00270CD2">
            <w:pPr>
              <w:pStyle w:val="Agbodytext"/>
              <w:rPr>
                <w:b/>
                <w:bCs/>
                <w:lang w:val="en-AU" w:eastAsia="en-AU"/>
              </w:rPr>
            </w:pPr>
            <w:r w:rsidRPr="00270CD2">
              <w:rPr>
                <w:b/>
                <w:bCs/>
                <w:lang w:val="en-AU" w:eastAsia="en-AU"/>
              </w:rPr>
              <w:t>Upper limit (mg/L)</w:t>
            </w:r>
          </w:p>
        </w:tc>
        <w:tc>
          <w:tcPr>
            <w:tcW w:w="1688" w:type="dxa"/>
            <w:shd w:val="clear" w:color="auto" w:fill="D9D9D9" w:themeFill="background1" w:themeFillShade="D9"/>
            <w:hideMark/>
          </w:tcPr>
          <w:p w14:paraId="22CFA9B8" w14:textId="77777777" w:rsidR="00270CD2" w:rsidRPr="00270CD2" w:rsidRDefault="00270CD2" w:rsidP="00270CD2">
            <w:pPr>
              <w:pStyle w:val="Agbodytext"/>
              <w:rPr>
                <w:b/>
                <w:bCs/>
                <w:lang w:val="en-AU" w:eastAsia="en-AU"/>
              </w:rPr>
            </w:pPr>
            <w:r w:rsidRPr="00270CD2">
              <w:rPr>
                <w:b/>
                <w:bCs/>
                <w:lang w:val="en-AU" w:eastAsia="en-AU"/>
              </w:rPr>
              <w:t>Effect</w:t>
            </w:r>
          </w:p>
        </w:tc>
      </w:tr>
      <w:tr w:rsidR="00270CD2" w:rsidRPr="00270CD2" w14:paraId="60427B89" w14:textId="77777777" w:rsidTr="00270CD2">
        <w:tc>
          <w:tcPr>
            <w:tcW w:w="1268" w:type="dxa"/>
            <w:hideMark/>
          </w:tcPr>
          <w:p w14:paraId="3219D5FE" w14:textId="77777777" w:rsidR="00270CD2" w:rsidRPr="00270CD2" w:rsidRDefault="00270CD2" w:rsidP="00270CD2">
            <w:pPr>
              <w:pStyle w:val="Agbodytext"/>
              <w:rPr>
                <w:color w:val="auto"/>
                <w:lang w:val="en-AU" w:eastAsia="en-AU"/>
              </w:rPr>
            </w:pPr>
            <w:r w:rsidRPr="00270CD2">
              <w:rPr>
                <w:color w:val="auto"/>
                <w:lang w:val="en-AU" w:eastAsia="en-AU"/>
              </w:rPr>
              <w:t>Calcium</w:t>
            </w:r>
          </w:p>
        </w:tc>
        <w:tc>
          <w:tcPr>
            <w:tcW w:w="1077" w:type="dxa"/>
            <w:hideMark/>
          </w:tcPr>
          <w:p w14:paraId="24333F6D" w14:textId="77777777" w:rsidR="00270CD2" w:rsidRPr="00270CD2" w:rsidRDefault="00270CD2" w:rsidP="00270CD2">
            <w:pPr>
              <w:pStyle w:val="Agbodytext"/>
              <w:rPr>
                <w:color w:val="auto"/>
                <w:lang w:val="en-AU" w:eastAsia="en-AU"/>
              </w:rPr>
            </w:pPr>
            <w:r w:rsidRPr="00270CD2">
              <w:rPr>
                <w:color w:val="auto"/>
                <w:lang w:val="en-AU" w:eastAsia="en-AU"/>
              </w:rPr>
              <w:t>40</w:t>
            </w:r>
          </w:p>
        </w:tc>
        <w:tc>
          <w:tcPr>
            <w:tcW w:w="782" w:type="dxa"/>
            <w:hideMark/>
          </w:tcPr>
          <w:p w14:paraId="5D14FD61" w14:textId="77777777" w:rsidR="00270CD2" w:rsidRPr="00270CD2" w:rsidRDefault="00270CD2" w:rsidP="00270CD2">
            <w:pPr>
              <w:pStyle w:val="Agbodytext"/>
              <w:rPr>
                <w:color w:val="auto"/>
                <w:lang w:val="en-AU" w:eastAsia="en-AU"/>
              </w:rPr>
            </w:pPr>
            <w:r w:rsidRPr="00270CD2">
              <w:rPr>
                <w:color w:val="auto"/>
                <w:lang w:val="en-AU" w:eastAsia="en-AU"/>
              </w:rPr>
              <w:t>&gt;1000</w:t>
            </w:r>
          </w:p>
        </w:tc>
        <w:tc>
          <w:tcPr>
            <w:tcW w:w="1688" w:type="dxa"/>
            <w:hideMark/>
          </w:tcPr>
          <w:p w14:paraId="094968B4" w14:textId="77777777" w:rsidR="00270CD2" w:rsidRPr="00270CD2" w:rsidRDefault="00270CD2" w:rsidP="00270CD2">
            <w:pPr>
              <w:pStyle w:val="Agbodytext"/>
              <w:rPr>
                <w:color w:val="auto"/>
                <w:lang w:val="en-AU" w:eastAsia="en-AU"/>
              </w:rPr>
            </w:pPr>
            <w:r w:rsidRPr="00270CD2">
              <w:rPr>
                <w:color w:val="auto"/>
                <w:lang w:val="en-AU" w:eastAsia="en-AU"/>
              </w:rPr>
              <w:t>Phosphorous deficiency, poor growth, soft bones and fractures, infertility</w:t>
            </w:r>
          </w:p>
        </w:tc>
      </w:tr>
      <w:tr w:rsidR="00270CD2" w:rsidRPr="00270CD2" w14:paraId="1DB344FD" w14:textId="77777777" w:rsidTr="00270CD2">
        <w:tc>
          <w:tcPr>
            <w:tcW w:w="1268" w:type="dxa"/>
            <w:hideMark/>
          </w:tcPr>
          <w:p w14:paraId="718A0ECF" w14:textId="77777777" w:rsidR="00270CD2" w:rsidRPr="00270CD2" w:rsidRDefault="00270CD2" w:rsidP="00270CD2">
            <w:pPr>
              <w:pStyle w:val="Agbodytext"/>
              <w:rPr>
                <w:color w:val="auto"/>
                <w:lang w:val="en-AU" w:eastAsia="en-AU"/>
              </w:rPr>
            </w:pPr>
            <w:r w:rsidRPr="00270CD2">
              <w:rPr>
                <w:color w:val="auto"/>
                <w:lang w:val="en-AU" w:eastAsia="en-AU"/>
              </w:rPr>
              <w:t>Magnesium</w:t>
            </w:r>
          </w:p>
        </w:tc>
        <w:tc>
          <w:tcPr>
            <w:tcW w:w="1077" w:type="dxa"/>
            <w:hideMark/>
          </w:tcPr>
          <w:p w14:paraId="58670572" w14:textId="77777777" w:rsidR="00270CD2" w:rsidRPr="00270CD2" w:rsidRDefault="00270CD2" w:rsidP="00270CD2">
            <w:pPr>
              <w:pStyle w:val="Agbodytext"/>
              <w:rPr>
                <w:color w:val="auto"/>
                <w:lang w:val="en-AU" w:eastAsia="en-AU"/>
              </w:rPr>
            </w:pPr>
            <w:r w:rsidRPr="00270CD2">
              <w:rPr>
                <w:color w:val="auto"/>
                <w:lang w:val="en-AU" w:eastAsia="en-AU"/>
              </w:rPr>
              <w:t>0-19</w:t>
            </w:r>
          </w:p>
        </w:tc>
        <w:tc>
          <w:tcPr>
            <w:tcW w:w="782" w:type="dxa"/>
            <w:hideMark/>
          </w:tcPr>
          <w:p w14:paraId="0348D623" w14:textId="77777777" w:rsidR="00270CD2" w:rsidRPr="00270CD2" w:rsidRDefault="00270CD2" w:rsidP="00270CD2">
            <w:pPr>
              <w:pStyle w:val="Agbodytext"/>
              <w:rPr>
                <w:color w:val="auto"/>
                <w:lang w:val="en-AU" w:eastAsia="en-AU"/>
              </w:rPr>
            </w:pPr>
            <w:r w:rsidRPr="00270CD2">
              <w:rPr>
                <w:color w:val="auto"/>
                <w:lang w:val="en-AU" w:eastAsia="en-AU"/>
              </w:rPr>
              <w:t>&gt; 500</w:t>
            </w:r>
          </w:p>
        </w:tc>
        <w:tc>
          <w:tcPr>
            <w:tcW w:w="1688" w:type="dxa"/>
            <w:hideMark/>
          </w:tcPr>
          <w:p w14:paraId="1C4BA986" w14:textId="77777777" w:rsidR="00270CD2" w:rsidRPr="00270CD2" w:rsidRDefault="00270CD2" w:rsidP="00270CD2">
            <w:pPr>
              <w:pStyle w:val="Agbodytext"/>
              <w:rPr>
                <w:color w:val="auto"/>
                <w:lang w:val="en-AU" w:eastAsia="en-AU"/>
              </w:rPr>
            </w:pPr>
            <w:r w:rsidRPr="00270CD2">
              <w:rPr>
                <w:color w:val="auto"/>
                <w:lang w:val="en-AU" w:eastAsia="en-AU"/>
              </w:rPr>
              <w:t>Scouring and diarrhoea</w:t>
            </w:r>
          </w:p>
        </w:tc>
      </w:tr>
      <w:tr w:rsidR="00270CD2" w:rsidRPr="00270CD2" w14:paraId="2E3751C8" w14:textId="77777777" w:rsidTr="00270CD2">
        <w:tc>
          <w:tcPr>
            <w:tcW w:w="1268" w:type="dxa"/>
            <w:hideMark/>
          </w:tcPr>
          <w:p w14:paraId="016A5716" w14:textId="77777777" w:rsidR="00270CD2" w:rsidRPr="00270CD2" w:rsidRDefault="00270CD2" w:rsidP="00270CD2">
            <w:pPr>
              <w:pStyle w:val="Agbodytext"/>
              <w:rPr>
                <w:color w:val="auto"/>
                <w:lang w:val="en-AU" w:eastAsia="en-AU"/>
              </w:rPr>
            </w:pPr>
            <w:r w:rsidRPr="00270CD2">
              <w:rPr>
                <w:color w:val="auto"/>
                <w:lang w:val="en-AU" w:eastAsia="en-AU"/>
              </w:rPr>
              <w:t>Nitrate</w:t>
            </w:r>
          </w:p>
        </w:tc>
        <w:tc>
          <w:tcPr>
            <w:tcW w:w="1077" w:type="dxa"/>
            <w:hideMark/>
          </w:tcPr>
          <w:p w14:paraId="679B8ACE" w14:textId="77777777" w:rsidR="00270CD2" w:rsidRPr="00270CD2" w:rsidRDefault="00270CD2" w:rsidP="00270CD2">
            <w:pPr>
              <w:pStyle w:val="Agbodytext"/>
              <w:rPr>
                <w:color w:val="auto"/>
                <w:lang w:val="en-AU" w:eastAsia="en-AU"/>
              </w:rPr>
            </w:pPr>
            <w:r w:rsidRPr="00270CD2">
              <w:rPr>
                <w:color w:val="auto"/>
                <w:lang w:val="en-AU" w:eastAsia="en-AU"/>
              </w:rPr>
              <w:t>10</w:t>
            </w:r>
            <w:r w:rsidRPr="00270CD2">
              <w:rPr>
                <w:color w:val="auto"/>
                <w:lang w:val="en-AU" w:eastAsia="en-AU"/>
              </w:rPr>
              <w:br/>
              <w:t>1</w:t>
            </w:r>
          </w:p>
        </w:tc>
        <w:tc>
          <w:tcPr>
            <w:tcW w:w="782" w:type="dxa"/>
            <w:hideMark/>
          </w:tcPr>
          <w:p w14:paraId="5528FA4B" w14:textId="77777777" w:rsidR="00270CD2" w:rsidRPr="00270CD2" w:rsidRDefault="00270CD2" w:rsidP="00270CD2">
            <w:pPr>
              <w:pStyle w:val="Agbodytext"/>
              <w:rPr>
                <w:color w:val="auto"/>
                <w:lang w:val="en-AU" w:eastAsia="en-AU"/>
              </w:rPr>
            </w:pPr>
            <w:r w:rsidRPr="00270CD2">
              <w:rPr>
                <w:color w:val="auto"/>
                <w:lang w:val="en-AU" w:eastAsia="en-AU"/>
              </w:rPr>
              <w:t>&gt;1500 nitrate,</w:t>
            </w:r>
            <w:r w:rsidRPr="00270CD2">
              <w:rPr>
                <w:color w:val="auto"/>
                <w:lang w:val="en-AU" w:eastAsia="en-AU"/>
              </w:rPr>
              <w:br/>
              <w:t>&gt;30 nitrite</w:t>
            </w:r>
          </w:p>
        </w:tc>
        <w:tc>
          <w:tcPr>
            <w:tcW w:w="1688" w:type="dxa"/>
            <w:hideMark/>
          </w:tcPr>
          <w:p w14:paraId="20170569" w14:textId="77777777" w:rsidR="00270CD2" w:rsidRPr="00270CD2" w:rsidRDefault="00270CD2" w:rsidP="00270CD2">
            <w:pPr>
              <w:pStyle w:val="Agbodytext"/>
              <w:rPr>
                <w:color w:val="auto"/>
                <w:lang w:val="en-AU" w:eastAsia="en-AU"/>
              </w:rPr>
            </w:pPr>
            <w:r w:rsidRPr="00270CD2">
              <w:rPr>
                <w:color w:val="auto"/>
                <w:lang w:val="en-AU" w:eastAsia="en-AU"/>
              </w:rPr>
              <w:t>Vomiting, convulsions, death</w:t>
            </w:r>
          </w:p>
        </w:tc>
      </w:tr>
      <w:tr w:rsidR="00270CD2" w:rsidRPr="00270CD2" w14:paraId="488365C7" w14:textId="77777777" w:rsidTr="00270CD2">
        <w:tc>
          <w:tcPr>
            <w:tcW w:w="1268" w:type="dxa"/>
            <w:hideMark/>
          </w:tcPr>
          <w:p w14:paraId="1B4927D2" w14:textId="77777777" w:rsidR="00270CD2" w:rsidRPr="00270CD2" w:rsidRDefault="00270CD2" w:rsidP="00270CD2">
            <w:pPr>
              <w:pStyle w:val="Agbodytext"/>
              <w:rPr>
                <w:color w:val="auto"/>
                <w:lang w:val="en-AU" w:eastAsia="en-AU"/>
              </w:rPr>
            </w:pPr>
            <w:r w:rsidRPr="00270CD2">
              <w:rPr>
                <w:color w:val="auto"/>
                <w:lang w:val="en-AU" w:eastAsia="en-AU"/>
              </w:rPr>
              <w:t>Sulphate</w:t>
            </w:r>
          </w:p>
        </w:tc>
        <w:tc>
          <w:tcPr>
            <w:tcW w:w="1077" w:type="dxa"/>
            <w:hideMark/>
          </w:tcPr>
          <w:p w14:paraId="608965AD" w14:textId="77777777" w:rsidR="00270CD2" w:rsidRPr="00270CD2" w:rsidRDefault="00270CD2" w:rsidP="00270CD2">
            <w:pPr>
              <w:pStyle w:val="Agbodytext"/>
              <w:rPr>
                <w:color w:val="auto"/>
                <w:lang w:val="en-AU" w:eastAsia="en-AU"/>
              </w:rPr>
            </w:pPr>
            <w:r w:rsidRPr="00270CD2">
              <w:rPr>
                <w:color w:val="auto"/>
                <w:lang w:val="en-AU" w:eastAsia="en-AU"/>
              </w:rPr>
              <w:t>250</w:t>
            </w:r>
          </w:p>
        </w:tc>
        <w:tc>
          <w:tcPr>
            <w:tcW w:w="782" w:type="dxa"/>
            <w:hideMark/>
          </w:tcPr>
          <w:p w14:paraId="120E7524" w14:textId="77777777" w:rsidR="00270CD2" w:rsidRPr="00270CD2" w:rsidRDefault="00270CD2" w:rsidP="00270CD2">
            <w:pPr>
              <w:pStyle w:val="Agbodytext"/>
              <w:rPr>
                <w:color w:val="auto"/>
                <w:lang w:val="en-AU" w:eastAsia="en-AU"/>
              </w:rPr>
            </w:pPr>
            <w:r w:rsidRPr="00270CD2">
              <w:rPr>
                <w:color w:val="auto"/>
                <w:lang w:val="en-AU" w:eastAsia="en-AU"/>
              </w:rPr>
              <w:t>&gt;1000-2000</w:t>
            </w:r>
          </w:p>
        </w:tc>
        <w:tc>
          <w:tcPr>
            <w:tcW w:w="1688" w:type="dxa"/>
            <w:hideMark/>
          </w:tcPr>
          <w:p w14:paraId="4FB0B101" w14:textId="77777777" w:rsidR="00270CD2" w:rsidRPr="00270CD2" w:rsidRDefault="00270CD2" w:rsidP="00270CD2">
            <w:pPr>
              <w:pStyle w:val="Agbodytext"/>
              <w:rPr>
                <w:color w:val="auto"/>
                <w:lang w:val="en-AU" w:eastAsia="en-AU"/>
              </w:rPr>
            </w:pPr>
            <w:r w:rsidRPr="00270CD2">
              <w:rPr>
                <w:color w:val="auto"/>
                <w:lang w:val="en-AU" w:eastAsia="en-AU"/>
              </w:rPr>
              <w:t>Diarrhoea</w:t>
            </w:r>
          </w:p>
        </w:tc>
      </w:tr>
      <w:tr w:rsidR="00270CD2" w:rsidRPr="00270CD2" w14:paraId="4A40C159" w14:textId="77777777" w:rsidTr="00270CD2">
        <w:tc>
          <w:tcPr>
            <w:tcW w:w="1268" w:type="dxa"/>
            <w:hideMark/>
          </w:tcPr>
          <w:p w14:paraId="73E46B24" w14:textId="77777777" w:rsidR="00270CD2" w:rsidRPr="00270CD2" w:rsidRDefault="00270CD2" w:rsidP="00270CD2">
            <w:pPr>
              <w:pStyle w:val="Agbodytext"/>
              <w:rPr>
                <w:color w:val="auto"/>
                <w:lang w:val="en-AU" w:eastAsia="en-AU"/>
              </w:rPr>
            </w:pPr>
            <w:r w:rsidRPr="00270CD2">
              <w:rPr>
                <w:color w:val="auto"/>
                <w:lang w:val="en-AU" w:eastAsia="en-AU"/>
              </w:rPr>
              <w:t>Aluminium</w:t>
            </w:r>
          </w:p>
        </w:tc>
        <w:tc>
          <w:tcPr>
            <w:tcW w:w="1077" w:type="dxa"/>
            <w:hideMark/>
          </w:tcPr>
          <w:p w14:paraId="1CEF3AD8" w14:textId="77777777" w:rsidR="00270CD2" w:rsidRPr="00270CD2" w:rsidRDefault="00270CD2" w:rsidP="00270CD2">
            <w:pPr>
              <w:pStyle w:val="Agbodytext"/>
              <w:rPr>
                <w:color w:val="auto"/>
                <w:lang w:val="en-AU" w:eastAsia="en-AU"/>
              </w:rPr>
            </w:pPr>
            <w:r w:rsidRPr="00270CD2">
              <w:rPr>
                <w:color w:val="auto"/>
                <w:lang w:val="en-AU" w:eastAsia="en-AU"/>
              </w:rPr>
              <w:t>0.05-0.2</w:t>
            </w:r>
          </w:p>
        </w:tc>
        <w:tc>
          <w:tcPr>
            <w:tcW w:w="782" w:type="dxa"/>
            <w:hideMark/>
          </w:tcPr>
          <w:p w14:paraId="20B12033" w14:textId="77777777" w:rsidR="00270CD2" w:rsidRPr="00270CD2" w:rsidRDefault="00270CD2" w:rsidP="00270CD2">
            <w:pPr>
              <w:pStyle w:val="Agbodytext"/>
              <w:rPr>
                <w:color w:val="auto"/>
                <w:lang w:val="en-AU" w:eastAsia="en-AU"/>
              </w:rPr>
            </w:pPr>
            <w:r w:rsidRPr="00270CD2">
              <w:rPr>
                <w:color w:val="auto"/>
                <w:lang w:val="en-AU" w:eastAsia="en-AU"/>
              </w:rPr>
              <w:t>5</w:t>
            </w:r>
          </w:p>
        </w:tc>
        <w:tc>
          <w:tcPr>
            <w:tcW w:w="1688" w:type="dxa"/>
            <w:hideMark/>
          </w:tcPr>
          <w:p w14:paraId="462D130D" w14:textId="77777777" w:rsidR="00270CD2" w:rsidRPr="00270CD2" w:rsidRDefault="00270CD2" w:rsidP="00270CD2">
            <w:pPr>
              <w:pStyle w:val="Agbodytext"/>
              <w:rPr>
                <w:color w:val="auto"/>
                <w:lang w:val="en-AU" w:eastAsia="en-AU"/>
              </w:rPr>
            </w:pPr>
            <w:r w:rsidRPr="00270CD2">
              <w:rPr>
                <w:color w:val="auto"/>
                <w:lang w:val="en-AU" w:eastAsia="en-AU"/>
              </w:rPr>
              <w:t xml:space="preserve">Phosphorous deficiency, poor growth, soft bones </w:t>
            </w:r>
            <w:r w:rsidRPr="00270CD2">
              <w:rPr>
                <w:color w:val="auto"/>
                <w:lang w:val="en-AU" w:eastAsia="en-AU"/>
              </w:rPr>
              <w:t>and fractures, infertility</w:t>
            </w:r>
          </w:p>
        </w:tc>
      </w:tr>
      <w:tr w:rsidR="00270CD2" w:rsidRPr="00270CD2" w14:paraId="4480082D" w14:textId="77777777" w:rsidTr="00270CD2">
        <w:tc>
          <w:tcPr>
            <w:tcW w:w="1268" w:type="dxa"/>
            <w:hideMark/>
          </w:tcPr>
          <w:p w14:paraId="31465531" w14:textId="77777777" w:rsidR="00270CD2" w:rsidRPr="00270CD2" w:rsidRDefault="00270CD2" w:rsidP="00270CD2">
            <w:pPr>
              <w:pStyle w:val="Agbodytext"/>
              <w:rPr>
                <w:color w:val="auto"/>
                <w:lang w:val="en-AU" w:eastAsia="en-AU"/>
              </w:rPr>
            </w:pPr>
            <w:r w:rsidRPr="00270CD2">
              <w:rPr>
                <w:color w:val="auto"/>
                <w:lang w:val="en-AU" w:eastAsia="en-AU"/>
              </w:rPr>
              <w:t>Arsenic</w:t>
            </w:r>
          </w:p>
        </w:tc>
        <w:tc>
          <w:tcPr>
            <w:tcW w:w="1077" w:type="dxa"/>
            <w:hideMark/>
          </w:tcPr>
          <w:p w14:paraId="723EF4D1" w14:textId="77777777" w:rsidR="00270CD2" w:rsidRPr="00270CD2" w:rsidRDefault="00270CD2" w:rsidP="00270CD2">
            <w:pPr>
              <w:pStyle w:val="Agbodytext"/>
              <w:rPr>
                <w:color w:val="auto"/>
                <w:lang w:val="en-AU" w:eastAsia="en-AU"/>
              </w:rPr>
            </w:pPr>
            <w:r w:rsidRPr="00270CD2">
              <w:rPr>
                <w:color w:val="auto"/>
                <w:lang w:val="en-AU" w:eastAsia="en-AU"/>
              </w:rPr>
              <w:t> </w:t>
            </w:r>
          </w:p>
        </w:tc>
        <w:tc>
          <w:tcPr>
            <w:tcW w:w="782" w:type="dxa"/>
            <w:hideMark/>
          </w:tcPr>
          <w:p w14:paraId="7442E2B8" w14:textId="77777777" w:rsidR="00270CD2" w:rsidRPr="00270CD2" w:rsidRDefault="00270CD2" w:rsidP="00270CD2">
            <w:pPr>
              <w:pStyle w:val="Agbodytext"/>
              <w:rPr>
                <w:color w:val="auto"/>
                <w:lang w:val="en-AU" w:eastAsia="en-AU"/>
              </w:rPr>
            </w:pPr>
            <w:r w:rsidRPr="00270CD2">
              <w:rPr>
                <w:color w:val="auto"/>
                <w:lang w:val="en-AU" w:eastAsia="en-AU"/>
              </w:rPr>
              <w:t>0.5</w:t>
            </w:r>
          </w:p>
        </w:tc>
        <w:tc>
          <w:tcPr>
            <w:tcW w:w="1688" w:type="dxa"/>
            <w:hideMark/>
          </w:tcPr>
          <w:p w14:paraId="4500A328" w14:textId="77777777" w:rsidR="00270CD2" w:rsidRPr="00270CD2" w:rsidRDefault="00270CD2" w:rsidP="00270CD2">
            <w:pPr>
              <w:pStyle w:val="Agbodytext"/>
              <w:rPr>
                <w:color w:val="auto"/>
                <w:lang w:val="en-AU" w:eastAsia="en-AU"/>
              </w:rPr>
            </w:pPr>
            <w:r w:rsidRPr="00270CD2">
              <w:rPr>
                <w:color w:val="auto"/>
                <w:lang w:val="en-AU" w:eastAsia="en-AU"/>
              </w:rPr>
              <w:t>Diarrhoea, anaemia, poor coordination.</w:t>
            </w:r>
          </w:p>
        </w:tc>
      </w:tr>
      <w:tr w:rsidR="00270CD2" w:rsidRPr="00270CD2" w14:paraId="2CB346D4" w14:textId="77777777" w:rsidTr="00270CD2">
        <w:tc>
          <w:tcPr>
            <w:tcW w:w="1268" w:type="dxa"/>
            <w:hideMark/>
          </w:tcPr>
          <w:p w14:paraId="7EC68D98" w14:textId="77777777" w:rsidR="00270CD2" w:rsidRPr="00270CD2" w:rsidRDefault="00270CD2" w:rsidP="00270CD2">
            <w:pPr>
              <w:pStyle w:val="Agbodytext"/>
              <w:rPr>
                <w:color w:val="auto"/>
                <w:lang w:val="en-AU" w:eastAsia="en-AU"/>
              </w:rPr>
            </w:pPr>
            <w:r w:rsidRPr="00270CD2">
              <w:rPr>
                <w:color w:val="auto"/>
                <w:lang w:val="en-AU" w:eastAsia="en-AU"/>
              </w:rPr>
              <w:t>Copper</w:t>
            </w:r>
          </w:p>
        </w:tc>
        <w:tc>
          <w:tcPr>
            <w:tcW w:w="1077" w:type="dxa"/>
            <w:hideMark/>
          </w:tcPr>
          <w:p w14:paraId="22330BF6" w14:textId="77777777" w:rsidR="00270CD2" w:rsidRPr="00270CD2" w:rsidRDefault="00270CD2" w:rsidP="00270CD2">
            <w:pPr>
              <w:pStyle w:val="Agbodytext"/>
              <w:rPr>
                <w:color w:val="auto"/>
                <w:lang w:val="en-AU" w:eastAsia="en-AU"/>
              </w:rPr>
            </w:pPr>
            <w:r w:rsidRPr="00270CD2">
              <w:rPr>
                <w:color w:val="auto"/>
                <w:lang w:val="en-AU" w:eastAsia="en-AU"/>
              </w:rPr>
              <w:t>1</w:t>
            </w:r>
          </w:p>
        </w:tc>
        <w:tc>
          <w:tcPr>
            <w:tcW w:w="782" w:type="dxa"/>
            <w:hideMark/>
          </w:tcPr>
          <w:p w14:paraId="1B5EAD11" w14:textId="77777777" w:rsidR="00270CD2" w:rsidRPr="00270CD2" w:rsidRDefault="00270CD2" w:rsidP="00270CD2">
            <w:pPr>
              <w:pStyle w:val="Agbodytext"/>
              <w:rPr>
                <w:color w:val="auto"/>
                <w:lang w:val="en-AU" w:eastAsia="en-AU"/>
              </w:rPr>
            </w:pPr>
            <w:r w:rsidRPr="00270CD2">
              <w:rPr>
                <w:color w:val="auto"/>
                <w:lang w:val="en-AU" w:eastAsia="en-AU"/>
              </w:rPr>
              <w:t>0.5</w:t>
            </w:r>
          </w:p>
        </w:tc>
        <w:tc>
          <w:tcPr>
            <w:tcW w:w="1688" w:type="dxa"/>
            <w:hideMark/>
          </w:tcPr>
          <w:p w14:paraId="1A2230B5" w14:textId="77777777" w:rsidR="00270CD2" w:rsidRPr="00270CD2" w:rsidRDefault="00270CD2" w:rsidP="00270CD2">
            <w:pPr>
              <w:pStyle w:val="Agbodytext"/>
              <w:rPr>
                <w:color w:val="auto"/>
                <w:lang w:val="en-AU" w:eastAsia="en-AU"/>
              </w:rPr>
            </w:pPr>
            <w:r w:rsidRPr="00270CD2">
              <w:rPr>
                <w:color w:val="auto"/>
                <w:lang w:val="en-AU" w:eastAsia="en-AU"/>
              </w:rPr>
              <w:t>Liver damage and jaundice, copper accumulation in the liver.</w:t>
            </w:r>
          </w:p>
        </w:tc>
      </w:tr>
      <w:tr w:rsidR="00270CD2" w:rsidRPr="00270CD2" w14:paraId="133D7C07" w14:textId="77777777" w:rsidTr="00270CD2">
        <w:tc>
          <w:tcPr>
            <w:tcW w:w="1268" w:type="dxa"/>
            <w:hideMark/>
          </w:tcPr>
          <w:p w14:paraId="74B0F9E5" w14:textId="77777777" w:rsidR="00270CD2" w:rsidRPr="00270CD2" w:rsidRDefault="00270CD2" w:rsidP="00270CD2">
            <w:pPr>
              <w:pStyle w:val="Agbodytext"/>
              <w:rPr>
                <w:color w:val="auto"/>
                <w:lang w:val="en-AU" w:eastAsia="en-AU"/>
              </w:rPr>
            </w:pPr>
            <w:r w:rsidRPr="00270CD2">
              <w:rPr>
                <w:color w:val="auto"/>
                <w:lang w:val="en-AU" w:eastAsia="en-AU"/>
              </w:rPr>
              <w:t>Fluoride</w:t>
            </w:r>
          </w:p>
        </w:tc>
        <w:tc>
          <w:tcPr>
            <w:tcW w:w="1077" w:type="dxa"/>
            <w:hideMark/>
          </w:tcPr>
          <w:p w14:paraId="446FBFF3" w14:textId="77777777" w:rsidR="00270CD2" w:rsidRPr="00270CD2" w:rsidRDefault="00270CD2" w:rsidP="00270CD2">
            <w:pPr>
              <w:pStyle w:val="Agbodytext"/>
              <w:rPr>
                <w:color w:val="auto"/>
                <w:lang w:val="en-AU" w:eastAsia="en-AU"/>
              </w:rPr>
            </w:pPr>
            <w:r w:rsidRPr="00270CD2">
              <w:rPr>
                <w:color w:val="auto"/>
                <w:lang w:val="en-AU" w:eastAsia="en-AU"/>
              </w:rPr>
              <w:t>1</w:t>
            </w:r>
          </w:p>
        </w:tc>
        <w:tc>
          <w:tcPr>
            <w:tcW w:w="782" w:type="dxa"/>
            <w:hideMark/>
          </w:tcPr>
          <w:p w14:paraId="0E23AD90" w14:textId="77777777" w:rsidR="00270CD2" w:rsidRPr="00270CD2" w:rsidRDefault="00270CD2" w:rsidP="00270CD2">
            <w:pPr>
              <w:pStyle w:val="Agbodytext"/>
              <w:rPr>
                <w:color w:val="auto"/>
                <w:lang w:val="en-AU" w:eastAsia="en-AU"/>
              </w:rPr>
            </w:pPr>
            <w:r w:rsidRPr="00270CD2">
              <w:rPr>
                <w:color w:val="auto"/>
                <w:lang w:val="en-AU" w:eastAsia="en-AU"/>
              </w:rPr>
              <w:t>&gt;2</w:t>
            </w:r>
          </w:p>
        </w:tc>
        <w:tc>
          <w:tcPr>
            <w:tcW w:w="1688" w:type="dxa"/>
            <w:hideMark/>
          </w:tcPr>
          <w:p w14:paraId="09C63074" w14:textId="77777777" w:rsidR="00270CD2" w:rsidRPr="00270CD2" w:rsidRDefault="00270CD2" w:rsidP="00270CD2">
            <w:pPr>
              <w:pStyle w:val="Agbodytext"/>
              <w:rPr>
                <w:color w:val="auto"/>
                <w:lang w:val="en-AU" w:eastAsia="en-AU"/>
              </w:rPr>
            </w:pPr>
            <w:r w:rsidRPr="00270CD2">
              <w:rPr>
                <w:color w:val="auto"/>
                <w:lang w:val="en-AU" w:eastAsia="en-AU"/>
              </w:rPr>
              <w:t>Tooth damage and bone lesions.</w:t>
            </w:r>
          </w:p>
        </w:tc>
      </w:tr>
      <w:tr w:rsidR="00270CD2" w:rsidRPr="00270CD2" w14:paraId="17B347C2" w14:textId="77777777" w:rsidTr="00270CD2">
        <w:tc>
          <w:tcPr>
            <w:tcW w:w="1268" w:type="dxa"/>
            <w:hideMark/>
          </w:tcPr>
          <w:p w14:paraId="38CBE0A0" w14:textId="77777777" w:rsidR="00270CD2" w:rsidRPr="00270CD2" w:rsidRDefault="00270CD2" w:rsidP="00270CD2">
            <w:pPr>
              <w:pStyle w:val="Agbodytext"/>
              <w:rPr>
                <w:color w:val="auto"/>
                <w:lang w:val="en-AU" w:eastAsia="en-AU"/>
              </w:rPr>
            </w:pPr>
            <w:r w:rsidRPr="00270CD2">
              <w:rPr>
                <w:color w:val="auto"/>
                <w:lang w:val="en-AU" w:eastAsia="en-AU"/>
              </w:rPr>
              <w:t>Iron</w:t>
            </w:r>
          </w:p>
        </w:tc>
        <w:tc>
          <w:tcPr>
            <w:tcW w:w="1077" w:type="dxa"/>
            <w:hideMark/>
          </w:tcPr>
          <w:p w14:paraId="007529EE" w14:textId="77777777" w:rsidR="00270CD2" w:rsidRPr="00270CD2" w:rsidRDefault="00270CD2" w:rsidP="00270CD2">
            <w:pPr>
              <w:pStyle w:val="Agbodytext"/>
              <w:rPr>
                <w:color w:val="auto"/>
                <w:lang w:val="en-AU" w:eastAsia="en-AU"/>
              </w:rPr>
            </w:pPr>
            <w:r w:rsidRPr="00270CD2">
              <w:rPr>
                <w:color w:val="auto"/>
                <w:lang w:val="en-AU" w:eastAsia="en-AU"/>
              </w:rPr>
              <w:t>0.3</w:t>
            </w:r>
          </w:p>
        </w:tc>
        <w:tc>
          <w:tcPr>
            <w:tcW w:w="782" w:type="dxa"/>
            <w:hideMark/>
          </w:tcPr>
          <w:p w14:paraId="29D62DBC" w14:textId="77777777" w:rsidR="00270CD2" w:rsidRPr="00270CD2" w:rsidRDefault="00270CD2" w:rsidP="00270CD2">
            <w:pPr>
              <w:pStyle w:val="Agbodytext"/>
              <w:rPr>
                <w:color w:val="auto"/>
                <w:lang w:val="en-AU" w:eastAsia="en-AU"/>
              </w:rPr>
            </w:pPr>
            <w:r w:rsidRPr="00270CD2">
              <w:rPr>
                <w:color w:val="auto"/>
                <w:lang w:val="en-AU" w:eastAsia="en-AU"/>
              </w:rPr>
              <w:t>Low toxicity</w:t>
            </w:r>
          </w:p>
        </w:tc>
        <w:tc>
          <w:tcPr>
            <w:tcW w:w="1688" w:type="dxa"/>
            <w:hideMark/>
          </w:tcPr>
          <w:p w14:paraId="18A54776" w14:textId="77777777" w:rsidR="00270CD2" w:rsidRPr="00270CD2" w:rsidRDefault="00270CD2" w:rsidP="00270CD2">
            <w:pPr>
              <w:pStyle w:val="Agbodytext"/>
              <w:rPr>
                <w:color w:val="auto"/>
                <w:lang w:val="en-AU" w:eastAsia="en-AU"/>
              </w:rPr>
            </w:pPr>
            <w:proofErr w:type="spellStart"/>
            <w:r w:rsidRPr="00270CD2">
              <w:rPr>
                <w:color w:val="auto"/>
                <w:lang w:val="en-AU" w:eastAsia="en-AU"/>
              </w:rPr>
              <w:t>Anemia</w:t>
            </w:r>
            <w:proofErr w:type="spellEnd"/>
            <w:r w:rsidRPr="00270CD2">
              <w:rPr>
                <w:color w:val="auto"/>
                <w:lang w:val="en-AU" w:eastAsia="en-AU"/>
              </w:rPr>
              <w:t>, lethargy, lowered feed intake, reduced weight gain</w:t>
            </w:r>
          </w:p>
        </w:tc>
      </w:tr>
      <w:tr w:rsidR="00270CD2" w:rsidRPr="00270CD2" w14:paraId="07057B0D" w14:textId="77777777" w:rsidTr="00270CD2">
        <w:tc>
          <w:tcPr>
            <w:tcW w:w="1268" w:type="dxa"/>
            <w:hideMark/>
          </w:tcPr>
          <w:p w14:paraId="53D49D0D" w14:textId="77777777" w:rsidR="00270CD2" w:rsidRPr="00270CD2" w:rsidRDefault="00270CD2" w:rsidP="00270CD2">
            <w:pPr>
              <w:pStyle w:val="Agbodytext"/>
              <w:rPr>
                <w:color w:val="auto"/>
                <w:lang w:val="en-AU" w:eastAsia="en-AU"/>
              </w:rPr>
            </w:pPr>
            <w:r w:rsidRPr="00270CD2">
              <w:rPr>
                <w:color w:val="auto"/>
                <w:lang w:val="en-AU" w:eastAsia="en-AU"/>
              </w:rPr>
              <w:t>Lead (notifiable disease)</w:t>
            </w:r>
          </w:p>
        </w:tc>
        <w:tc>
          <w:tcPr>
            <w:tcW w:w="1077" w:type="dxa"/>
            <w:hideMark/>
          </w:tcPr>
          <w:p w14:paraId="1E99ED6E" w14:textId="77777777" w:rsidR="00270CD2" w:rsidRPr="00270CD2" w:rsidRDefault="00270CD2" w:rsidP="00270CD2">
            <w:pPr>
              <w:pStyle w:val="Agbodytext"/>
              <w:rPr>
                <w:color w:val="auto"/>
                <w:lang w:val="en-AU" w:eastAsia="en-AU"/>
              </w:rPr>
            </w:pPr>
            <w:r w:rsidRPr="00270CD2">
              <w:rPr>
                <w:color w:val="auto"/>
                <w:lang w:val="en-AU" w:eastAsia="en-AU"/>
              </w:rPr>
              <w:t>0.015</w:t>
            </w:r>
          </w:p>
        </w:tc>
        <w:tc>
          <w:tcPr>
            <w:tcW w:w="782" w:type="dxa"/>
            <w:hideMark/>
          </w:tcPr>
          <w:p w14:paraId="12364DC2" w14:textId="77777777" w:rsidR="00270CD2" w:rsidRPr="00270CD2" w:rsidRDefault="00270CD2" w:rsidP="00270CD2">
            <w:pPr>
              <w:pStyle w:val="Agbodytext"/>
              <w:rPr>
                <w:color w:val="auto"/>
                <w:lang w:val="en-AU" w:eastAsia="en-AU"/>
              </w:rPr>
            </w:pPr>
            <w:r w:rsidRPr="00270CD2">
              <w:rPr>
                <w:color w:val="auto"/>
                <w:lang w:val="en-AU" w:eastAsia="en-AU"/>
              </w:rPr>
              <w:t>0.1</w:t>
            </w:r>
          </w:p>
        </w:tc>
        <w:tc>
          <w:tcPr>
            <w:tcW w:w="1688" w:type="dxa"/>
            <w:hideMark/>
          </w:tcPr>
          <w:p w14:paraId="4851D92D" w14:textId="77777777" w:rsidR="00270CD2" w:rsidRPr="00270CD2" w:rsidRDefault="00270CD2" w:rsidP="00270CD2">
            <w:pPr>
              <w:pStyle w:val="Agbodytext"/>
              <w:rPr>
                <w:color w:val="auto"/>
                <w:lang w:val="en-AU" w:eastAsia="en-AU"/>
              </w:rPr>
            </w:pPr>
            <w:r w:rsidRPr="00270CD2">
              <w:rPr>
                <w:color w:val="auto"/>
                <w:lang w:val="en-AU" w:eastAsia="en-AU"/>
              </w:rPr>
              <w:t>Reduced coordination, blindness, going off feed.</w:t>
            </w:r>
          </w:p>
        </w:tc>
      </w:tr>
      <w:tr w:rsidR="00270CD2" w:rsidRPr="00270CD2" w14:paraId="6EA757C8" w14:textId="77777777" w:rsidTr="00270CD2">
        <w:tc>
          <w:tcPr>
            <w:tcW w:w="1268" w:type="dxa"/>
            <w:hideMark/>
          </w:tcPr>
          <w:p w14:paraId="784E642E" w14:textId="77777777" w:rsidR="00270CD2" w:rsidRPr="00270CD2" w:rsidRDefault="00270CD2" w:rsidP="00270CD2">
            <w:pPr>
              <w:pStyle w:val="Agbodytext"/>
              <w:rPr>
                <w:color w:val="auto"/>
                <w:lang w:val="en-AU" w:eastAsia="en-AU"/>
              </w:rPr>
            </w:pPr>
            <w:r w:rsidRPr="00270CD2">
              <w:rPr>
                <w:color w:val="auto"/>
                <w:lang w:val="en-AU" w:eastAsia="en-AU"/>
              </w:rPr>
              <w:t>Molybdenum</w:t>
            </w:r>
            <w:r w:rsidRPr="00270CD2">
              <w:rPr>
                <w:color w:val="auto"/>
                <w:lang w:val="en-AU" w:eastAsia="en-AU"/>
              </w:rPr>
              <w:br/>
              <w:t>(related to copper)</w:t>
            </w:r>
          </w:p>
        </w:tc>
        <w:tc>
          <w:tcPr>
            <w:tcW w:w="1077" w:type="dxa"/>
            <w:hideMark/>
          </w:tcPr>
          <w:p w14:paraId="72663D55" w14:textId="77777777" w:rsidR="00270CD2" w:rsidRPr="00270CD2" w:rsidRDefault="00270CD2" w:rsidP="00270CD2">
            <w:pPr>
              <w:pStyle w:val="Agbodytext"/>
              <w:rPr>
                <w:color w:val="auto"/>
                <w:lang w:val="en-AU" w:eastAsia="en-AU"/>
              </w:rPr>
            </w:pPr>
            <w:r w:rsidRPr="00270CD2">
              <w:rPr>
                <w:color w:val="auto"/>
                <w:lang w:val="en-AU" w:eastAsia="en-AU"/>
              </w:rPr>
              <w:t> </w:t>
            </w:r>
          </w:p>
        </w:tc>
        <w:tc>
          <w:tcPr>
            <w:tcW w:w="782" w:type="dxa"/>
            <w:hideMark/>
          </w:tcPr>
          <w:p w14:paraId="574BD333" w14:textId="77777777" w:rsidR="00270CD2" w:rsidRPr="00270CD2" w:rsidRDefault="00270CD2" w:rsidP="00270CD2">
            <w:pPr>
              <w:pStyle w:val="Agbodytext"/>
              <w:rPr>
                <w:color w:val="auto"/>
                <w:lang w:val="en-AU" w:eastAsia="en-AU"/>
              </w:rPr>
            </w:pPr>
            <w:r w:rsidRPr="00270CD2">
              <w:rPr>
                <w:color w:val="auto"/>
                <w:lang w:val="en-AU" w:eastAsia="en-AU"/>
              </w:rPr>
              <w:t>0.15</w:t>
            </w:r>
          </w:p>
        </w:tc>
        <w:tc>
          <w:tcPr>
            <w:tcW w:w="1688" w:type="dxa"/>
            <w:hideMark/>
          </w:tcPr>
          <w:p w14:paraId="12F225F8" w14:textId="77777777" w:rsidR="00270CD2" w:rsidRPr="00270CD2" w:rsidRDefault="00270CD2" w:rsidP="00270CD2">
            <w:pPr>
              <w:pStyle w:val="Agbodytext"/>
              <w:rPr>
                <w:color w:val="auto"/>
                <w:lang w:val="en-AU" w:eastAsia="en-AU"/>
              </w:rPr>
            </w:pPr>
            <w:r w:rsidRPr="00270CD2">
              <w:rPr>
                <w:color w:val="auto"/>
                <w:lang w:val="en-AU" w:eastAsia="en-AU"/>
              </w:rPr>
              <w:t>Scouring and loss of condition. Infertility, skeletal disorders, testicular damage.</w:t>
            </w:r>
          </w:p>
        </w:tc>
      </w:tr>
    </w:tbl>
    <w:p w14:paraId="3845C68B" w14:textId="77777777" w:rsidR="00270CD2" w:rsidRDefault="00270CD2" w:rsidP="00270CD2">
      <w:pPr>
        <w:pStyle w:val="Agbodytext"/>
      </w:pPr>
      <w:r>
        <w:t xml:space="preserve">Adapted from: Australian and New Zealand Environment and Conservation Council, 2000, paper, </w:t>
      </w:r>
      <w:r w:rsidRPr="00270CD2">
        <w:rPr>
          <w:i/>
          <w:iCs/>
        </w:rPr>
        <w:t>Australian and New Zealand Guidelines for fresh and marine water quality</w:t>
      </w:r>
      <w:r>
        <w:t>, Paper No. 4, Volume 3.</w:t>
      </w:r>
    </w:p>
    <w:p w14:paraId="20EC6082" w14:textId="77777777" w:rsidR="00270CD2" w:rsidRDefault="00270CD2" w:rsidP="00270CD2">
      <w:pPr>
        <w:pStyle w:val="Heading2"/>
      </w:pPr>
      <w:r>
        <w:t>pH</w:t>
      </w:r>
    </w:p>
    <w:p w14:paraId="273F2914" w14:textId="77777777" w:rsidR="00270CD2" w:rsidRDefault="00270CD2" w:rsidP="00270CD2">
      <w:pPr>
        <w:pStyle w:val="Agbodytext"/>
      </w:pPr>
      <w:r>
        <w:t>The pH of water is a measure of how acidic or alkaline the water is on a scale of 0 to 14. Readings below 7 are acid, above 7 are alkaline. 0 is the most acid; 14 the most alkaline. Distilled water has a pH of 7 which is called neutral.</w:t>
      </w:r>
    </w:p>
    <w:p w14:paraId="514F95B7" w14:textId="77777777" w:rsidR="00270CD2" w:rsidRDefault="00270CD2" w:rsidP="00270CD2">
      <w:pPr>
        <w:pStyle w:val="Agbodytext"/>
      </w:pPr>
      <w:r>
        <w:t xml:space="preserve">pH is a measure of the relative amount of hydrogen and hydroxide ions in a solution. pH levels above 9 and below 5 increase the availability of toxic elements such as copper and </w:t>
      </w:r>
      <w:proofErr w:type="spellStart"/>
      <w:r>
        <w:t>aluminium</w:t>
      </w:r>
      <w:proofErr w:type="spellEnd"/>
      <w:r>
        <w:t>. Refer to Table 2 for more information.</w:t>
      </w:r>
    </w:p>
    <w:p w14:paraId="3761DD8A" w14:textId="77777777" w:rsidR="00270CD2" w:rsidRDefault="00270CD2" w:rsidP="00270CD2">
      <w:pPr>
        <w:pStyle w:val="Heading2"/>
      </w:pPr>
      <w:r>
        <w:t>Turbidity</w:t>
      </w:r>
    </w:p>
    <w:p w14:paraId="407CC0CA" w14:textId="77777777" w:rsidR="00270CD2" w:rsidRDefault="00270CD2" w:rsidP="00270CD2">
      <w:pPr>
        <w:pStyle w:val="Agbodytext"/>
      </w:pPr>
      <w:r>
        <w:t>Turbidity is a measure of how much light can pass through a sample of water. Turbidity is caused by solid materials being suspended in the water column. These materials include clay, silt, fine organic matter and microscopic organisms (predominately living algae). As well as having a number of physical impacts, highly turbid water is likely to have elevated levels of phosphorus; a key factor in producing algal blooms.</w:t>
      </w:r>
    </w:p>
    <w:p w14:paraId="597A1CFE" w14:textId="77777777" w:rsidR="00270CD2" w:rsidRDefault="00270CD2" w:rsidP="00270CD2">
      <w:pPr>
        <w:pStyle w:val="Agbodytext"/>
      </w:pPr>
      <w:r>
        <w:t xml:space="preserve">Turbidity is measured in NTU’s (Nephelometric Turbidity Units). Clear water will have a measure of approximately 1 NTU, slightly cloudy water approximately 10 NTU, very cloudy water greater than 50 NTU. To avoid the formation of </w:t>
      </w:r>
      <w:r>
        <w:lastRenderedPageBreak/>
        <w:t>sludge in pipes and tanks, livestock managers should avoid using water with turbidity levels above 5 NTU.</w:t>
      </w:r>
    </w:p>
    <w:p w14:paraId="5A396147" w14:textId="77777777" w:rsidR="00270CD2" w:rsidRDefault="00270CD2" w:rsidP="00270CD2">
      <w:pPr>
        <w:pStyle w:val="Heading1"/>
      </w:pPr>
      <w:r>
        <w:t>Livestock water requirements</w:t>
      </w:r>
    </w:p>
    <w:p w14:paraId="6655D3BB" w14:textId="77777777" w:rsidR="00270CD2" w:rsidRDefault="00270CD2" w:rsidP="00270CD2">
      <w:pPr>
        <w:pStyle w:val="Agbodytext"/>
      </w:pPr>
      <w:r>
        <w:t>The water requirement for livestock in a containment area varies from day to day and throughout the year.</w:t>
      </w:r>
    </w:p>
    <w:p w14:paraId="30F04171" w14:textId="6B296529" w:rsidR="00270CD2" w:rsidRDefault="00270CD2" w:rsidP="00270CD2">
      <w:pPr>
        <w:pStyle w:val="Agbodytext"/>
      </w:pPr>
      <w:r>
        <w:t xml:space="preserve">For more information see </w:t>
      </w:r>
      <w:hyperlink r:id="rId12" w:history="1">
        <w:r w:rsidRPr="000B721B">
          <w:rPr>
            <w:rStyle w:val="Hyperlink"/>
          </w:rPr>
          <w:t>https://agriculture.vic.gov.au/farm-management/water/managing-dams/water-quality-for-farm-water-supplies</w:t>
        </w:r>
      </w:hyperlink>
      <w:r>
        <w:t>.</w:t>
      </w:r>
    </w:p>
    <w:p w14:paraId="2C22AF92" w14:textId="77777777" w:rsidR="00270CD2" w:rsidRDefault="00270CD2" w:rsidP="00270CD2">
      <w:pPr>
        <w:pStyle w:val="Agbodytext"/>
      </w:pPr>
      <w:r>
        <w:t>In winter the water needs are much lower than in summer. A mature sheep on dry feed in summer might use 8 to 10 L per day whilst the same animal on dry feed in winter might use less than 4L per day.</w:t>
      </w:r>
    </w:p>
    <w:p w14:paraId="702755CE" w14:textId="77777777" w:rsidR="00270CD2" w:rsidRDefault="00270CD2" w:rsidP="00270CD2">
      <w:pPr>
        <w:pStyle w:val="Agbodytext"/>
      </w:pPr>
      <w:r>
        <w:t>The amount of water used by animals also varies depending on their breed, type, age and weight. Female stock will have an increased demand during pregnancy and lactation. Water consumption is also affected by feed type, distances stock are walking, availability of shade and the quality and temperature of the water.</w:t>
      </w:r>
    </w:p>
    <w:p w14:paraId="01508AA9" w14:textId="77777777" w:rsidR="00270CD2" w:rsidRDefault="00270CD2" w:rsidP="00270CD2">
      <w:pPr>
        <w:pStyle w:val="Agbodytext"/>
      </w:pPr>
      <w:r>
        <w:t>Table 3 lists the maximum water consumption for various classes of stock.</w:t>
      </w:r>
    </w:p>
    <w:p w14:paraId="2E2DD2C1" w14:textId="0E9C803C" w:rsidR="00270CD2" w:rsidRDefault="00270CD2" w:rsidP="00270CD2">
      <w:pPr>
        <w:pStyle w:val="Heading3"/>
      </w:pPr>
      <w:r>
        <w:t>Table 3: Livestock water requirements</w:t>
      </w:r>
    </w:p>
    <w:tbl>
      <w:tblPr>
        <w:tblStyle w:val="TableGrid"/>
        <w:tblW w:w="4877" w:type="dxa"/>
        <w:tblLook w:val="04A0" w:firstRow="1" w:lastRow="0" w:firstColumn="1" w:lastColumn="0" w:noHBand="0" w:noVBand="1"/>
      </w:tblPr>
      <w:tblGrid>
        <w:gridCol w:w="932"/>
        <w:gridCol w:w="1253"/>
        <w:gridCol w:w="1253"/>
        <w:gridCol w:w="1439"/>
      </w:tblGrid>
      <w:tr w:rsidR="00270CD2" w:rsidRPr="00270CD2" w14:paraId="49F21A4A" w14:textId="77777777" w:rsidTr="00270CD2">
        <w:tc>
          <w:tcPr>
            <w:tcW w:w="0" w:type="auto"/>
            <w:shd w:val="clear" w:color="auto" w:fill="D9D9D9" w:themeFill="background1" w:themeFillShade="D9"/>
            <w:hideMark/>
          </w:tcPr>
          <w:p w14:paraId="64599DBA" w14:textId="77777777" w:rsidR="00270CD2" w:rsidRPr="00270CD2" w:rsidRDefault="00270CD2" w:rsidP="00270CD2">
            <w:pPr>
              <w:pStyle w:val="Agbodytext"/>
              <w:rPr>
                <w:b/>
                <w:bCs/>
                <w:lang w:val="en-AU" w:eastAsia="en-AU"/>
              </w:rPr>
            </w:pPr>
            <w:r w:rsidRPr="00270CD2">
              <w:rPr>
                <w:b/>
                <w:bCs/>
                <w:lang w:val="en-AU" w:eastAsia="en-AU"/>
              </w:rPr>
              <w:t>Stock type</w:t>
            </w:r>
          </w:p>
        </w:tc>
        <w:tc>
          <w:tcPr>
            <w:tcW w:w="0" w:type="auto"/>
            <w:shd w:val="clear" w:color="auto" w:fill="D9D9D9" w:themeFill="background1" w:themeFillShade="D9"/>
            <w:hideMark/>
          </w:tcPr>
          <w:p w14:paraId="5D04E3E7" w14:textId="77777777" w:rsidR="00270CD2" w:rsidRPr="00270CD2" w:rsidRDefault="00270CD2" w:rsidP="00270CD2">
            <w:pPr>
              <w:pStyle w:val="Agbodytext"/>
              <w:ind w:right="-42"/>
              <w:rPr>
                <w:b/>
                <w:bCs/>
                <w:lang w:val="en-AU" w:eastAsia="en-AU"/>
              </w:rPr>
            </w:pPr>
            <w:r w:rsidRPr="00270CD2">
              <w:rPr>
                <w:b/>
                <w:bCs/>
                <w:lang w:val="en-AU" w:eastAsia="en-AU"/>
              </w:rPr>
              <w:t>Peak demand (L/head/day)</w:t>
            </w:r>
          </w:p>
        </w:tc>
        <w:tc>
          <w:tcPr>
            <w:tcW w:w="0" w:type="auto"/>
            <w:shd w:val="clear" w:color="auto" w:fill="D9D9D9" w:themeFill="background1" w:themeFillShade="D9"/>
            <w:hideMark/>
          </w:tcPr>
          <w:p w14:paraId="1FA7EE03" w14:textId="77777777" w:rsidR="00270CD2" w:rsidRPr="00270CD2" w:rsidRDefault="00270CD2" w:rsidP="00270CD2">
            <w:pPr>
              <w:pStyle w:val="Agbodytext"/>
              <w:ind w:right="-72"/>
              <w:rPr>
                <w:b/>
                <w:bCs/>
                <w:lang w:val="en-AU" w:eastAsia="en-AU"/>
              </w:rPr>
            </w:pPr>
            <w:r w:rsidRPr="00270CD2">
              <w:rPr>
                <w:b/>
                <w:bCs/>
                <w:lang w:val="en-AU" w:eastAsia="en-AU"/>
              </w:rPr>
              <w:t>Average demand (L/head/day)</w:t>
            </w:r>
          </w:p>
        </w:tc>
        <w:tc>
          <w:tcPr>
            <w:tcW w:w="1439" w:type="dxa"/>
            <w:shd w:val="clear" w:color="auto" w:fill="D9D9D9" w:themeFill="background1" w:themeFillShade="D9"/>
            <w:hideMark/>
          </w:tcPr>
          <w:p w14:paraId="08629B72" w14:textId="77777777" w:rsidR="00270CD2" w:rsidRPr="00270CD2" w:rsidRDefault="00270CD2" w:rsidP="00270CD2">
            <w:pPr>
              <w:pStyle w:val="Agbodytext"/>
              <w:ind w:right="-49"/>
              <w:rPr>
                <w:b/>
                <w:bCs/>
                <w:lang w:val="en-AU" w:eastAsia="en-AU"/>
              </w:rPr>
            </w:pPr>
            <w:r w:rsidRPr="00270CD2">
              <w:rPr>
                <w:b/>
                <w:bCs/>
                <w:lang w:val="en-AU" w:eastAsia="en-AU"/>
              </w:rPr>
              <w:t>Annual demand (KL/head/year)</w:t>
            </w:r>
          </w:p>
        </w:tc>
      </w:tr>
      <w:tr w:rsidR="00270CD2" w:rsidRPr="00270CD2" w14:paraId="49C7E017" w14:textId="77777777" w:rsidTr="00270CD2">
        <w:tc>
          <w:tcPr>
            <w:tcW w:w="0" w:type="auto"/>
            <w:hideMark/>
          </w:tcPr>
          <w:p w14:paraId="67E7535C" w14:textId="77777777" w:rsidR="00270CD2" w:rsidRPr="00270CD2" w:rsidRDefault="00270CD2" w:rsidP="00270CD2">
            <w:pPr>
              <w:pStyle w:val="Agbodytext"/>
              <w:rPr>
                <w:color w:val="auto"/>
                <w:lang w:val="en-AU" w:eastAsia="en-AU"/>
              </w:rPr>
            </w:pPr>
            <w:r w:rsidRPr="00270CD2">
              <w:rPr>
                <w:color w:val="auto"/>
                <w:lang w:val="en-AU" w:eastAsia="en-AU"/>
              </w:rPr>
              <w:t>Dry sheep</w:t>
            </w:r>
          </w:p>
        </w:tc>
        <w:tc>
          <w:tcPr>
            <w:tcW w:w="0" w:type="auto"/>
            <w:hideMark/>
          </w:tcPr>
          <w:p w14:paraId="3075DF64" w14:textId="77777777" w:rsidR="00270CD2" w:rsidRPr="00270CD2" w:rsidRDefault="00270CD2" w:rsidP="00270CD2">
            <w:pPr>
              <w:pStyle w:val="Agbodytext"/>
              <w:rPr>
                <w:color w:val="auto"/>
                <w:lang w:val="en-AU" w:eastAsia="en-AU"/>
              </w:rPr>
            </w:pPr>
            <w:r w:rsidRPr="00270CD2">
              <w:rPr>
                <w:color w:val="auto"/>
                <w:lang w:val="en-AU" w:eastAsia="en-AU"/>
              </w:rPr>
              <w:t>10</w:t>
            </w:r>
          </w:p>
        </w:tc>
        <w:tc>
          <w:tcPr>
            <w:tcW w:w="0" w:type="auto"/>
            <w:hideMark/>
          </w:tcPr>
          <w:p w14:paraId="3507D98B" w14:textId="77777777" w:rsidR="00270CD2" w:rsidRPr="00270CD2" w:rsidRDefault="00270CD2" w:rsidP="00270CD2">
            <w:pPr>
              <w:pStyle w:val="Agbodytext"/>
              <w:rPr>
                <w:color w:val="auto"/>
                <w:lang w:val="en-AU" w:eastAsia="en-AU"/>
              </w:rPr>
            </w:pPr>
            <w:r w:rsidRPr="00270CD2">
              <w:rPr>
                <w:color w:val="auto"/>
                <w:lang w:val="en-AU" w:eastAsia="en-AU"/>
              </w:rPr>
              <w:t>6</w:t>
            </w:r>
          </w:p>
        </w:tc>
        <w:tc>
          <w:tcPr>
            <w:tcW w:w="1439" w:type="dxa"/>
            <w:hideMark/>
          </w:tcPr>
          <w:p w14:paraId="093177A6" w14:textId="77777777" w:rsidR="00270CD2" w:rsidRPr="00270CD2" w:rsidRDefault="00270CD2" w:rsidP="00270CD2">
            <w:pPr>
              <w:pStyle w:val="Agbodytext"/>
              <w:rPr>
                <w:color w:val="auto"/>
                <w:lang w:val="en-AU" w:eastAsia="en-AU"/>
              </w:rPr>
            </w:pPr>
            <w:r w:rsidRPr="00270CD2">
              <w:rPr>
                <w:color w:val="auto"/>
                <w:lang w:val="en-AU" w:eastAsia="en-AU"/>
              </w:rPr>
              <w:t>2.2</w:t>
            </w:r>
          </w:p>
        </w:tc>
      </w:tr>
      <w:tr w:rsidR="00270CD2" w:rsidRPr="00270CD2" w14:paraId="0F6A836C" w14:textId="77777777" w:rsidTr="00270CD2">
        <w:tc>
          <w:tcPr>
            <w:tcW w:w="0" w:type="auto"/>
            <w:hideMark/>
          </w:tcPr>
          <w:p w14:paraId="13ECA275" w14:textId="77777777" w:rsidR="00270CD2" w:rsidRPr="00270CD2" w:rsidRDefault="00270CD2" w:rsidP="00270CD2">
            <w:pPr>
              <w:pStyle w:val="Agbodytext"/>
              <w:rPr>
                <w:color w:val="auto"/>
                <w:lang w:val="en-AU" w:eastAsia="en-AU"/>
              </w:rPr>
            </w:pPr>
            <w:r w:rsidRPr="00270CD2">
              <w:rPr>
                <w:color w:val="auto"/>
                <w:lang w:val="en-AU" w:eastAsia="en-AU"/>
              </w:rPr>
              <w:t>Lactating ewes</w:t>
            </w:r>
          </w:p>
        </w:tc>
        <w:tc>
          <w:tcPr>
            <w:tcW w:w="0" w:type="auto"/>
            <w:hideMark/>
          </w:tcPr>
          <w:p w14:paraId="78211CA5" w14:textId="77777777" w:rsidR="00270CD2" w:rsidRPr="00270CD2" w:rsidRDefault="00270CD2" w:rsidP="00270CD2">
            <w:pPr>
              <w:pStyle w:val="Agbodytext"/>
              <w:rPr>
                <w:color w:val="auto"/>
                <w:lang w:val="en-AU" w:eastAsia="en-AU"/>
              </w:rPr>
            </w:pPr>
            <w:r w:rsidRPr="00270CD2">
              <w:rPr>
                <w:color w:val="auto"/>
                <w:lang w:val="en-AU" w:eastAsia="en-AU"/>
              </w:rPr>
              <w:t>14</w:t>
            </w:r>
          </w:p>
        </w:tc>
        <w:tc>
          <w:tcPr>
            <w:tcW w:w="0" w:type="auto"/>
            <w:hideMark/>
          </w:tcPr>
          <w:p w14:paraId="2954E459" w14:textId="77777777" w:rsidR="00270CD2" w:rsidRPr="00270CD2" w:rsidRDefault="00270CD2" w:rsidP="00270CD2">
            <w:pPr>
              <w:pStyle w:val="Agbodytext"/>
              <w:rPr>
                <w:color w:val="auto"/>
                <w:lang w:val="en-AU" w:eastAsia="en-AU"/>
              </w:rPr>
            </w:pPr>
            <w:r w:rsidRPr="00270CD2">
              <w:rPr>
                <w:color w:val="auto"/>
                <w:lang w:val="en-AU" w:eastAsia="en-AU"/>
              </w:rPr>
              <w:t>10</w:t>
            </w:r>
          </w:p>
        </w:tc>
        <w:tc>
          <w:tcPr>
            <w:tcW w:w="1439" w:type="dxa"/>
            <w:hideMark/>
          </w:tcPr>
          <w:p w14:paraId="38C8EE4B" w14:textId="77777777" w:rsidR="00270CD2" w:rsidRPr="00270CD2" w:rsidRDefault="00270CD2" w:rsidP="00270CD2">
            <w:pPr>
              <w:pStyle w:val="Agbodytext"/>
              <w:rPr>
                <w:color w:val="auto"/>
                <w:lang w:val="en-AU" w:eastAsia="en-AU"/>
              </w:rPr>
            </w:pPr>
            <w:r w:rsidRPr="00270CD2">
              <w:rPr>
                <w:color w:val="auto"/>
                <w:lang w:val="en-AU" w:eastAsia="en-AU"/>
              </w:rPr>
              <w:t>3.7</w:t>
            </w:r>
          </w:p>
        </w:tc>
      </w:tr>
      <w:tr w:rsidR="00270CD2" w:rsidRPr="00270CD2" w14:paraId="62090370" w14:textId="77777777" w:rsidTr="00270CD2">
        <w:tc>
          <w:tcPr>
            <w:tcW w:w="0" w:type="auto"/>
            <w:hideMark/>
          </w:tcPr>
          <w:p w14:paraId="0440875A" w14:textId="77777777" w:rsidR="00270CD2" w:rsidRPr="00270CD2" w:rsidRDefault="00270CD2" w:rsidP="00270CD2">
            <w:pPr>
              <w:pStyle w:val="Agbodytext"/>
              <w:rPr>
                <w:color w:val="auto"/>
                <w:lang w:val="en-AU" w:eastAsia="en-AU"/>
              </w:rPr>
            </w:pPr>
            <w:r w:rsidRPr="00270CD2">
              <w:rPr>
                <w:color w:val="auto"/>
                <w:lang w:val="en-AU" w:eastAsia="en-AU"/>
              </w:rPr>
              <w:t>Weaner lambs</w:t>
            </w:r>
          </w:p>
        </w:tc>
        <w:tc>
          <w:tcPr>
            <w:tcW w:w="0" w:type="auto"/>
            <w:hideMark/>
          </w:tcPr>
          <w:p w14:paraId="3A953541" w14:textId="77777777" w:rsidR="00270CD2" w:rsidRPr="00270CD2" w:rsidRDefault="00270CD2" w:rsidP="00270CD2">
            <w:pPr>
              <w:pStyle w:val="Agbodytext"/>
              <w:rPr>
                <w:color w:val="auto"/>
                <w:lang w:val="en-AU" w:eastAsia="en-AU"/>
              </w:rPr>
            </w:pPr>
            <w:r w:rsidRPr="00270CD2">
              <w:rPr>
                <w:color w:val="auto"/>
                <w:lang w:val="en-AU" w:eastAsia="en-AU"/>
              </w:rPr>
              <w:t>6</w:t>
            </w:r>
          </w:p>
        </w:tc>
        <w:tc>
          <w:tcPr>
            <w:tcW w:w="0" w:type="auto"/>
            <w:hideMark/>
          </w:tcPr>
          <w:p w14:paraId="0928C2E0" w14:textId="77777777" w:rsidR="00270CD2" w:rsidRPr="00270CD2" w:rsidRDefault="00270CD2" w:rsidP="00270CD2">
            <w:pPr>
              <w:pStyle w:val="Agbodytext"/>
              <w:rPr>
                <w:color w:val="auto"/>
                <w:lang w:val="en-AU" w:eastAsia="en-AU"/>
              </w:rPr>
            </w:pPr>
            <w:r w:rsidRPr="00270CD2">
              <w:rPr>
                <w:color w:val="auto"/>
                <w:lang w:val="en-AU" w:eastAsia="en-AU"/>
              </w:rPr>
              <w:t>4</w:t>
            </w:r>
          </w:p>
        </w:tc>
        <w:tc>
          <w:tcPr>
            <w:tcW w:w="1439" w:type="dxa"/>
            <w:hideMark/>
          </w:tcPr>
          <w:p w14:paraId="7BC8D10E" w14:textId="77777777" w:rsidR="00270CD2" w:rsidRPr="00270CD2" w:rsidRDefault="00270CD2" w:rsidP="00270CD2">
            <w:pPr>
              <w:pStyle w:val="Agbodytext"/>
              <w:rPr>
                <w:color w:val="auto"/>
                <w:lang w:val="en-AU" w:eastAsia="en-AU"/>
              </w:rPr>
            </w:pPr>
            <w:r w:rsidRPr="00270CD2">
              <w:rPr>
                <w:color w:val="auto"/>
                <w:lang w:val="en-AU" w:eastAsia="en-AU"/>
              </w:rPr>
              <w:t>1.5</w:t>
            </w:r>
          </w:p>
        </w:tc>
      </w:tr>
      <w:tr w:rsidR="00270CD2" w:rsidRPr="00270CD2" w14:paraId="18140871" w14:textId="77777777" w:rsidTr="00270CD2">
        <w:tc>
          <w:tcPr>
            <w:tcW w:w="0" w:type="auto"/>
            <w:hideMark/>
          </w:tcPr>
          <w:p w14:paraId="0ED5DB8C" w14:textId="77777777" w:rsidR="00270CD2" w:rsidRPr="00270CD2" w:rsidRDefault="00270CD2" w:rsidP="00270CD2">
            <w:pPr>
              <w:pStyle w:val="Agbodytext"/>
              <w:rPr>
                <w:color w:val="auto"/>
                <w:lang w:val="en-AU" w:eastAsia="en-AU"/>
              </w:rPr>
            </w:pPr>
            <w:r w:rsidRPr="00270CD2">
              <w:rPr>
                <w:color w:val="auto"/>
                <w:lang w:val="en-AU" w:eastAsia="en-AU"/>
              </w:rPr>
              <w:t>Dry cattle</w:t>
            </w:r>
          </w:p>
        </w:tc>
        <w:tc>
          <w:tcPr>
            <w:tcW w:w="0" w:type="auto"/>
            <w:hideMark/>
          </w:tcPr>
          <w:p w14:paraId="3D544700" w14:textId="77777777" w:rsidR="00270CD2" w:rsidRPr="00270CD2" w:rsidRDefault="00270CD2" w:rsidP="00270CD2">
            <w:pPr>
              <w:pStyle w:val="Agbodytext"/>
              <w:rPr>
                <w:color w:val="auto"/>
                <w:lang w:val="en-AU" w:eastAsia="en-AU"/>
              </w:rPr>
            </w:pPr>
            <w:r w:rsidRPr="00270CD2">
              <w:rPr>
                <w:color w:val="auto"/>
                <w:lang w:val="en-AU" w:eastAsia="en-AU"/>
              </w:rPr>
              <w:t>100</w:t>
            </w:r>
          </w:p>
        </w:tc>
        <w:tc>
          <w:tcPr>
            <w:tcW w:w="0" w:type="auto"/>
            <w:hideMark/>
          </w:tcPr>
          <w:p w14:paraId="6534AD3B" w14:textId="77777777" w:rsidR="00270CD2" w:rsidRPr="00270CD2" w:rsidRDefault="00270CD2" w:rsidP="00270CD2">
            <w:pPr>
              <w:pStyle w:val="Agbodytext"/>
              <w:rPr>
                <w:color w:val="auto"/>
                <w:lang w:val="en-AU" w:eastAsia="en-AU"/>
              </w:rPr>
            </w:pPr>
            <w:r w:rsidRPr="00270CD2">
              <w:rPr>
                <w:color w:val="auto"/>
                <w:lang w:val="en-AU" w:eastAsia="en-AU"/>
              </w:rPr>
              <w:t>80</w:t>
            </w:r>
          </w:p>
        </w:tc>
        <w:tc>
          <w:tcPr>
            <w:tcW w:w="1439" w:type="dxa"/>
            <w:hideMark/>
          </w:tcPr>
          <w:p w14:paraId="30E68F4B" w14:textId="77777777" w:rsidR="00270CD2" w:rsidRPr="00270CD2" w:rsidRDefault="00270CD2" w:rsidP="00270CD2">
            <w:pPr>
              <w:pStyle w:val="Agbodytext"/>
              <w:rPr>
                <w:color w:val="auto"/>
                <w:lang w:val="en-AU" w:eastAsia="en-AU"/>
              </w:rPr>
            </w:pPr>
            <w:r w:rsidRPr="00270CD2">
              <w:rPr>
                <w:color w:val="auto"/>
                <w:lang w:val="en-AU" w:eastAsia="en-AU"/>
              </w:rPr>
              <w:t>29.2</w:t>
            </w:r>
          </w:p>
        </w:tc>
      </w:tr>
      <w:tr w:rsidR="00270CD2" w:rsidRPr="00270CD2" w14:paraId="177BB36F" w14:textId="77777777" w:rsidTr="00270CD2">
        <w:tc>
          <w:tcPr>
            <w:tcW w:w="0" w:type="auto"/>
            <w:hideMark/>
          </w:tcPr>
          <w:p w14:paraId="53948282" w14:textId="77777777" w:rsidR="00270CD2" w:rsidRPr="00270CD2" w:rsidRDefault="00270CD2" w:rsidP="00270CD2">
            <w:pPr>
              <w:pStyle w:val="Agbodytext"/>
              <w:rPr>
                <w:color w:val="auto"/>
                <w:lang w:val="en-AU" w:eastAsia="en-AU"/>
              </w:rPr>
            </w:pPr>
            <w:r w:rsidRPr="00270CD2">
              <w:rPr>
                <w:color w:val="auto"/>
                <w:lang w:val="en-AU" w:eastAsia="en-AU"/>
              </w:rPr>
              <w:t>Lactating cattle</w:t>
            </w:r>
          </w:p>
        </w:tc>
        <w:tc>
          <w:tcPr>
            <w:tcW w:w="0" w:type="auto"/>
            <w:hideMark/>
          </w:tcPr>
          <w:p w14:paraId="035F9C8F" w14:textId="77777777" w:rsidR="00270CD2" w:rsidRPr="00270CD2" w:rsidRDefault="00270CD2" w:rsidP="00270CD2">
            <w:pPr>
              <w:pStyle w:val="Agbodytext"/>
              <w:rPr>
                <w:color w:val="auto"/>
                <w:lang w:val="en-AU" w:eastAsia="en-AU"/>
              </w:rPr>
            </w:pPr>
            <w:r w:rsidRPr="00270CD2">
              <w:rPr>
                <w:color w:val="auto"/>
                <w:lang w:val="en-AU" w:eastAsia="en-AU"/>
              </w:rPr>
              <w:t>120</w:t>
            </w:r>
          </w:p>
        </w:tc>
        <w:tc>
          <w:tcPr>
            <w:tcW w:w="0" w:type="auto"/>
            <w:hideMark/>
          </w:tcPr>
          <w:p w14:paraId="0605B993" w14:textId="77777777" w:rsidR="00270CD2" w:rsidRPr="00270CD2" w:rsidRDefault="00270CD2" w:rsidP="00270CD2">
            <w:pPr>
              <w:pStyle w:val="Agbodytext"/>
              <w:rPr>
                <w:color w:val="auto"/>
                <w:lang w:val="en-AU" w:eastAsia="en-AU"/>
              </w:rPr>
            </w:pPr>
            <w:r w:rsidRPr="00270CD2">
              <w:rPr>
                <w:color w:val="auto"/>
                <w:lang w:val="en-AU" w:eastAsia="en-AU"/>
              </w:rPr>
              <w:t>100</w:t>
            </w:r>
          </w:p>
        </w:tc>
        <w:tc>
          <w:tcPr>
            <w:tcW w:w="1439" w:type="dxa"/>
            <w:hideMark/>
          </w:tcPr>
          <w:p w14:paraId="24ACE28B" w14:textId="77777777" w:rsidR="00270CD2" w:rsidRPr="00270CD2" w:rsidRDefault="00270CD2" w:rsidP="00270CD2">
            <w:pPr>
              <w:pStyle w:val="Agbodytext"/>
              <w:rPr>
                <w:color w:val="auto"/>
                <w:lang w:val="en-AU" w:eastAsia="en-AU"/>
              </w:rPr>
            </w:pPr>
            <w:r w:rsidRPr="00270CD2">
              <w:rPr>
                <w:color w:val="auto"/>
                <w:lang w:val="en-AU" w:eastAsia="en-AU"/>
              </w:rPr>
              <w:t>36.5</w:t>
            </w:r>
          </w:p>
        </w:tc>
      </w:tr>
      <w:tr w:rsidR="00270CD2" w:rsidRPr="00270CD2" w14:paraId="77A17D81" w14:textId="77777777" w:rsidTr="00270CD2">
        <w:tc>
          <w:tcPr>
            <w:tcW w:w="0" w:type="auto"/>
            <w:hideMark/>
          </w:tcPr>
          <w:p w14:paraId="7F9F60FE" w14:textId="77777777" w:rsidR="00270CD2" w:rsidRPr="00270CD2" w:rsidRDefault="00270CD2" w:rsidP="00270CD2">
            <w:pPr>
              <w:pStyle w:val="Agbodytext"/>
              <w:rPr>
                <w:color w:val="auto"/>
                <w:lang w:val="en-AU" w:eastAsia="en-AU"/>
              </w:rPr>
            </w:pPr>
            <w:r w:rsidRPr="00270CD2">
              <w:rPr>
                <w:color w:val="auto"/>
                <w:lang w:val="en-AU" w:eastAsia="en-AU"/>
              </w:rPr>
              <w:t>Weaner calves</w:t>
            </w:r>
          </w:p>
        </w:tc>
        <w:tc>
          <w:tcPr>
            <w:tcW w:w="0" w:type="auto"/>
            <w:hideMark/>
          </w:tcPr>
          <w:p w14:paraId="2058EEE8" w14:textId="77777777" w:rsidR="00270CD2" w:rsidRPr="00270CD2" w:rsidRDefault="00270CD2" w:rsidP="00270CD2">
            <w:pPr>
              <w:pStyle w:val="Agbodytext"/>
              <w:rPr>
                <w:color w:val="auto"/>
                <w:lang w:val="en-AU" w:eastAsia="en-AU"/>
              </w:rPr>
            </w:pPr>
            <w:r w:rsidRPr="00270CD2">
              <w:rPr>
                <w:color w:val="auto"/>
                <w:lang w:val="en-AU" w:eastAsia="en-AU"/>
              </w:rPr>
              <w:t>70</w:t>
            </w:r>
          </w:p>
        </w:tc>
        <w:tc>
          <w:tcPr>
            <w:tcW w:w="0" w:type="auto"/>
            <w:hideMark/>
          </w:tcPr>
          <w:p w14:paraId="0ED1ECDC" w14:textId="77777777" w:rsidR="00270CD2" w:rsidRPr="00270CD2" w:rsidRDefault="00270CD2" w:rsidP="00270CD2">
            <w:pPr>
              <w:pStyle w:val="Agbodytext"/>
              <w:rPr>
                <w:color w:val="auto"/>
                <w:lang w:val="en-AU" w:eastAsia="en-AU"/>
              </w:rPr>
            </w:pPr>
            <w:r w:rsidRPr="00270CD2">
              <w:rPr>
                <w:color w:val="auto"/>
                <w:lang w:val="en-AU" w:eastAsia="en-AU"/>
              </w:rPr>
              <w:t>55</w:t>
            </w:r>
          </w:p>
        </w:tc>
        <w:tc>
          <w:tcPr>
            <w:tcW w:w="1439" w:type="dxa"/>
            <w:hideMark/>
          </w:tcPr>
          <w:p w14:paraId="26787EB4" w14:textId="77777777" w:rsidR="00270CD2" w:rsidRPr="00270CD2" w:rsidRDefault="00270CD2" w:rsidP="00270CD2">
            <w:pPr>
              <w:pStyle w:val="Agbodytext"/>
              <w:rPr>
                <w:color w:val="auto"/>
                <w:lang w:val="en-AU" w:eastAsia="en-AU"/>
              </w:rPr>
            </w:pPr>
            <w:r w:rsidRPr="00270CD2">
              <w:rPr>
                <w:color w:val="auto"/>
                <w:lang w:val="en-AU" w:eastAsia="en-AU"/>
              </w:rPr>
              <w:t>20.1</w:t>
            </w:r>
          </w:p>
        </w:tc>
      </w:tr>
    </w:tbl>
    <w:p w14:paraId="4FF3B0C4" w14:textId="77777777" w:rsidR="00270CD2" w:rsidRDefault="00270CD2" w:rsidP="00270CD2">
      <w:pPr>
        <w:pStyle w:val="Agbodytext"/>
      </w:pPr>
      <w:r>
        <w:t xml:space="preserve">Adapted from: Agriculture Victoria, 2016, booklet, </w:t>
      </w:r>
      <w:r w:rsidRPr="00270CD2">
        <w:rPr>
          <w:i/>
          <w:iCs/>
        </w:rPr>
        <w:t>Managing farm water supplies</w:t>
      </w:r>
      <w:r>
        <w:t>.</w:t>
      </w:r>
    </w:p>
    <w:p w14:paraId="5E16057A" w14:textId="77777777" w:rsidR="00270CD2" w:rsidRDefault="00270CD2" w:rsidP="00270CD2">
      <w:pPr>
        <w:pStyle w:val="Heading1"/>
      </w:pPr>
      <w:r>
        <w:t>Peak demand</w:t>
      </w:r>
    </w:p>
    <w:p w14:paraId="0DDD00CD" w14:textId="77777777" w:rsidR="00270CD2" w:rsidRDefault="00270CD2" w:rsidP="00270CD2">
      <w:pPr>
        <w:pStyle w:val="Agbodytext"/>
      </w:pPr>
      <w:r>
        <w:t>Knowing the daily peak demand is essential when designing a reticulated water supply system. This information is needed to ensure the correct size of pumps, tanks, troughs and pipelines.</w:t>
      </w:r>
    </w:p>
    <w:p w14:paraId="767B052A" w14:textId="77777777" w:rsidR="00270CD2" w:rsidRDefault="00270CD2" w:rsidP="00270CD2">
      <w:pPr>
        <w:pStyle w:val="Agbodytext"/>
      </w:pPr>
      <w:r>
        <w:t>A reticulated water supply system needs to deliver the daily peak demand in 4 hours. This is to ensure all stock have a chance to drink on a regular basis.</w:t>
      </w:r>
    </w:p>
    <w:p w14:paraId="5F884F46" w14:textId="77777777" w:rsidR="00270CD2" w:rsidRDefault="00270CD2" w:rsidP="00270CD2">
      <w:pPr>
        <w:pStyle w:val="Agbodytext"/>
      </w:pPr>
      <w:r>
        <w:t>As an example the minimum flow rate required in a stock containment area is:</w:t>
      </w:r>
    </w:p>
    <w:p w14:paraId="7E986D73" w14:textId="77777777" w:rsidR="00270CD2" w:rsidRDefault="00270CD2" w:rsidP="00270CD2">
      <w:pPr>
        <w:pStyle w:val="Agbulletlist"/>
      </w:pPr>
      <w:r>
        <w:t>21L per min for 500 dry sheep</w:t>
      </w:r>
    </w:p>
    <w:p w14:paraId="38ABDE59" w14:textId="77777777" w:rsidR="00270CD2" w:rsidRDefault="00270CD2" w:rsidP="00270CD2">
      <w:pPr>
        <w:pStyle w:val="Agbulletlist"/>
      </w:pPr>
      <w:r>
        <w:t>67L per min for 160 dry cattle.</w:t>
      </w:r>
    </w:p>
    <w:p w14:paraId="347DC2B1" w14:textId="77777777" w:rsidR="00270CD2" w:rsidRDefault="00270CD2" w:rsidP="00270CD2">
      <w:pPr>
        <w:pStyle w:val="Heading2"/>
      </w:pPr>
      <w:r>
        <w:t>Water supply design</w:t>
      </w:r>
    </w:p>
    <w:p w14:paraId="57A2C948" w14:textId="77777777" w:rsidR="00270CD2" w:rsidRDefault="00270CD2" w:rsidP="00270CD2">
      <w:pPr>
        <w:pStyle w:val="Agbodytext"/>
      </w:pPr>
      <w:r>
        <w:t>Water for a stock containment area can originate from a variety of sources including:</w:t>
      </w:r>
    </w:p>
    <w:p w14:paraId="68B755BD" w14:textId="77777777" w:rsidR="00270CD2" w:rsidRDefault="00270CD2" w:rsidP="00270CD2">
      <w:pPr>
        <w:pStyle w:val="Agbulletlist"/>
      </w:pPr>
      <w:r>
        <w:t>public pipelines</w:t>
      </w:r>
    </w:p>
    <w:p w14:paraId="5C6120AE" w14:textId="77777777" w:rsidR="00270CD2" w:rsidRDefault="00270CD2" w:rsidP="00270CD2">
      <w:pPr>
        <w:pStyle w:val="Agbulletlist"/>
      </w:pPr>
      <w:r>
        <w:t>groundwater</w:t>
      </w:r>
    </w:p>
    <w:p w14:paraId="152F9811" w14:textId="77777777" w:rsidR="00270CD2" w:rsidRDefault="00270CD2" w:rsidP="00270CD2">
      <w:pPr>
        <w:pStyle w:val="Agbulletlist"/>
      </w:pPr>
      <w:r>
        <w:t>rivers</w:t>
      </w:r>
    </w:p>
    <w:p w14:paraId="5DE98A62" w14:textId="77777777" w:rsidR="00270CD2" w:rsidRDefault="00270CD2" w:rsidP="00270CD2">
      <w:pPr>
        <w:pStyle w:val="Agbulletlist"/>
      </w:pPr>
      <w:r>
        <w:t>streams</w:t>
      </w:r>
    </w:p>
    <w:p w14:paraId="636EB302" w14:textId="77777777" w:rsidR="00270CD2" w:rsidRDefault="00270CD2" w:rsidP="00270CD2">
      <w:pPr>
        <w:pStyle w:val="Agbulletlist"/>
      </w:pPr>
      <w:r>
        <w:t>farm dams.</w:t>
      </w:r>
    </w:p>
    <w:p w14:paraId="28D632AA" w14:textId="77777777" w:rsidR="00270CD2" w:rsidRDefault="00270CD2" w:rsidP="00270CD2">
      <w:pPr>
        <w:pStyle w:val="Agbodytext"/>
      </w:pPr>
      <w:r>
        <w:t>When planning for a stock containment area it is important to consider:</w:t>
      </w:r>
    </w:p>
    <w:p w14:paraId="2485814A" w14:textId="77777777" w:rsidR="00270CD2" w:rsidRDefault="00270CD2" w:rsidP="00270CD2">
      <w:pPr>
        <w:pStyle w:val="Agbulletlist"/>
      </w:pPr>
      <w:r>
        <w:t>quality</w:t>
      </w:r>
    </w:p>
    <w:p w14:paraId="30BDB539" w14:textId="77777777" w:rsidR="00270CD2" w:rsidRDefault="00270CD2" w:rsidP="00270CD2">
      <w:pPr>
        <w:pStyle w:val="Agbulletlist"/>
      </w:pPr>
      <w:r>
        <w:t>quantity</w:t>
      </w:r>
    </w:p>
    <w:p w14:paraId="78DE0E2A" w14:textId="77777777" w:rsidR="00270CD2" w:rsidRDefault="00270CD2" w:rsidP="00270CD2">
      <w:pPr>
        <w:pStyle w:val="Agbulletlist"/>
      </w:pPr>
      <w:r>
        <w:t>reliability.</w:t>
      </w:r>
    </w:p>
    <w:p w14:paraId="79D265E1" w14:textId="77777777" w:rsidR="00270CD2" w:rsidRDefault="00270CD2" w:rsidP="00270CD2">
      <w:pPr>
        <w:pStyle w:val="Agbodytext"/>
      </w:pPr>
      <w:r>
        <w:t>The water supply system should ideally be fed by gravity and have at least 4 days of storage in reserve. A typical set-up consists of 1 or more tanks located on a nearby hill or adjacent to the stock containment area. In flat country, tanks can be placed on a mound of earth to provide adequate pressure.</w:t>
      </w:r>
    </w:p>
    <w:p w14:paraId="3D4157E3" w14:textId="77777777" w:rsidR="00270CD2" w:rsidRDefault="00270CD2" w:rsidP="00270CD2">
      <w:pPr>
        <w:pStyle w:val="Agbodytext"/>
      </w:pPr>
      <w:r>
        <w:t>The pipes and fittings need to be large enough to ensure peak flow rates can be met simultaneously at all outlets within the stock containment area.</w:t>
      </w:r>
    </w:p>
    <w:p w14:paraId="2FFD071A" w14:textId="77777777" w:rsidR="00270CD2" w:rsidRDefault="00270CD2" w:rsidP="00270CD2">
      <w:pPr>
        <w:pStyle w:val="Heading1"/>
      </w:pPr>
      <w:r>
        <w:t>Troughs</w:t>
      </w:r>
    </w:p>
    <w:p w14:paraId="190641AC" w14:textId="77777777" w:rsidR="00270CD2" w:rsidRDefault="00270CD2" w:rsidP="00270CD2">
      <w:pPr>
        <w:pStyle w:val="Agbodytext"/>
      </w:pPr>
      <w:r>
        <w:t>Well-designed water troughs are an essential component of a stock containment area.</w:t>
      </w:r>
    </w:p>
    <w:p w14:paraId="707233C3" w14:textId="77777777" w:rsidR="00270CD2" w:rsidRDefault="00270CD2" w:rsidP="00270CD2">
      <w:pPr>
        <w:pStyle w:val="Agbodytext"/>
      </w:pPr>
      <w:r>
        <w:t>Troughs and associated fittings need to be high quality, durable and livestock proof.</w:t>
      </w:r>
    </w:p>
    <w:p w14:paraId="61B993EF" w14:textId="77777777" w:rsidR="00270CD2" w:rsidRDefault="00270CD2" w:rsidP="00270CD2">
      <w:pPr>
        <w:pStyle w:val="Heading2"/>
      </w:pPr>
      <w:r>
        <w:t>Size</w:t>
      </w:r>
    </w:p>
    <w:p w14:paraId="276D2838" w14:textId="77777777" w:rsidR="00270CD2" w:rsidRDefault="00270CD2" w:rsidP="00270CD2">
      <w:pPr>
        <w:pStyle w:val="Agbodytext"/>
      </w:pPr>
      <w:r>
        <w:t xml:space="preserve">Troughs need to be a sufficient size to allow all stock to drink on a regular basis. Typically a suitable trough for 500 sheep or 160 cattle would have 8 to 10 </w:t>
      </w:r>
      <w:proofErr w:type="spellStart"/>
      <w:r>
        <w:t>metres</w:t>
      </w:r>
      <w:proofErr w:type="spellEnd"/>
      <w:r>
        <w:t xml:space="preserve"> of accessible </w:t>
      </w:r>
      <w:proofErr w:type="spellStart"/>
      <w:r>
        <w:t>trough</w:t>
      </w:r>
      <w:proofErr w:type="spellEnd"/>
      <w:r>
        <w:t xml:space="preserve"> edge with a storage capacity of 400 to 600 </w:t>
      </w:r>
      <w:proofErr w:type="spellStart"/>
      <w:r>
        <w:t>litres</w:t>
      </w:r>
      <w:proofErr w:type="spellEnd"/>
      <w:r>
        <w:t>.</w:t>
      </w:r>
    </w:p>
    <w:p w14:paraId="79226E70" w14:textId="77777777" w:rsidR="00270CD2" w:rsidRDefault="00270CD2" w:rsidP="00270CD2">
      <w:pPr>
        <w:pStyle w:val="Heading2"/>
      </w:pPr>
      <w:r>
        <w:t>Maintenance</w:t>
      </w:r>
    </w:p>
    <w:p w14:paraId="38F3B0F4" w14:textId="77777777" w:rsidR="00270CD2" w:rsidRDefault="00270CD2" w:rsidP="00270CD2">
      <w:pPr>
        <w:pStyle w:val="Agbodytext"/>
      </w:pPr>
      <w:r>
        <w:lastRenderedPageBreak/>
        <w:t>Troughs need to be emptied and cleaned every 1 to 2 days. A long shallow trough with a smooth internal profile, gate valve and large outlet bung will make cleaning quick and efficient.</w:t>
      </w:r>
    </w:p>
    <w:p w14:paraId="4219B219" w14:textId="77777777" w:rsidR="00270CD2" w:rsidRDefault="00270CD2" w:rsidP="00270CD2">
      <w:pPr>
        <w:pStyle w:val="Heading2"/>
      </w:pPr>
      <w:r>
        <w:t>Water levels</w:t>
      </w:r>
    </w:p>
    <w:p w14:paraId="6ED23A3A" w14:textId="77777777" w:rsidR="00270CD2" w:rsidRDefault="00270CD2" w:rsidP="00270CD2">
      <w:pPr>
        <w:pStyle w:val="Agbodytext"/>
      </w:pPr>
      <w:r>
        <w:t>The water level in the trough must be kept close to full at all times. This requires a well-designed water supply system along with a suitable trough outlet or float valve. The float valve must be high quality, have an appropriate capacity and pressure rating and be fully protected with a durable, stock-proof cover.</w:t>
      </w:r>
    </w:p>
    <w:p w14:paraId="267F5901" w14:textId="77777777" w:rsidR="00270CD2" w:rsidRDefault="00270CD2" w:rsidP="00270CD2">
      <w:pPr>
        <w:pStyle w:val="Heading2"/>
      </w:pPr>
      <w:r>
        <w:t>Construction</w:t>
      </w:r>
    </w:p>
    <w:p w14:paraId="7E86526D" w14:textId="77777777" w:rsidR="00270CD2" w:rsidRDefault="00270CD2" w:rsidP="00270CD2">
      <w:pPr>
        <w:pStyle w:val="Agbodytext"/>
      </w:pPr>
      <w:r>
        <w:t>Stock troughs are commonly constructed from steel, concrete and polyethylene.</w:t>
      </w:r>
    </w:p>
    <w:p w14:paraId="7FD388D2" w14:textId="77777777" w:rsidR="00270CD2" w:rsidRDefault="00270CD2" w:rsidP="00270CD2">
      <w:pPr>
        <w:pStyle w:val="Agbodytext"/>
      </w:pPr>
      <w:r>
        <w:t>Concrete is the preferred material because of its durability, strength and ability to maintain water at a more constant temperature.</w:t>
      </w:r>
    </w:p>
    <w:p w14:paraId="11CF2A78" w14:textId="77777777" w:rsidR="00270CD2" w:rsidRDefault="00270CD2" w:rsidP="00270CD2">
      <w:pPr>
        <w:pStyle w:val="Agbodytext"/>
      </w:pPr>
      <w:r>
        <w:t>Plumbing fittings such as taps, risers and elbows can be easily damaged by stock. These fittings need to be high quality, securely fixed to the trough or be protected with a suitable cover. The preferred option is to select a trough where all the fittings are fully enclosed within the trough design.</w:t>
      </w:r>
    </w:p>
    <w:p w14:paraId="498AF22C" w14:textId="77777777" w:rsidR="00270CD2" w:rsidRDefault="00270CD2" w:rsidP="00270CD2">
      <w:pPr>
        <w:pStyle w:val="Heading2"/>
      </w:pPr>
      <w:r>
        <w:t>Location</w:t>
      </w:r>
    </w:p>
    <w:p w14:paraId="727963C3" w14:textId="77777777" w:rsidR="00270CD2" w:rsidRDefault="00270CD2" w:rsidP="00270CD2">
      <w:pPr>
        <w:pStyle w:val="Agbodytext"/>
      </w:pPr>
      <w:r>
        <w:t xml:space="preserve">Troughs should be placed on a raised pad of gravel, stone or concrete to ensure good drainage and stability. They should also be located away from feeding areas to </w:t>
      </w:r>
      <w:proofErr w:type="spellStart"/>
      <w:r>
        <w:t>minimise</w:t>
      </w:r>
      <w:proofErr w:type="spellEnd"/>
      <w:r>
        <w:t xml:space="preserve"> water contamination.</w:t>
      </w:r>
    </w:p>
    <w:p w14:paraId="1A7D44F4" w14:textId="77777777" w:rsidR="00270CD2" w:rsidRDefault="00270CD2" w:rsidP="00270CD2">
      <w:pPr>
        <w:pStyle w:val="Heading1"/>
      </w:pPr>
      <w:r>
        <w:t>More information</w:t>
      </w:r>
    </w:p>
    <w:p w14:paraId="71634C84" w14:textId="52CB1437" w:rsidR="00270CD2" w:rsidRDefault="00270CD2" w:rsidP="00270CD2">
      <w:pPr>
        <w:pStyle w:val="Agbodytext"/>
      </w:pPr>
      <w:r>
        <w:t>More information is available from our local offices or from the Customer Service Centre on 136 186.</w:t>
      </w:r>
    </w:p>
    <w:p w14:paraId="5BEC793A" w14:textId="77777777" w:rsidR="00270CD2" w:rsidRPr="00C34463" w:rsidRDefault="00270CD2" w:rsidP="00C34463">
      <w:pPr>
        <w:pStyle w:val="Agbodytext"/>
      </w:pPr>
    </w:p>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77"/>
      </w:tblGrid>
      <w:tr w:rsidR="00AE3162" w14:paraId="222D14F9" w14:textId="77777777" w:rsidTr="000F073F">
        <w:tc>
          <w:tcPr>
            <w:tcW w:w="4877" w:type="dxa"/>
            <w:tcBorders>
              <w:bottom w:val="nil"/>
            </w:tcBorders>
          </w:tcPr>
          <w:p w14:paraId="3BA41E59" w14:textId="77777777" w:rsidR="00AE3162" w:rsidRDefault="00AE3162" w:rsidP="001D09F1">
            <w:pPr>
              <w:pStyle w:val="Agbodytext"/>
              <w:spacing w:before="120"/>
              <w:rPr>
                <w:rStyle w:val="Heading1Char"/>
              </w:rPr>
            </w:pPr>
            <w:r w:rsidRPr="005C6A3C">
              <w:rPr>
                <w:rStyle w:val="Heading1Char"/>
              </w:rPr>
              <w:t>Accessibility</w:t>
            </w:r>
          </w:p>
        </w:tc>
      </w:tr>
      <w:tr w:rsidR="00AE3162" w14:paraId="5BE00737" w14:textId="77777777" w:rsidTr="000F073F">
        <w:tc>
          <w:tcPr>
            <w:tcW w:w="4877" w:type="dxa"/>
            <w:tcBorders>
              <w:top w:val="nil"/>
              <w:bottom w:val="single" w:sz="4" w:space="0" w:color="auto"/>
            </w:tcBorders>
          </w:tcPr>
          <w:p w14:paraId="7706D32B" w14:textId="7826BDCE" w:rsidR="00AE3162" w:rsidRDefault="00AE3162" w:rsidP="00A80845">
            <w:pPr>
              <w:pStyle w:val="Agbodytext"/>
              <w:rPr>
                <w:rStyle w:val="Heading1Char"/>
              </w:rPr>
            </w:pPr>
            <w:r>
              <w:t>If you would like to receive this publication in an accessible format, please telephone</w:t>
            </w:r>
            <w:r w:rsidR="00A80845">
              <w:t xml:space="preserve"> the </w:t>
            </w:r>
            <w:r w:rsidR="00A80845" w:rsidRPr="00A80845">
              <w:t xml:space="preserve">Customer Service Centre on 136 186, TTY 1800 122 969, or email </w:t>
            </w:r>
            <w:hyperlink r:id="rId13" w:history="1">
              <w:r w:rsidR="00A80845" w:rsidRPr="000B721B">
                <w:rPr>
                  <w:rStyle w:val="Hyperlink"/>
                </w:rPr>
                <w:t>customer.service@ecodev.vic.gov.au</w:t>
              </w:r>
            </w:hyperlink>
            <w:r w:rsidR="00A80845" w:rsidRPr="00A80845">
              <w:t>.</w:t>
            </w:r>
          </w:p>
        </w:tc>
      </w:tr>
    </w:tbl>
    <w:p w14:paraId="3C81A6B7" w14:textId="77777777" w:rsidR="00AE3162" w:rsidRPr="005C6A3C" w:rsidRDefault="00AE3162" w:rsidP="005A777D">
      <w:pPr>
        <w:pStyle w:val="Agbodytext"/>
      </w:pPr>
    </w:p>
    <w:p w14:paraId="54E59D3C" w14:textId="77777777" w:rsidR="00AE3162" w:rsidRPr="00D55D23" w:rsidRDefault="00AE3162" w:rsidP="005A777D">
      <w:pPr>
        <w:pStyle w:val="Agbodytext"/>
      </w:pPr>
    </w:p>
    <w:sectPr w:rsidR="00AE3162" w:rsidRPr="00D55D23" w:rsidSect="001D09F1">
      <w:type w:val="continuous"/>
      <w:pgSz w:w="11900" w:h="16840"/>
      <w:pgMar w:top="2526" w:right="709" w:bottom="1701" w:left="709"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38AE9" w14:textId="77777777" w:rsidR="0074490D" w:rsidRDefault="0074490D" w:rsidP="008954B2">
      <w:r>
        <w:separator/>
      </w:r>
    </w:p>
  </w:endnote>
  <w:endnote w:type="continuationSeparator" w:id="0">
    <w:p w14:paraId="3C1530BA" w14:textId="77777777" w:rsidR="0074490D" w:rsidRDefault="0074490D"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Calibri"/>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BCBEF" w14:textId="77777777" w:rsidR="0074490D" w:rsidRDefault="0074490D" w:rsidP="008954B2">
      <w:r>
        <w:separator/>
      </w:r>
    </w:p>
  </w:footnote>
  <w:footnote w:type="continuationSeparator" w:id="0">
    <w:p w14:paraId="61D31113" w14:textId="77777777" w:rsidR="0074490D" w:rsidRDefault="0074490D"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F589" w14:textId="77777777" w:rsidR="00306B4E" w:rsidRDefault="00FF3B94" w:rsidP="00EF3DC4">
    <w:pPr>
      <w:pStyle w:val="Agtitle"/>
    </w:pPr>
    <w:r>
      <w:rPr>
        <w:noProof/>
      </w:rPr>
      <w:drawing>
        <wp:anchor distT="0" distB="0" distL="114300" distR="114300" simplePos="0" relativeHeight="251673600" behindDoc="1" locked="0" layoutInCell="1" allowOverlap="1" wp14:anchorId="23B0A635" wp14:editId="133A92A7">
          <wp:simplePos x="0" y="0"/>
          <wp:positionH relativeFrom="page">
            <wp:align>center</wp:align>
          </wp:positionH>
          <wp:positionV relativeFrom="page">
            <wp:align>top</wp:align>
          </wp:positionV>
          <wp:extent cx="7560000" cy="10685647"/>
          <wp:effectExtent l="0" t="0" r="0" b="0"/>
          <wp:wrapNone/>
          <wp:docPr id="7" name="Picture 7" descr="Agriculture Victoria branding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griculture Victoria branding ba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446A" w14:textId="77777777" w:rsidR="00147114" w:rsidRDefault="00C35141">
    <w:pPr>
      <w:pStyle w:val="Header"/>
    </w:pPr>
    <w:r>
      <w:rPr>
        <w:noProof/>
      </w:rPr>
      <w:drawing>
        <wp:anchor distT="0" distB="0" distL="114300" distR="114300" simplePos="0" relativeHeight="251674624" behindDoc="1" locked="0" layoutInCell="1" allowOverlap="1" wp14:anchorId="4E998693" wp14:editId="45430333">
          <wp:simplePos x="0" y="0"/>
          <wp:positionH relativeFrom="page">
            <wp:align>center</wp:align>
          </wp:positionH>
          <wp:positionV relativeFrom="page">
            <wp:align>top</wp:align>
          </wp:positionV>
          <wp:extent cx="7558768" cy="10683905"/>
          <wp:effectExtent l="0" t="0" r="0" b="0"/>
          <wp:wrapNone/>
          <wp:docPr id="2" name="Picture 2" descr="Agriculture Victoria branding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riculture Victoria branding ba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839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activeWritingStyle w:appName="MSWord" w:lang="en-AU" w:vendorID="64" w:dllVersion="4096" w:nlCheck="1" w:checkStyle="0"/>
  <w:proofState w:spelling="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845"/>
    <w:rsid w:val="00002759"/>
    <w:rsid w:val="0002784E"/>
    <w:rsid w:val="000356FF"/>
    <w:rsid w:val="00044589"/>
    <w:rsid w:val="00051E50"/>
    <w:rsid w:val="00055C19"/>
    <w:rsid w:val="00081FFD"/>
    <w:rsid w:val="000909F0"/>
    <w:rsid w:val="000C35AB"/>
    <w:rsid w:val="00133657"/>
    <w:rsid w:val="00147114"/>
    <w:rsid w:val="001731CD"/>
    <w:rsid w:val="0018080B"/>
    <w:rsid w:val="00180AE6"/>
    <w:rsid w:val="001D09F1"/>
    <w:rsid w:val="001D2031"/>
    <w:rsid w:val="00257C7B"/>
    <w:rsid w:val="00262B0D"/>
    <w:rsid w:val="00270CD2"/>
    <w:rsid w:val="00275313"/>
    <w:rsid w:val="00283833"/>
    <w:rsid w:val="002B0C9A"/>
    <w:rsid w:val="00306B4E"/>
    <w:rsid w:val="00320B43"/>
    <w:rsid w:val="00321F07"/>
    <w:rsid w:val="003825E7"/>
    <w:rsid w:val="00397B9B"/>
    <w:rsid w:val="003A0AFB"/>
    <w:rsid w:val="003A0C46"/>
    <w:rsid w:val="003A2768"/>
    <w:rsid w:val="003A63C5"/>
    <w:rsid w:val="003B79F8"/>
    <w:rsid w:val="003C2E56"/>
    <w:rsid w:val="003C4A74"/>
    <w:rsid w:val="003D032C"/>
    <w:rsid w:val="003E59F9"/>
    <w:rsid w:val="003F24C6"/>
    <w:rsid w:val="00403238"/>
    <w:rsid w:val="00416217"/>
    <w:rsid w:val="00445648"/>
    <w:rsid w:val="00480133"/>
    <w:rsid w:val="004A2968"/>
    <w:rsid w:val="005715B8"/>
    <w:rsid w:val="00590E4A"/>
    <w:rsid w:val="005A0417"/>
    <w:rsid w:val="005A777D"/>
    <w:rsid w:val="005D35C4"/>
    <w:rsid w:val="005D37DA"/>
    <w:rsid w:val="005D47E6"/>
    <w:rsid w:val="005D6D23"/>
    <w:rsid w:val="005D735D"/>
    <w:rsid w:val="005E07E2"/>
    <w:rsid w:val="00624BBC"/>
    <w:rsid w:val="006351F3"/>
    <w:rsid w:val="006522BA"/>
    <w:rsid w:val="0066292A"/>
    <w:rsid w:val="006730C0"/>
    <w:rsid w:val="00694091"/>
    <w:rsid w:val="006A6409"/>
    <w:rsid w:val="006D07C3"/>
    <w:rsid w:val="007219EC"/>
    <w:rsid w:val="0073577E"/>
    <w:rsid w:val="0074385E"/>
    <w:rsid w:val="0074490D"/>
    <w:rsid w:val="00763A68"/>
    <w:rsid w:val="00775C11"/>
    <w:rsid w:val="00792085"/>
    <w:rsid w:val="007B43D8"/>
    <w:rsid w:val="007F610A"/>
    <w:rsid w:val="00804CDA"/>
    <w:rsid w:val="00833E2D"/>
    <w:rsid w:val="0086129D"/>
    <w:rsid w:val="00886DB5"/>
    <w:rsid w:val="008954B2"/>
    <w:rsid w:val="008B3D9D"/>
    <w:rsid w:val="008B7B9E"/>
    <w:rsid w:val="008C3756"/>
    <w:rsid w:val="008C5966"/>
    <w:rsid w:val="008D04F6"/>
    <w:rsid w:val="008D4A21"/>
    <w:rsid w:val="00901EEA"/>
    <w:rsid w:val="0093666F"/>
    <w:rsid w:val="00980445"/>
    <w:rsid w:val="009A3F3E"/>
    <w:rsid w:val="009A6C18"/>
    <w:rsid w:val="009D2F90"/>
    <w:rsid w:val="009D6336"/>
    <w:rsid w:val="009E093A"/>
    <w:rsid w:val="00A038AC"/>
    <w:rsid w:val="00A1528A"/>
    <w:rsid w:val="00A314C5"/>
    <w:rsid w:val="00A47C38"/>
    <w:rsid w:val="00A676B7"/>
    <w:rsid w:val="00A80845"/>
    <w:rsid w:val="00A80AF4"/>
    <w:rsid w:val="00A93FB6"/>
    <w:rsid w:val="00AB7D71"/>
    <w:rsid w:val="00AE3162"/>
    <w:rsid w:val="00AE78E9"/>
    <w:rsid w:val="00B01D4C"/>
    <w:rsid w:val="00B179B3"/>
    <w:rsid w:val="00B347F1"/>
    <w:rsid w:val="00B40996"/>
    <w:rsid w:val="00B43DB8"/>
    <w:rsid w:val="00B47936"/>
    <w:rsid w:val="00B54184"/>
    <w:rsid w:val="00B67908"/>
    <w:rsid w:val="00B7028A"/>
    <w:rsid w:val="00BC7343"/>
    <w:rsid w:val="00BD58AD"/>
    <w:rsid w:val="00BD5E36"/>
    <w:rsid w:val="00C01CFE"/>
    <w:rsid w:val="00C124F1"/>
    <w:rsid w:val="00C14E78"/>
    <w:rsid w:val="00C21C0E"/>
    <w:rsid w:val="00C34463"/>
    <w:rsid w:val="00C35141"/>
    <w:rsid w:val="00C433B1"/>
    <w:rsid w:val="00C44299"/>
    <w:rsid w:val="00C45B22"/>
    <w:rsid w:val="00C73391"/>
    <w:rsid w:val="00CA63CF"/>
    <w:rsid w:val="00CD0EC4"/>
    <w:rsid w:val="00CD566D"/>
    <w:rsid w:val="00CF0624"/>
    <w:rsid w:val="00D33A77"/>
    <w:rsid w:val="00D35FD8"/>
    <w:rsid w:val="00D55D23"/>
    <w:rsid w:val="00DC3C90"/>
    <w:rsid w:val="00DD35EE"/>
    <w:rsid w:val="00DE4095"/>
    <w:rsid w:val="00DF01D4"/>
    <w:rsid w:val="00E21EE4"/>
    <w:rsid w:val="00E55B1A"/>
    <w:rsid w:val="00E565FB"/>
    <w:rsid w:val="00E648B4"/>
    <w:rsid w:val="00E713AB"/>
    <w:rsid w:val="00E776E5"/>
    <w:rsid w:val="00E833BA"/>
    <w:rsid w:val="00E9080D"/>
    <w:rsid w:val="00EC56EC"/>
    <w:rsid w:val="00EC7A31"/>
    <w:rsid w:val="00EF3DC4"/>
    <w:rsid w:val="00F069A0"/>
    <w:rsid w:val="00F15010"/>
    <w:rsid w:val="00F42C67"/>
    <w:rsid w:val="00F6072B"/>
    <w:rsid w:val="00F63690"/>
    <w:rsid w:val="00F71FEF"/>
    <w:rsid w:val="00F7492C"/>
    <w:rsid w:val="00FA5D66"/>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848E1"/>
  <w15:docId w15:val="{AFDD4408-167B-4D8B-A5AF-54F5C08E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DD35EE"/>
    <w:pPr>
      <w:spacing w:before="480" w:after="220"/>
      <w:outlineLvl w:val="0"/>
    </w:pPr>
    <w:rPr>
      <w:b/>
      <w:bCs/>
      <w:caps/>
      <w:color w:val="4C7329"/>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DD35EE"/>
    <w:rPr>
      <w:rFonts w:ascii="Arial" w:hAnsi="Arial" w:cs="VIC-SemiBold"/>
      <w:b/>
      <w:bCs/>
      <w:caps/>
      <w:color w:val="4C7329"/>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DD35EE"/>
    <w:pPr>
      <w:spacing w:after="480" w:line="340" w:lineRule="exact"/>
    </w:pPr>
    <w:rPr>
      <w:rFonts w:ascii="Arial" w:hAnsi="Arial" w:cs="VIC-SemiBold"/>
      <w:i/>
      <w:iCs/>
      <w:color w:val="4C7329"/>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character" w:styleId="Hyperlink">
    <w:name w:val="Hyperlink"/>
    <w:basedOn w:val="DefaultParagraphFont"/>
    <w:uiPriority w:val="99"/>
    <w:unhideWhenUsed/>
    <w:rsid w:val="00A80845"/>
    <w:rPr>
      <w:color w:val="0563C1" w:themeColor="hyperlink"/>
      <w:u w:val="single"/>
    </w:rPr>
  </w:style>
  <w:style w:type="character" w:styleId="UnresolvedMention">
    <w:name w:val="Unresolved Mention"/>
    <w:basedOn w:val="DefaultParagraphFont"/>
    <w:uiPriority w:val="99"/>
    <w:rsid w:val="00A80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453974">
      <w:bodyDiv w:val="1"/>
      <w:marLeft w:val="0"/>
      <w:marRight w:val="0"/>
      <w:marTop w:val="0"/>
      <w:marBottom w:val="0"/>
      <w:divBdr>
        <w:top w:val="none" w:sz="0" w:space="0" w:color="auto"/>
        <w:left w:val="none" w:sz="0" w:space="0" w:color="auto"/>
        <w:bottom w:val="none" w:sz="0" w:space="0" w:color="auto"/>
        <w:right w:val="none" w:sz="0" w:space="0" w:color="auto"/>
      </w:divBdr>
    </w:div>
    <w:div w:id="599946236">
      <w:bodyDiv w:val="1"/>
      <w:marLeft w:val="0"/>
      <w:marRight w:val="0"/>
      <w:marTop w:val="0"/>
      <w:marBottom w:val="0"/>
      <w:divBdr>
        <w:top w:val="none" w:sz="0" w:space="0" w:color="auto"/>
        <w:left w:val="none" w:sz="0" w:space="0" w:color="auto"/>
        <w:bottom w:val="none" w:sz="0" w:space="0" w:color="auto"/>
        <w:right w:val="none" w:sz="0" w:space="0" w:color="auto"/>
      </w:divBdr>
    </w:div>
    <w:div w:id="783379552">
      <w:bodyDiv w:val="1"/>
      <w:marLeft w:val="0"/>
      <w:marRight w:val="0"/>
      <w:marTop w:val="0"/>
      <w:marBottom w:val="0"/>
      <w:divBdr>
        <w:top w:val="none" w:sz="0" w:space="0" w:color="auto"/>
        <w:left w:val="none" w:sz="0" w:space="0" w:color="auto"/>
        <w:bottom w:val="none" w:sz="0" w:space="0" w:color="auto"/>
        <w:right w:val="none" w:sz="0" w:space="0" w:color="auto"/>
      </w:divBdr>
    </w:div>
    <w:div w:id="1573734454">
      <w:bodyDiv w:val="1"/>
      <w:marLeft w:val="0"/>
      <w:marRight w:val="0"/>
      <w:marTop w:val="0"/>
      <w:marBottom w:val="0"/>
      <w:divBdr>
        <w:top w:val="none" w:sz="0" w:space="0" w:color="auto"/>
        <w:left w:val="none" w:sz="0" w:space="0" w:color="auto"/>
        <w:bottom w:val="none" w:sz="0" w:space="0" w:color="auto"/>
        <w:right w:val="none" w:sz="0" w:space="0" w:color="auto"/>
      </w:divBdr>
    </w:div>
    <w:div w:id="19640682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ustomer.service@ecodev.vic.gov.au"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iculture.vic.gov.au/farm-management/water/managing-dams/water-quality-for-farm-water-supplies"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culture.vic.gov.au/livestock-and-animals/animal-welfare-victoria/pocta-act-1986/victorian-codes-of-practice-for-animal-welfare/code-of-accepted-farming-practice-for-the-welfare-of-catt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griculture.vic.gov.au/livestock-and-animals/animal-welfare-victoria/pocta-act-1986/victorian-codes-of-practice-for-animal-welfare/code-of-accepted-farming-practice-for-the-welfare-of-sheep-victoria-revision-number-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inkPad\Downloads\Agriculture-Victoria_fact_sheet_narrow_header_gre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CB3F57B2A1F2740923D4DA78F1FDD51" ma:contentTypeVersion="13" ma:contentTypeDescription="Create a new document." ma:contentTypeScope="" ma:versionID="0066b09856f8d7e11c55728763c59157">
  <xsd:schema xmlns:xsd="http://www.w3.org/2001/XMLSchema" xmlns:xs="http://www.w3.org/2001/XMLSchema" xmlns:p="http://schemas.microsoft.com/office/2006/metadata/properties" xmlns:ns2="db8328da-514d-4f2a-9062-0d6027ba1174" xmlns:ns3="15b0d6e9-e99b-40a9-aaa3-9b8d7d95b219" targetNamespace="http://schemas.microsoft.com/office/2006/metadata/properties" ma:root="true" ma:fieldsID="93ecab9ef28e3c207713ba422a805a31" ns2:_="" ns3:_="">
    <xsd:import namespace="db8328da-514d-4f2a-9062-0d6027ba1174"/>
    <xsd:import namespace="15b0d6e9-e99b-40a9-aaa3-9b8d7d95b219"/>
    <xsd:element name="properties">
      <xsd:complexType>
        <xsd:sequence>
          <xsd:element name="documentManagement">
            <xsd:complexType>
              <xsd:all>
                <xsd:element ref="ns2:Incident"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328da-514d-4f2a-9062-0d6027ba1174" elementFormDefault="qualified">
    <xsd:import namespace="http://schemas.microsoft.com/office/2006/documentManagement/types"/>
    <xsd:import namespace="http://schemas.microsoft.com/office/infopath/2007/PartnerControls"/>
    <xsd:element name="Incident" ma:index="8" nillable="true" ma:displayName="Incident" ma:list="{f18091fb-e19d-4677-8130-0ae421e61e40}" ma:internalName="Incident" ma:showField="Title">
      <xsd:simpleType>
        <xsd:restriction base="dms:Lookup"/>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0d6e9-e99b-40a9-aaa3-9b8d7d95b2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cident xmlns="db8328da-514d-4f2a-9062-0d6027ba1174" xsi:nil="true"/>
  </documentManagement>
</p:properties>
</file>

<file path=customXml/itemProps1.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customXml/itemProps2.xml><?xml version="1.0" encoding="utf-8"?>
<ds:datastoreItem xmlns:ds="http://schemas.openxmlformats.org/officeDocument/2006/customXml" ds:itemID="{E30CEF29-A040-40AE-ACD2-23990623DF59}"/>
</file>

<file path=customXml/itemProps3.xml><?xml version="1.0" encoding="utf-8"?>
<ds:datastoreItem xmlns:ds="http://schemas.openxmlformats.org/officeDocument/2006/customXml" ds:itemID="{28ECF201-6097-46F2-8921-7E7FFC6F5D13}"/>
</file>

<file path=customXml/itemProps4.xml><?xml version="1.0" encoding="utf-8"?>
<ds:datastoreItem xmlns:ds="http://schemas.openxmlformats.org/officeDocument/2006/customXml" ds:itemID="{3C51D395-5070-4B3A-A1DD-CD46ABF88F3B}"/>
</file>

<file path=docProps/app.xml><?xml version="1.0" encoding="utf-8"?>
<Properties xmlns="http://schemas.openxmlformats.org/officeDocument/2006/extended-properties" xmlns:vt="http://schemas.openxmlformats.org/officeDocument/2006/docPropsVTypes">
  <Template>Agriculture-Victoria_fact_sheet_narrow_header_green</Template>
  <TotalTime>19</TotalTime>
  <Pages>4</Pages>
  <Words>1822</Words>
  <Characters>10389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Deann V Chy (DJPR)</cp:lastModifiedBy>
  <cp:revision>3</cp:revision>
  <dcterms:created xsi:type="dcterms:W3CDTF">2021-06-19T04:17:00Z</dcterms:created>
  <dcterms:modified xsi:type="dcterms:W3CDTF">2021-06-19T04:38:00Z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0x010100ECB3F57B2A1F2740923D4DA78F1FDD51</vt:lpwstr>
  </property>
</Properties>
</file>