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E7478" w14:textId="77777777" w:rsidR="005B7350" w:rsidRDefault="005B7350" w:rsidP="005B7350">
      <w:pPr>
        <w:pStyle w:val="Title"/>
        <w:ind w:left="-284"/>
      </w:pPr>
      <w:bookmarkStart w:id="0" w:name="_GoBack"/>
      <w:bookmarkEnd w:id="0"/>
      <w:permStart w:id="1417412769" w:ed="dani.maver@agriculture.vic.gov.au"/>
      <w:permStart w:id="151331014" w:ed="mandy.errington@agriculture.vic.gov.au"/>
    </w:p>
    <w:p w14:paraId="67B70891" w14:textId="77777777" w:rsidR="005B7350" w:rsidRDefault="005B7350" w:rsidP="005B7350">
      <w:pPr>
        <w:pStyle w:val="Title"/>
        <w:ind w:left="-284"/>
      </w:pPr>
    </w:p>
    <w:p w14:paraId="73D09A55" w14:textId="77777777" w:rsidR="005B7350" w:rsidRDefault="005B7350" w:rsidP="005B7350">
      <w:pPr>
        <w:pStyle w:val="Title"/>
        <w:ind w:left="-284"/>
      </w:pPr>
    </w:p>
    <w:p w14:paraId="24BDB228" w14:textId="1C0C99B6" w:rsidR="005B7350" w:rsidRPr="002D481B" w:rsidRDefault="005B7350" w:rsidP="005B7350">
      <w:pPr>
        <w:pStyle w:val="Title"/>
        <w:ind w:left="-284"/>
        <w:rPr>
          <w:sz w:val="48"/>
          <w:szCs w:val="48"/>
        </w:rPr>
      </w:pPr>
      <w:r w:rsidRPr="002D481B">
        <w:rPr>
          <w:sz w:val="48"/>
          <w:szCs w:val="48"/>
        </w:rPr>
        <w:t>GUIDELINES FOR THE CONDUCT OF ANIMAL ETHICS COMMITTEES</w:t>
      </w:r>
    </w:p>
    <w:p w14:paraId="1C686500" w14:textId="126C09D2" w:rsidR="005B7350" w:rsidRPr="002D481B" w:rsidRDefault="005B7350" w:rsidP="005B7350">
      <w:pPr>
        <w:pStyle w:val="Subtitle"/>
        <w:ind w:left="-284"/>
        <w:rPr>
          <w:color w:val="E57100" w:themeColor="accent1"/>
          <w:sz w:val="36"/>
          <w:szCs w:val="36"/>
        </w:rPr>
        <w:sectPr w:rsidR="005B7350" w:rsidRPr="002D481B" w:rsidSect="005B7350">
          <w:headerReference w:type="default" r:id="rId11"/>
          <w:footerReference w:type="default" r:id="rId12"/>
          <w:headerReference w:type="first" r:id="rId13"/>
          <w:pgSz w:w="11900" w:h="16840"/>
          <w:pgMar w:top="2042" w:right="1440" w:bottom="1968" w:left="1440" w:header="708" w:footer="0" w:gutter="0"/>
          <w:cols w:space="708"/>
          <w:titlePg/>
          <w:docGrid w:linePitch="360"/>
        </w:sectPr>
      </w:pPr>
    </w:p>
    <w:p w14:paraId="33367FC0" w14:textId="77777777" w:rsidR="00454224" w:rsidRPr="002D481B" w:rsidRDefault="00454224" w:rsidP="000E78B7">
      <w:pPr>
        <w:rPr>
          <w:rFonts w:cs="Arial"/>
        </w:rPr>
      </w:pPr>
    </w:p>
    <w:p w14:paraId="2D16450A" w14:textId="77777777" w:rsidR="005B7350" w:rsidRPr="002D481B" w:rsidRDefault="005B7350" w:rsidP="000E78B7">
      <w:pPr>
        <w:rPr>
          <w:rFonts w:cs="Arial"/>
        </w:rPr>
      </w:pPr>
    </w:p>
    <w:p w14:paraId="27A847E1" w14:textId="1BC9C4D3" w:rsidR="00086344" w:rsidRPr="002D481B" w:rsidRDefault="00086344">
      <w:pPr>
        <w:snapToGrid/>
        <w:spacing w:after="0"/>
        <w:rPr>
          <w:b/>
          <w:color w:val="E57100" w:themeColor="accent1"/>
          <w:sz w:val="24"/>
          <w:szCs w:val="22"/>
        </w:rPr>
      </w:pPr>
      <w:bookmarkStart w:id="1" w:name="_Toc506359836"/>
      <w:r w:rsidRPr="002D481B">
        <w:br w:type="page"/>
      </w:r>
    </w:p>
    <w:bookmarkStart w:id="2" w:name="_Hlk535492933" w:displacedByCustomXml="next"/>
    <w:sdt>
      <w:sdtPr>
        <w:rPr>
          <w:rFonts w:ascii="Arial" w:eastAsiaTheme="minorHAnsi" w:hAnsi="Arial" w:cstheme="minorBidi"/>
          <w:color w:val="000000"/>
          <w:sz w:val="22"/>
          <w:szCs w:val="20"/>
          <w:lang w:val="en-AU"/>
        </w:rPr>
        <w:id w:val="452988140"/>
        <w:docPartObj>
          <w:docPartGallery w:val="Table of Contents"/>
          <w:docPartUnique/>
        </w:docPartObj>
      </w:sdtPr>
      <w:sdtEndPr>
        <w:rPr>
          <w:b/>
          <w:bCs/>
          <w:noProof/>
        </w:rPr>
      </w:sdtEndPr>
      <w:sdtContent>
        <w:p w14:paraId="37CF2F06" w14:textId="76509C10" w:rsidR="00922CC8" w:rsidRPr="002D481B" w:rsidRDefault="00922CC8">
          <w:pPr>
            <w:pStyle w:val="TOCHeading"/>
            <w:rPr>
              <w:rFonts w:ascii="Arial" w:eastAsiaTheme="minorHAnsi" w:hAnsi="Arial" w:cs="Arial"/>
              <w:b/>
              <w:color w:val="00B7BD" w:themeColor="accent3"/>
              <w:sz w:val="24"/>
              <w:szCs w:val="21"/>
            </w:rPr>
          </w:pPr>
          <w:r w:rsidRPr="002D481B">
            <w:rPr>
              <w:rFonts w:ascii="Arial" w:eastAsiaTheme="minorHAnsi" w:hAnsi="Arial" w:cs="Arial"/>
              <w:b/>
              <w:color w:val="00B7BD" w:themeColor="accent3"/>
              <w:sz w:val="24"/>
              <w:szCs w:val="21"/>
            </w:rPr>
            <w:t>Contents</w:t>
          </w:r>
        </w:p>
        <w:p w14:paraId="3DC1DB77" w14:textId="77777777" w:rsidR="00FC4C64" w:rsidRPr="00FC4C64" w:rsidRDefault="00FC4C64" w:rsidP="00FC4C64">
          <w:pPr>
            <w:rPr>
              <w:lang w:val="en-US"/>
            </w:rPr>
          </w:pPr>
        </w:p>
        <w:p w14:paraId="25172D20" w14:textId="3A91D085" w:rsidR="00DD519E" w:rsidRDefault="00922CC8">
          <w:pPr>
            <w:pStyle w:val="TOC1"/>
            <w:tabs>
              <w:tab w:val="right" w:leader="dot" w:pos="9622"/>
            </w:tabs>
            <w:rPr>
              <w:rFonts w:asciiTheme="minorHAnsi" w:eastAsiaTheme="minorEastAsia" w:hAnsiTheme="minorHAnsi"/>
              <w:noProof/>
              <w:color w:val="auto"/>
              <w:szCs w:val="22"/>
              <w:lang w:eastAsia="en-AU"/>
            </w:rPr>
          </w:pPr>
          <w:r w:rsidRPr="002D481B">
            <w:fldChar w:fldCharType="begin"/>
          </w:r>
          <w:r w:rsidRPr="002D481B">
            <w:instrText xml:space="preserve"> TOC \o "1-3" \h \z \u </w:instrText>
          </w:r>
          <w:r w:rsidRPr="002D481B">
            <w:fldChar w:fldCharType="separate"/>
          </w:r>
          <w:hyperlink w:anchor="_Toc40710198" w:history="1">
            <w:r w:rsidR="00DD519E" w:rsidRPr="0056069F">
              <w:rPr>
                <w:rStyle w:val="Hyperlink"/>
                <w:rFonts w:cs="Arial"/>
                <w:noProof/>
                <w:lang w:val="en-US"/>
              </w:rPr>
              <w:t>Introduction</w:t>
            </w:r>
            <w:r w:rsidR="00DD519E">
              <w:rPr>
                <w:noProof/>
                <w:webHidden/>
              </w:rPr>
              <w:tab/>
            </w:r>
            <w:r w:rsidR="00DD519E">
              <w:rPr>
                <w:noProof/>
                <w:webHidden/>
              </w:rPr>
              <w:fldChar w:fldCharType="begin"/>
            </w:r>
            <w:r w:rsidR="00DD519E">
              <w:rPr>
                <w:noProof/>
                <w:webHidden/>
              </w:rPr>
              <w:instrText xml:space="preserve"> PAGEREF _Toc40710198 \h </w:instrText>
            </w:r>
            <w:r w:rsidR="00DD519E">
              <w:rPr>
                <w:noProof/>
                <w:webHidden/>
              </w:rPr>
            </w:r>
            <w:r w:rsidR="00DD519E">
              <w:rPr>
                <w:noProof/>
                <w:webHidden/>
              </w:rPr>
              <w:fldChar w:fldCharType="separate"/>
            </w:r>
            <w:r w:rsidR="00DD519E">
              <w:rPr>
                <w:noProof/>
                <w:webHidden/>
              </w:rPr>
              <w:t>3</w:t>
            </w:r>
            <w:r w:rsidR="00DD519E">
              <w:rPr>
                <w:noProof/>
                <w:webHidden/>
              </w:rPr>
              <w:fldChar w:fldCharType="end"/>
            </w:r>
          </w:hyperlink>
        </w:p>
        <w:p w14:paraId="052ADB40" w14:textId="233CB04C" w:rsidR="00DD519E" w:rsidRDefault="00BF5CCE">
          <w:pPr>
            <w:pStyle w:val="TOC1"/>
            <w:tabs>
              <w:tab w:val="right" w:leader="dot" w:pos="9622"/>
            </w:tabs>
            <w:rPr>
              <w:rFonts w:asciiTheme="minorHAnsi" w:eastAsiaTheme="minorEastAsia" w:hAnsiTheme="minorHAnsi"/>
              <w:noProof/>
              <w:color w:val="auto"/>
              <w:szCs w:val="22"/>
              <w:lang w:eastAsia="en-AU"/>
            </w:rPr>
          </w:pPr>
          <w:hyperlink w:anchor="_Toc40710199" w:history="1">
            <w:r w:rsidR="00DD519E" w:rsidRPr="0056069F">
              <w:rPr>
                <w:rStyle w:val="Hyperlink"/>
                <w:rFonts w:cs="Arial"/>
                <w:noProof/>
                <w:lang w:val="en-US"/>
              </w:rPr>
              <w:t>Membership and meeting procedures</w:t>
            </w:r>
            <w:r w:rsidR="00DD519E">
              <w:rPr>
                <w:noProof/>
                <w:webHidden/>
              </w:rPr>
              <w:tab/>
            </w:r>
            <w:r w:rsidR="00DD519E">
              <w:rPr>
                <w:noProof/>
                <w:webHidden/>
              </w:rPr>
              <w:fldChar w:fldCharType="begin"/>
            </w:r>
            <w:r w:rsidR="00DD519E">
              <w:rPr>
                <w:noProof/>
                <w:webHidden/>
              </w:rPr>
              <w:instrText xml:space="preserve"> PAGEREF _Toc40710199 \h </w:instrText>
            </w:r>
            <w:r w:rsidR="00DD519E">
              <w:rPr>
                <w:noProof/>
                <w:webHidden/>
              </w:rPr>
            </w:r>
            <w:r w:rsidR="00DD519E">
              <w:rPr>
                <w:noProof/>
                <w:webHidden/>
              </w:rPr>
              <w:fldChar w:fldCharType="separate"/>
            </w:r>
            <w:r w:rsidR="00DD519E">
              <w:rPr>
                <w:noProof/>
                <w:webHidden/>
              </w:rPr>
              <w:t>3</w:t>
            </w:r>
            <w:r w:rsidR="00DD519E">
              <w:rPr>
                <w:noProof/>
                <w:webHidden/>
              </w:rPr>
              <w:fldChar w:fldCharType="end"/>
            </w:r>
          </w:hyperlink>
        </w:p>
        <w:p w14:paraId="5829E9AF" w14:textId="507A1586" w:rsidR="00DD519E" w:rsidRDefault="00BF5CCE">
          <w:pPr>
            <w:pStyle w:val="TOC1"/>
            <w:tabs>
              <w:tab w:val="right" w:leader="dot" w:pos="9622"/>
            </w:tabs>
            <w:rPr>
              <w:rFonts w:asciiTheme="minorHAnsi" w:eastAsiaTheme="minorEastAsia" w:hAnsiTheme="minorHAnsi"/>
              <w:noProof/>
              <w:color w:val="auto"/>
              <w:szCs w:val="22"/>
              <w:lang w:eastAsia="en-AU"/>
            </w:rPr>
          </w:pPr>
          <w:hyperlink w:anchor="_Toc40710200" w:history="1">
            <w:r w:rsidR="00DD519E" w:rsidRPr="0056069F">
              <w:rPr>
                <w:rStyle w:val="Hyperlink"/>
                <w:rFonts w:cs="Arial"/>
                <w:noProof/>
                <w:lang w:val="en-US"/>
              </w:rPr>
              <w:t>Review and approvals</w:t>
            </w:r>
            <w:r w:rsidR="00DD519E">
              <w:rPr>
                <w:noProof/>
                <w:webHidden/>
              </w:rPr>
              <w:tab/>
            </w:r>
            <w:r w:rsidR="00DD519E">
              <w:rPr>
                <w:noProof/>
                <w:webHidden/>
              </w:rPr>
              <w:fldChar w:fldCharType="begin"/>
            </w:r>
            <w:r w:rsidR="00DD519E">
              <w:rPr>
                <w:noProof/>
                <w:webHidden/>
              </w:rPr>
              <w:instrText xml:space="preserve"> PAGEREF _Toc40710200 \h </w:instrText>
            </w:r>
            <w:r w:rsidR="00DD519E">
              <w:rPr>
                <w:noProof/>
                <w:webHidden/>
              </w:rPr>
            </w:r>
            <w:r w:rsidR="00DD519E">
              <w:rPr>
                <w:noProof/>
                <w:webHidden/>
              </w:rPr>
              <w:fldChar w:fldCharType="separate"/>
            </w:r>
            <w:r w:rsidR="00DD519E">
              <w:rPr>
                <w:noProof/>
                <w:webHidden/>
              </w:rPr>
              <w:t>5</w:t>
            </w:r>
            <w:r w:rsidR="00DD519E">
              <w:rPr>
                <w:noProof/>
                <w:webHidden/>
              </w:rPr>
              <w:fldChar w:fldCharType="end"/>
            </w:r>
          </w:hyperlink>
        </w:p>
        <w:p w14:paraId="5AF6CAB2" w14:textId="564AED0A" w:rsidR="00DD519E" w:rsidRDefault="00BF5CCE">
          <w:pPr>
            <w:pStyle w:val="TOC1"/>
            <w:tabs>
              <w:tab w:val="right" w:leader="dot" w:pos="9622"/>
            </w:tabs>
            <w:rPr>
              <w:rFonts w:asciiTheme="minorHAnsi" w:eastAsiaTheme="minorEastAsia" w:hAnsiTheme="minorHAnsi"/>
              <w:noProof/>
              <w:color w:val="auto"/>
              <w:szCs w:val="22"/>
              <w:lang w:eastAsia="en-AU"/>
            </w:rPr>
          </w:pPr>
          <w:hyperlink w:anchor="_Toc40710201" w:history="1">
            <w:r w:rsidR="00DD519E" w:rsidRPr="0056069F">
              <w:rPr>
                <w:rStyle w:val="Hyperlink"/>
                <w:rFonts w:cs="Arial"/>
                <w:noProof/>
                <w:lang w:val="en-US"/>
              </w:rPr>
              <w:t>Decisions</w:t>
            </w:r>
            <w:r w:rsidR="00DD519E">
              <w:rPr>
                <w:noProof/>
                <w:webHidden/>
              </w:rPr>
              <w:tab/>
            </w:r>
            <w:r w:rsidR="00DD519E">
              <w:rPr>
                <w:noProof/>
                <w:webHidden/>
              </w:rPr>
              <w:fldChar w:fldCharType="begin"/>
            </w:r>
            <w:r w:rsidR="00DD519E">
              <w:rPr>
                <w:noProof/>
                <w:webHidden/>
              </w:rPr>
              <w:instrText xml:space="preserve"> PAGEREF _Toc40710201 \h </w:instrText>
            </w:r>
            <w:r w:rsidR="00DD519E">
              <w:rPr>
                <w:noProof/>
                <w:webHidden/>
              </w:rPr>
            </w:r>
            <w:r w:rsidR="00DD519E">
              <w:rPr>
                <w:noProof/>
                <w:webHidden/>
              </w:rPr>
              <w:fldChar w:fldCharType="separate"/>
            </w:r>
            <w:r w:rsidR="00DD519E">
              <w:rPr>
                <w:noProof/>
                <w:webHidden/>
              </w:rPr>
              <w:t>7</w:t>
            </w:r>
            <w:r w:rsidR="00DD519E">
              <w:rPr>
                <w:noProof/>
                <w:webHidden/>
              </w:rPr>
              <w:fldChar w:fldCharType="end"/>
            </w:r>
          </w:hyperlink>
        </w:p>
        <w:p w14:paraId="48CAECA0" w14:textId="759D5A86" w:rsidR="00DD519E" w:rsidRDefault="00BF5CCE">
          <w:pPr>
            <w:pStyle w:val="TOC1"/>
            <w:tabs>
              <w:tab w:val="left" w:pos="440"/>
              <w:tab w:val="right" w:leader="dot" w:pos="9622"/>
            </w:tabs>
            <w:rPr>
              <w:rFonts w:asciiTheme="minorHAnsi" w:eastAsiaTheme="minorEastAsia" w:hAnsiTheme="minorHAnsi"/>
              <w:noProof/>
              <w:color w:val="auto"/>
              <w:szCs w:val="22"/>
              <w:lang w:eastAsia="en-AU"/>
            </w:rPr>
          </w:pPr>
          <w:hyperlink w:anchor="_Toc40710202" w:history="1">
            <w:r w:rsidR="00DD519E" w:rsidRPr="0056069F">
              <w:rPr>
                <w:rStyle w:val="Hyperlink"/>
                <w:rFonts w:cs="Arial"/>
                <w:noProof/>
                <w:lang w:val="en-US"/>
              </w:rPr>
              <w:t>1.</w:t>
            </w:r>
            <w:r w:rsidR="00DD519E">
              <w:rPr>
                <w:rFonts w:asciiTheme="minorHAnsi" w:eastAsiaTheme="minorEastAsia" w:hAnsiTheme="minorHAnsi"/>
                <w:noProof/>
                <w:color w:val="auto"/>
                <w:szCs w:val="22"/>
                <w:lang w:eastAsia="en-AU"/>
              </w:rPr>
              <w:tab/>
            </w:r>
            <w:r w:rsidR="00DD519E" w:rsidRPr="0056069F">
              <w:rPr>
                <w:rStyle w:val="Hyperlink"/>
                <w:rFonts w:cs="Arial"/>
                <w:noProof/>
                <w:lang w:val="en-US"/>
              </w:rPr>
              <w:t>Approved</w:t>
            </w:r>
            <w:r w:rsidR="00DD519E">
              <w:rPr>
                <w:noProof/>
                <w:webHidden/>
              </w:rPr>
              <w:tab/>
            </w:r>
            <w:r w:rsidR="00DD519E">
              <w:rPr>
                <w:noProof/>
                <w:webHidden/>
              </w:rPr>
              <w:fldChar w:fldCharType="begin"/>
            </w:r>
            <w:r w:rsidR="00DD519E">
              <w:rPr>
                <w:noProof/>
                <w:webHidden/>
              </w:rPr>
              <w:instrText xml:space="preserve"> PAGEREF _Toc40710202 \h </w:instrText>
            </w:r>
            <w:r w:rsidR="00DD519E">
              <w:rPr>
                <w:noProof/>
                <w:webHidden/>
              </w:rPr>
            </w:r>
            <w:r w:rsidR="00DD519E">
              <w:rPr>
                <w:noProof/>
                <w:webHidden/>
              </w:rPr>
              <w:fldChar w:fldCharType="separate"/>
            </w:r>
            <w:r w:rsidR="00DD519E">
              <w:rPr>
                <w:noProof/>
                <w:webHidden/>
              </w:rPr>
              <w:t>7</w:t>
            </w:r>
            <w:r w:rsidR="00DD519E">
              <w:rPr>
                <w:noProof/>
                <w:webHidden/>
              </w:rPr>
              <w:fldChar w:fldCharType="end"/>
            </w:r>
          </w:hyperlink>
        </w:p>
        <w:p w14:paraId="2BE4876C" w14:textId="05C484E9" w:rsidR="00DD519E" w:rsidRDefault="00BF5CCE">
          <w:pPr>
            <w:pStyle w:val="TOC1"/>
            <w:tabs>
              <w:tab w:val="left" w:pos="440"/>
              <w:tab w:val="right" w:leader="dot" w:pos="9622"/>
            </w:tabs>
            <w:rPr>
              <w:rFonts w:asciiTheme="minorHAnsi" w:eastAsiaTheme="minorEastAsia" w:hAnsiTheme="minorHAnsi"/>
              <w:noProof/>
              <w:color w:val="auto"/>
              <w:szCs w:val="22"/>
              <w:lang w:eastAsia="en-AU"/>
            </w:rPr>
          </w:pPr>
          <w:hyperlink w:anchor="_Toc40710203" w:history="1">
            <w:r w:rsidR="00DD519E" w:rsidRPr="0056069F">
              <w:rPr>
                <w:rStyle w:val="Hyperlink"/>
                <w:rFonts w:cs="Arial"/>
                <w:noProof/>
                <w:lang w:val="en-US"/>
              </w:rPr>
              <w:t>2.</w:t>
            </w:r>
            <w:r w:rsidR="00DD519E">
              <w:rPr>
                <w:rFonts w:asciiTheme="minorHAnsi" w:eastAsiaTheme="minorEastAsia" w:hAnsiTheme="minorHAnsi"/>
                <w:noProof/>
                <w:color w:val="auto"/>
                <w:szCs w:val="22"/>
                <w:lang w:eastAsia="en-AU"/>
              </w:rPr>
              <w:tab/>
            </w:r>
            <w:r w:rsidR="00DD519E" w:rsidRPr="0056069F">
              <w:rPr>
                <w:rStyle w:val="Hyperlink"/>
                <w:rFonts w:cs="Arial"/>
                <w:noProof/>
                <w:lang w:val="en-US"/>
              </w:rPr>
              <w:t>Approved with condition(s)</w:t>
            </w:r>
            <w:r w:rsidR="00DD519E">
              <w:rPr>
                <w:noProof/>
                <w:webHidden/>
              </w:rPr>
              <w:tab/>
            </w:r>
            <w:r w:rsidR="00DD519E">
              <w:rPr>
                <w:noProof/>
                <w:webHidden/>
              </w:rPr>
              <w:fldChar w:fldCharType="begin"/>
            </w:r>
            <w:r w:rsidR="00DD519E">
              <w:rPr>
                <w:noProof/>
                <w:webHidden/>
              </w:rPr>
              <w:instrText xml:space="preserve"> PAGEREF _Toc40710203 \h </w:instrText>
            </w:r>
            <w:r w:rsidR="00DD519E">
              <w:rPr>
                <w:noProof/>
                <w:webHidden/>
              </w:rPr>
            </w:r>
            <w:r w:rsidR="00DD519E">
              <w:rPr>
                <w:noProof/>
                <w:webHidden/>
              </w:rPr>
              <w:fldChar w:fldCharType="separate"/>
            </w:r>
            <w:r w:rsidR="00DD519E">
              <w:rPr>
                <w:noProof/>
                <w:webHidden/>
              </w:rPr>
              <w:t>7</w:t>
            </w:r>
            <w:r w:rsidR="00DD519E">
              <w:rPr>
                <w:noProof/>
                <w:webHidden/>
              </w:rPr>
              <w:fldChar w:fldCharType="end"/>
            </w:r>
          </w:hyperlink>
        </w:p>
        <w:p w14:paraId="792C1724" w14:textId="23557AAC" w:rsidR="00DD519E" w:rsidRDefault="00BF5CCE">
          <w:pPr>
            <w:pStyle w:val="TOC1"/>
            <w:tabs>
              <w:tab w:val="left" w:pos="440"/>
              <w:tab w:val="right" w:leader="dot" w:pos="9622"/>
            </w:tabs>
            <w:rPr>
              <w:rFonts w:asciiTheme="minorHAnsi" w:eastAsiaTheme="minorEastAsia" w:hAnsiTheme="minorHAnsi"/>
              <w:noProof/>
              <w:color w:val="auto"/>
              <w:szCs w:val="22"/>
              <w:lang w:eastAsia="en-AU"/>
            </w:rPr>
          </w:pPr>
          <w:hyperlink w:anchor="_Toc40710204" w:history="1">
            <w:r w:rsidR="00DD519E" w:rsidRPr="0056069F">
              <w:rPr>
                <w:rStyle w:val="Hyperlink"/>
                <w:rFonts w:cs="Arial"/>
                <w:noProof/>
                <w:lang w:val="en-US"/>
              </w:rPr>
              <w:t>3.</w:t>
            </w:r>
            <w:r w:rsidR="00DD519E">
              <w:rPr>
                <w:rFonts w:asciiTheme="minorHAnsi" w:eastAsiaTheme="minorEastAsia" w:hAnsiTheme="minorHAnsi"/>
                <w:noProof/>
                <w:color w:val="auto"/>
                <w:szCs w:val="22"/>
                <w:lang w:eastAsia="en-AU"/>
              </w:rPr>
              <w:tab/>
            </w:r>
            <w:r w:rsidR="00DD519E" w:rsidRPr="0056069F">
              <w:rPr>
                <w:rStyle w:val="Hyperlink"/>
                <w:rFonts w:cs="Arial"/>
                <w:noProof/>
                <w:lang w:val="en-US"/>
              </w:rPr>
              <w:t>Decision deferred, subject to modification to the satisfaction of the AEC</w:t>
            </w:r>
            <w:r w:rsidR="00DD519E">
              <w:rPr>
                <w:noProof/>
                <w:webHidden/>
              </w:rPr>
              <w:tab/>
            </w:r>
            <w:r w:rsidR="00DD519E">
              <w:rPr>
                <w:noProof/>
                <w:webHidden/>
              </w:rPr>
              <w:fldChar w:fldCharType="begin"/>
            </w:r>
            <w:r w:rsidR="00DD519E">
              <w:rPr>
                <w:noProof/>
                <w:webHidden/>
              </w:rPr>
              <w:instrText xml:space="preserve"> PAGEREF _Toc40710204 \h </w:instrText>
            </w:r>
            <w:r w:rsidR="00DD519E">
              <w:rPr>
                <w:noProof/>
                <w:webHidden/>
              </w:rPr>
            </w:r>
            <w:r w:rsidR="00DD519E">
              <w:rPr>
                <w:noProof/>
                <w:webHidden/>
              </w:rPr>
              <w:fldChar w:fldCharType="separate"/>
            </w:r>
            <w:r w:rsidR="00DD519E">
              <w:rPr>
                <w:noProof/>
                <w:webHidden/>
              </w:rPr>
              <w:t>7</w:t>
            </w:r>
            <w:r w:rsidR="00DD519E">
              <w:rPr>
                <w:noProof/>
                <w:webHidden/>
              </w:rPr>
              <w:fldChar w:fldCharType="end"/>
            </w:r>
          </w:hyperlink>
        </w:p>
        <w:p w14:paraId="2B80C946" w14:textId="0F69F5DC" w:rsidR="00DD519E" w:rsidRDefault="00BF5CCE">
          <w:pPr>
            <w:pStyle w:val="TOC1"/>
            <w:tabs>
              <w:tab w:val="left" w:pos="440"/>
              <w:tab w:val="right" w:leader="dot" w:pos="9622"/>
            </w:tabs>
            <w:rPr>
              <w:rFonts w:asciiTheme="minorHAnsi" w:eastAsiaTheme="minorEastAsia" w:hAnsiTheme="minorHAnsi"/>
              <w:noProof/>
              <w:color w:val="auto"/>
              <w:szCs w:val="22"/>
              <w:lang w:eastAsia="en-AU"/>
            </w:rPr>
          </w:pPr>
          <w:hyperlink w:anchor="_Toc40710205" w:history="1">
            <w:r w:rsidR="00DD519E" w:rsidRPr="0056069F">
              <w:rPr>
                <w:rStyle w:val="Hyperlink"/>
                <w:rFonts w:cs="Arial"/>
                <w:noProof/>
                <w:lang w:val="en-US"/>
              </w:rPr>
              <w:t>4.</w:t>
            </w:r>
            <w:r w:rsidR="00DD519E">
              <w:rPr>
                <w:rFonts w:asciiTheme="minorHAnsi" w:eastAsiaTheme="minorEastAsia" w:hAnsiTheme="minorHAnsi"/>
                <w:noProof/>
                <w:color w:val="auto"/>
                <w:szCs w:val="22"/>
                <w:lang w:eastAsia="en-AU"/>
              </w:rPr>
              <w:tab/>
            </w:r>
            <w:r w:rsidR="00DD519E" w:rsidRPr="0056069F">
              <w:rPr>
                <w:rStyle w:val="Hyperlink"/>
                <w:rFonts w:cs="Arial"/>
                <w:noProof/>
                <w:lang w:val="en-US"/>
              </w:rPr>
              <w:t>Not approved</w:t>
            </w:r>
            <w:r w:rsidR="00DD519E">
              <w:rPr>
                <w:noProof/>
                <w:webHidden/>
              </w:rPr>
              <w:tab/>
            </w:r>
            <w:r w:rsidR="00DD519E">
              <w:rPr>
                <w:noProof/>
                <w:webHidden/>
              </w:rPr>
              <w:fldChar w:fldCharType="begin"/>
            </w:r>
            <w:r w:rsidR="00DD519E">
              <w:rPr>
                <w:noProof/>
                <w:webHidden/>
              </w:rPr>
              <w:instrText xml:space="preserve"> PAGEREF _Toc40710205 \h </w:instrText>
            </w:r>
            <w:r w:rsidR="00DD519E">
              <w:rPr>
                <w:noProof/>
                <w:webHidden/>
              </w:rPr>
            </w:r>
            <w:r w:rsidR="00DD519E">
              <w:rPr>
                <w:noProof/>
                <w:webHidden/>
              </w:rPr>
              <w:fldChar w:fldCharType="separate"/>
            </w:r>
            <w:r w:rsidR="00DD519E">
              <w:rPr>
                <w:noProof/>
                <w:webHidden/>
              </w:rPr>
              <w:t>8</w:t>
            </w:r>
            <w:r w:rsidR="00DD519E">
              <w:rPr>
                <w:noProof/>
                <w:webHidden/>
              </w:rPr>
              <w:fldChar w:fldCharType="end"/>
            </w:r>
          </w:hyperlink>
        </w:p>
        <w:p w14:paraId="06B64C63" w14:textId="6094FD52" w:rsidR="00DD519E" w:rsidRDefault="00BF5CCE">
          <w:pPr>
            <w:pStyle w:val="TOC1"/>
            <w:tabs>
              <w:tab w:val="right" w:leader="dot" w:pos="9622"/>
            </w:tabs>
            <w:rPr>
              <w:rFonts w:asciiTheme="minorHAnsi" w:eastAsiaTheme="minorEastAsia" w:hAnsiTheme="minorHAnsi"/>
              <w:noProof/>
              <w:color w:val="auto"/>
              <w:szCs w:val="22"/>
              <w:lang w:eastAsia="en-AU"/>
            </w:rPr>
          </w:pPr>
          <w:hyperlink w:anchor="_Toc40710206" w:history="1">
            <w:r w:rsidR="00DD519E" w:rsidRPr="0056069F">
              <w:rPr>
                <w:rStyle w:val="Hyperlink"/>
                <w:rFonts w:cs="Arial"/>
                <w:noProof/>
                <w:lang w:val="en-US"/>
              </w:rPr>
              <w:t>Follow-up review of approved projects</w:t>
            </w:r>
            <w:r w:rsidR="00DD519E">
              <w:rPr>
                <w:noProof/>
                <w:webHidden/>
              </w:rPr>
              <w:tab/>
            </w:r>
            <w:r w:rsidR="00DD519E">
              <w:rPr>
                <w:noProof/>
                <w:webHidden/>
              </w:rPr>
              <w:fldChar w:fldCharType="begin"/>
            </w:r>
            <w:r w:rsidR="00DD519E">
              <w:rPr>
                <w:noProof/>
                <w:webHidden/>
              </w:rPr>
              <w:instrText xml:space="preserve"> PAGEREF _Toc40710206 \h </w:instrText>
            </w:r>
            <w:r w:rsidR="00DD519E">
              <w:rPr>
                <w:noProof/>
                <w:webHidden/>
              </w:rPr>
            </w:r>
            <w:r w:rsidR="00DD519E">
              <w:rPr>
                <w:noProof/>
                <w:webHidden/>
              </w:rPr>
              <w:fldChar w:fldCharType="separate"/>
            </w:r>
            <w:r w:rsidR="00DD519E">
              <w:rPr>
                <w:noProof/>
                <w:webHidden/>
              </w:rPr>
              <w:t>8</w:t>
            </w:r>
            <w:r w:rsidR="00DD519E">
              <w:rPr>
                <w:noProof/>
                <w:webHidden/>
              </w:rPr>
              <w:fldChar w:fldCharType="end"/>
            </w:r>
          </w:hyperlink>
        </w:p>
        <w:p w14:paraId="1A9D3028" w14:textId="47EE2F1F" w:rsidR="00DD519E" w:rsidRDefault="00BF5CCE">
          <w:pPr>
            <w:pStyle w:val="TOC1"/>
            <w:tabs>
              <w:tab w:val="right" w:leader="dot" w:pos="9622"/>
            </w:tabs>
            <w:rPr>
              <w:rFonts w:asciiTheme="minorHAnsi" w:eastAsiaTheme="minorEastAsia" w:hAnsiTheme="minorHAnsi"/>
              <w:noProof/>
              <w:color w:val="auto"/>
              <w:szCs w:val="22"/>
              <w:lang w:eastAsia="en-AU"/>
            </w:rPr>
          </w:pPr>
          <w:hyperlink w:anchor="_Toc40710207" w:history="1">
            <w:r w:rsidR="00DD519E" w:rsidRPr="0056069F">
              <w:rPr>
                <w:rStyle w:val="Hyperlink"/>
                <w:rFonts w:cs="Arial"/>
                <w:noProof/>
                <w:lang w:val="en-US"/>
              </w:rPr>
              <w:t>Monitoring of animal care and use</w:t>
            </w:r>
            <w:r w:rsidR="00DD519E">
              <w:rPr>
                <w:noProof/>
                <w:webHidden/>
              </w:rPr>
              <w:tab/>
            </w:r>
            <w:r w:rsidR="00DD519E">
              <w:rPr>
                <w:noProof/>
                <w:webHidden/>
              </w:rPr>
              <w:fldChar w:fldCharType="begin"/>
            </w:r>
            <w:r w:rsidR="00DD519E">
              <w:rPr>
                <w:noProof/>
                <w:webHidden/>
              </w:rPr>
              <w:instrText xml:space="preserve"> PAGEREF _Toc40710207 \h </w:instrText>
            </w:r>
            <w:r w:rsidR="00DD519E">
              <w:rPr>
                <w:noProof/>
                <w:webHidden/>
              </w:rPr>
            </w:r>
            <w:r w:rsidR="00DD519E">
              <w:rPr>
                <w:noProof/>
                <w:webHidden/>
              </w:rPr>
              <w:fldChar w:fldCharType="separate"/>
            </w:r>
            <w:r w:rsidR="00DD519E">
              <w:rPr>
                <w:noProof/>
                <w:webHidden/>
              </w:rPr>
              <w:t>9</w:t>
            </w:r>
            <w:r w:rsidR="00DD519E">
              <w:rPr>
                <w:noProof/>
                <w:webHidden/>
              </w:rPr>
              <w:fldChar w:fldCharType="end"/>
            </w:r>
          </w:hyperlink>
        </w:p>
        <w:p w14:paraId="1B4D3F3B" w14:textId="6E2C7368" w:rsidR="00DD519E" w:rsidRDefault="00BF5CCE">
          <w:pPr>
            <w:pStyle w:val="TOC1"/>
            <w:tabs>
              <w:tab w:val="right" w:leader="dot" w:pos="9622"/>
            </w:tabs>
            <w:rPr>
              <w:rFonts w:asciiTheme="minorHAnsi" w:eastAsiaTheme="minorEastAsia" w:hAnsiTheme="minorHAnsi"/>
              <w:noProof/>
              <w:color w:val="auto"/>
              <w:szCs w:val="22"/>
              <w:lang w:eastAsia="en-AU"/>
            </w:rPr>
          </w:pPr>
          <w:hyperlink w:anchor="_Toc40710208" w:history="1">
            <w:r w:rsidR="00DD519E" w:rsidRPr="0056069F">
              <w:rPr>
                <w:rStyle w:val="Hyperlink"/>
                <w:rFonts w:cs="Arial"/>
                <w:noProof/>
                <w:lang w:val="en-US"/>
              </w:rPr>
              <w:t>Reporting to the licence holder (institution)</w:t>
            </w:r>
            <w:r w:rsidR="00DD519E">
              <w:rPr>
                <w:noProof/>
                <w:webHidden/>
              </w:rPr>
              <w:tab/>
            </w:r>
            <w:r w:rsidR="00DD519E">
              <w:rPr>
                <w:noProof/>
                <w:webHidden/>
              </w:rPr>
              <w:fldChar w:fldCharType="begin"/>
            </w:r>
            <w:r w:rsidR="00DD519E">
              <w:rPr>
                <w:noProof/>
                <w:webHidden/>
              </w:rPr>
              <w:instrText xml:space="preserve"> PAGEREF _Toc40710208 \h </w:instrText>
            </w:r>
            <w:r w:rsidR="00DD519E">
              <w:rPr>
                <w:noProof/>
                <w:webHidden/>
              </w:rPr>
            </w:r>
            <w:r w:rsidR="00DD519E">
              <w:rPr>
                <w:noProof/>
                <w:webHidden/>
              </w:rPr>
              <w:fldChar w:fldCharType="separate"/>
            </w:r>
            <w:r w:rsidR="00DD519E">
              <w:rPr>
                <w:noProof/>
                <w:webHidden/>
              </w:rPr>
              <w:t>9</w:t>
            </w:r>
            <w:r w:rsidR="00DD519E">
              <w:rPr>
                <w:noProof/>
                <w:webHidden/>
              </w:rPr>
              <w:fldChar w:fldCharType="end"/>
            </w:r>
          </w:hyperlink>
        </w:p>
        <w:p w14:paraId="7D7F85F5" w14:textId="4F359BAD" w:rsidR="00DD519E" w:rsidRDefault="00BF5CCE">
          <w:pPr>
            <w:pStyle w:val="TOC1"/>
            <w:tabs>
              <w:tab w:val="right" w:leader="dot" w:pos="9622"/>
            </w:tabs>
            <w:rPr>
              <w:rFonts w:asciiTheme="minorHAnsi" w:eastAsiaTheme="minorEastAsia" w:hAnsiTheme="minorHAnsi"/>
              <w:noProof/>
              <w:color w:val="auto"/>
              <w:szCs w:val="22"/>
              <w:lang w:eastAsia="en-AU"/>
            </w:rPr>
          </w:pPr>
          <w:hyperlink w:anchor="_Toc40710209" w:history="1">
            <w:r w:rsidR="00DD519E" w:rsidRPr="0056069F">
              <w:rPr>
                <w:rStyle w:val="Hyperlink"/>
                <w:rFonts w:cs="Arial"/>
                <w:noProof/>
                <w:lang w:val="en-US"/>
              </w:rPr>
              <w:t>See also</w:t>
            </w:r>
            <w:r w:rsidR="00DD519E">
              <w:rPr>
                <w:noProof/>
                <w:webHidden/>
              </w:rPr>
              <w:tab/>
            </w:r>
            <w:r w:rsidR="00DD519E">
              <w:rPr>
                <w:noProof/>
                <w:webHidden/>
              </w:rPr>
              <w:fldChar w:fldCharType="begin"/>
            </w:r>
            <w:r w:rsidR="00DD519E">
              <w:rPr>
                <w:noProof/>
                <w:webHidden/>
              </w:rPr>
              <w:instrText xml:space="preserve"> PAGEREF _Toc40710209 \h </w:instrText>
            </w:r>
            <w:r w:rsidR="00DD519E">
              <w:rPr>
                <w:noProof/>
                <w:webHidden/>
              </w:rPr>
            </w:r>
            <w:r w:rsidR="00DD519E">
              <w:rPr>
                <w:noProof/>
                <w:webHidden/>
              </w:rPr>
              <w:fldChar w:fldCharType="separate"/>
            </w:r>
            <w:r w:rsidR="00DD519E">
              <w:rPr>
                <w:noProof/>
                <w:webHidden/>
              </w:rPr>
              <w:t>9</w:t>
            </w:r>
            <w:r w:rsidR="00DD519E">
              <w:rPr>
                <w:noProof/>
                <w:webHidden/>
              </w:rPr>
              <w:fldChar w:fldCharType="end"/>
            </w:r>
          </w:hyperlink>
        </w:p>
        <w:p w14:paraId="224BDCD6" w14:textId="4DCBF8DE" w:rsidR="00922CC8" w:rsidRPr="002D481B" w:rsidRDefault="00922CC8">
          <w:r w:rsidRPr="002D481B">
            <w:rPr>
              <w:b/>
              <w:bCs/>
              <w:noProof/>
            </w:rPr>
            <w:fldChar w:fldCharType="end"/>
          </w:r>
        </w:p>
      </w:sdtContent>
    </w:sdt>
    <w:p w14:paraId="0384F579" w14:textId="77777777" w:rsidR="00922CC8" w:rsidRPr="002D481B" w:rsidRDefault="00922CC8">
      <w:pPr>
        <w:snapToGrid/>
        <w:spacing w:after="0"/>
        <w:rPr>
          <w:b/>
          <w:color w:val="E57100" w:themeColor="accent1"/>
          <w:sz w:val="24"/>
          <w:szCs w:val="22"/>
        </w:rPr>
      </w:pPr>
      <w:r w:rsidRPr="002D481B">
        <w:br w:type="page"/>
      </w:r>
    </w:p>
    <w:p w14:paraId="25D71A3D" w14:textId="07633215" w:rsidR="00757643" w:rsidRPr="002D481B" w:rsidRDefault="00757643" w:rsidP="00474EA4">
      <w:pPr>
        <w:pStyle w:val="Heading1"/>
        <w:spacing w:after="240"/>
        <w:ind w:left="426" w:hanging="426"/>
        <w:rPr>
          <w:rFonts w:cs="Arial"/>
          <w:color w:val="00B7BD" w:themeColor="accent3"/>
          <w:szCs w:val="24"/>
          <w:lang w:val="en-US"/>
        </w:rPr>
      </w:pPr>
      <w:bookmarkStart w:id="3" w:name="_Toc40710198"/>
      <w:r w:rsidRPr="002D481B">
        <w:rPr>
          <w:rFonts w:cs="Arial"/>
          <w:color w:val="00B7BD" w:themeColor="accent3"/>
          <w:szCs w:val="24"/>
          <w:lang w:val="en-US"/>
        </w:rPr>
        <w:lastRenderedPageBreak/>
        <w:t>Introduction</w:t>
      </w:r>
      <w:bookmarkEnd w:id="1"/>
      <w:bookmarkEnd w:id="3"/>
      <w:r w:rsidRPr="002D481B">
        <w:rPr>
          <w:rFonts w:cs="Arial"/>
          <w:color w:val="00B7BD" w:themeColor="accent3"/>
          <w:szCs w:val="24"/>
          <w:lang w:val="en-US"/>
        </w:rPr>
        <w:t xml:space="preserve"> </w:t>
      </w:r>
    </w:p>
    <w:p w14:paraId="0DDEE7AB" w14:textId="77777777" w:rsidR="00BF749F" w:rsidRDefault="00AB357D" w:rsidP="00CC4AE7">
      <w:pPr>
        <w:spacing w:before="240"/>
        <w:jc w:val="both"/>
        <w:rPr>
          <w:rFonts w:cs="Arial"/>
        </w:rPr>
      </w:pPr>
      <w:r w:rsidRPr="008578E7">
        <w:rPr>
          <w:rFonts w:cs="Arial"/>
        </w:rPr>
        <w:t>A</w:t>
      </w:r>
      <w:r w:rsidR="00757643" w:rsidRPr="008578E7">
        <w:rPr>
          <w:rFonts w:cs="Arial"/>
        </w:rPr>
        <w:t>n Animal Ethics Committee</w:t>
      </w:r>
      <w:r w:rsidR="00922338" w:rsidRPr="008578E7">
        <w:rPr>
          <w:rFonts w:cs="Arial"/>
        </w:rPr>
        <w:t>’s</w:t>
      </w:r>
      <w:r w:rsidR="00757643" w:rsidRPr="008578E7">
        <w:rPr>
          <w:rFonts w:cs="Arial"/>
        </w:rPr>
        <w:t xml:space="preserve"> (AEC) </w:t>
      </w:r>
      <w:r w:rsidRPr="008578E7">
        <w:rPr>
          <w:rFonts w:cs="Arial"/>
        </w:rPr>
        <w:t>primary responsib</w:t>
      </w:r>
      <w:r w:rsidR="00922338" w:rsidRPr="008578E7">
        <w:rPr>
          <w:rFonts w:cs="Arial"/>
        </w:rPr>
        <w:t xml:space="preserve">ility is </w:t>
      </w:r>
      <w:r w:rsidR="00757643" w:rsidRPr="008578E7">
        <w:rPr>
          <w:rFonts w:cs="Arial"/>
        </w:rPr>
        <w:t>to ensure that all care and use of animals conducted by their nominating organisation complies with the Australian code for the care and use of animals for scientific purposes 8th ed</w:t>
      </w:r>
      <w:r w:rsidR="00AB49D1" w:rsidRPr="008578E7">
        <w:rPr>
          <w:rFonts w:cs="Arial"/>
        </w:rPr>
        <w:t>ition</w:t>
      </w:r>
      <w:r w:rsidR="00757643" w:rsidRPr="008578E7">
        <w:rPr>
          <w:rFonts w:cs="Arial"/>
        </w:rPr>
        <w:t xml:space="preserve"> 2013 (Australian code). </w:t>
      </w:r>
    </w:p>
    <w:p w14:paraId="481661D6" w14:textId="47DDE713" w:rsidR="00757643" w:rsidRPr="00630451" w:rsidRDefault="00A52EDA" w:rsidP="00630451">
      <w:pPr>
        <w:pStyle w:val="IntenseQuote"/>
      </w:pPr>
      <w:r>
        <w:t>Animal Ethics Committees are</w:t>
      </w:r>
      <w:r w:rsidR="00757643" w:rsidRPr="00630451">
        <w:t xml:space="preserve"> bound by the </w:t>
      </w:r>
      <w:r w:rsidR="00757643" w:rsidRPr="002D481B">
        <w:rPr>
          <w:szCs w:val="22"/>
        </w:rPr>
        <w:t xml:space="preserve">Prevention of Cruelty to Animals Act 1986 </w:t>
      </w:r>
      <w:r w:rsidR="00757643" w:rsidRPr="00630451">
        <w:t>(</w:t>
      </w:r>
      <w:r w:rsidR="00566CE1" w:rsidRPr="00630451">
        <w:t>the</w:t>
      </w:r>
      <w:r w:rsidR="00757643" w:rsidRPr="00630451">
        <w:t xml:space="preserve"> Act), associated </w:t>
      </w:r>
      <w:r w:rsidR="00ED09A3" w:rsidRPr="00630451">
        <w:t>R</w:t>
      </w:r>
      <w:r w:rsidR="00757643" w:rsidRPr="00630451">
        <w:t xml:space="preserve">egulations, the Australian code, institutional policies, and </w:t>
      </w:r>
      <w:r w:rsidR="00BD2497">
        <w:t>their</w:t>
      </w:r>
      <w:r w:rsidR="00757643" w:rsidRPr="00630451">
        <w:t xml:space="preserve"> </w:t>
      </w:r>
      <w:r w:rsidR="0068057F" w:rsidRPr="00630451">
        <w:t>t</w:t>
      </w:r>
      <w:r w:rsidR="00757643" w:rsidRPr="00630451">
        <w:t xml:space="preserve">erms of </w:t>
      </w:r>
      <w:r w:rsidR="0068057F" w:rsidRPr="00630451">
        <w:t>r</w:t>
      </w:r>
      <w:r w:rsidR="00757643" w:rsidRPr="00630451">
        <w:t>eference.</w:t>
      </w:r>
    </w:p>
    <w:p w14:paraId="1DB43A1E" w14:textId="77777777" w:rsidR="00757643" w:rsidRPr="002D481B" w:rsidRDefault="00757643" w:rsidP="00A07F76">
      <w:pPr>
        <w:spacing w:after="0"/>
        <w:jc w:val="both"/>
        <w:rPr>
          <w:szCs w:val="22"/>
        </w:rPr>
      </w:pPr>
      <w:r w:rsidRPr="002D481B">
        <w:rPr>
          <w:szCs w:val="22"/>
        </w:rPr>
        <w:t>The AEC must:</w:t>
      </w:r>
    </w:p>
    <w:p w14:paraId="5451162F" w14:textId="77777777" w:rsidR="00AB357D" w:rsidRPr="002D481B" w:rsidRDefault="00757643" w:rsidP="00CC4AE7">
      <w:pPr>
        <w:pStyle w:val="ListParagraph"/>
        <w:numPr>
          <w:ilvl w:val="0"/>
          <w:numId w:val="19"/>
        </w:numPr>
        <w:spacing w:line="240" w:lineRule="auto"/>
        <w:jc w:val="both"/>
        <w:rPr>
          <w:sz w:val="22"/>
          <w:szCs w:val="22"/>
          <w:lang w:val="en-AU"/>
        </w:rPr>
      </w:pPr>
      <w:r w:rsidRPr="002D481B">
        <w:rPr>
          <w:sz w:val="22"/>
          <w:szCs w:val="22"/>
          <w:lang w:val="en-AU"/>
        </w:rPr>
        <w:t>review applications for</w:t>
      </w:r>
      <w:r w:rsidR="00AB357D" w:rsidRPr="002D481B">
        <w:rPr>
          <w:sz w:val="22"/>
          <w:szCs w:val="22"/>
          <w:lang w:val="en-AU"/>
        </w:rPr>
        <w:t>:</w:t>
      </w:r>
    </w:p>
    <w:p w14:paraId="520DCE85" w14:textId="49659AFA" w:rsidR="00AB357D" w:rsidRPr="002D481B" w:rsidRDefault="00AB357D" w:rsidP="00CC4AE7">
      <w:pPr>
        <w:pStyle w:val="ListParagraph"/>
        <w:numPr>
          <w:ilvl w:val="1"/>
          <w:numId w:val="27"/>
        </w:numPr>
        <w:spacing w:line="240" w:lineRule="auto"/>
        <w:ind w:left="1276" w:hanging="142"/>
        <w:jc w:val="both"/>
        <w:rPr>
          <w:sz w:val="22"/>
          <w:szCs w:val="22"/>
          <w:lang w:val="en-AU"/>
        </w:rPr>
      </w:pPr>
      <w:r w:rsidRPr="002D481B">
        <w:rPr>
          <w:sz w:val="22"/>
          <w:szCs w:val="22"/>
          <w:lang w:val="en-AU"/>
        </w:rPr>
        <w:t>new</w:t>
      </w:r>
      <w:r w:rsidR="00757643" w:rsidRPr="002D481B">
        <w:rPr>
          <w:sz w:val="22"/>
          <w:szCs w:val="22"/>
          <w:lang w:val="en-AU"/>
        </w:rPr>
        <w:t xml:space="preserve"> projects </w:t>
      </w:r>
    </w:p>
    <w:p w14:paraId="2541A311" w14:textId="77777777" w:rsidR="00AB357D" w:rsidRPr="002D481B" w:rsidRDefault="00757643" w:rsidP="00CC4AE7">
      <w:pPr>
        <w:pStyle w:val="ListParagraph"/>
        <w:numPr>
          <w:ilvl w:val="1"/>
          <w:numId w:val="27"/>
        </w:numPr>
        <w:spacing w:line="240" w:lineRule="auto"/>
        <w:ind w:left="1276" w:hanging="142"/>
        <w:jc w:val="both"/>
        <w:rPr>
          <w:sz w:val="22"/>
          <w:szCs w:val="22"/>
          <w:lang w:val="en-AU"/>
        </w:rPr>
      </w:pPr>
      <w:r w:rsidRPr="002D481B">
        <w:rPr>
          <w:sz w:val="22"/>
          <w:szCs w:val="22"/>
          <w:lang w:val="en-AU"/>
        </w:rPr>
        <w:t>proposed modifications to approved projects</w:t>
      </w:r>
    </w:p>
    <w:p w14:paraId="26C63547" w14:textId="2D8DB556" w:rsidR="00757643" w:rsidRPr="002D481B" w:rsidRDefault="00757643" w:rsidP="00CC4AE7">
      <w:pPr>
        <w:pStyle w:val="ListParagraph"/>
        <w:numPr>
          <w:ilvl w:val="1"/>
          <w:numId w:val="27"/>
        </w:numPr>
        <w:spacing w:line="240" w:lineRule="auto"/>
        <w:ind w:left="1276" w:hanging="142"/>
        <w:jc w:val="both"/>
        <w:rPr>
          <w:sz w:val="22"/>
          <w:szCs w:val="22"/>
          <w:lang w:val="en-AU"/>
        </w:rPr>
      </w:pPr>
      <w:r w:rsidRPr="002D481B">
        <w:rPr>
          <w:sz w:val="22"/>
          <w:szCs w:val="22"/>
          <w:lang w:val="en-AU"/>
        </w:rPr>
        <w:t>activities applicable to breeding programs</w:t>
      </w:r>
    </w:p>
    <w:p w14:paraId="1CF6BDF6" w14:textId="52010188" w:rsidR="00757643" w:rsidRPr="002D481B" w:rsidRDefault="00757643" w:rsidP="00CC4AE7">
      <w:pPr>
        <w:pStyle w:val="ListParagraph"/>
        <w:numPr>
          <w:ilvl w:val="1"/>
          <w:numId w:val="27"/>
        </w:numPr>
        <w:spacing w:line="240" w:lineRule="auto"/>
        <w:ind w:left="1276" w:hanging="142"/>
        <w:jc w:val="both"/>
        <w:rPr>
          <w:sz w:val="22"/>
          <w:szCs w:val="22"/>
          <w:lang w:val="en-AU"/>
        </w:rPr>
      </w:pPr>
      <w:r w:rsidRPr="002D481B">
        <w:rPr>
          <w:sz w:val="22"/>
          <w:szCs w:val="22"/>
          <w:lang w:val="en-AU"/>
        </w:rPr>
        <w:t>activities associated with the care and management of animals in facilities</w:t>
      </w:r>
      <w:r w:rsidR="00FF6F26" w:rsidRPr="002D481B">
        <w:rPr>
          <w:sz w:val="22"/>
          <w:szCs w:val="22"/>
          <w:lang w:val="en-AU"/>
        </w:rPr>
        <w:t>.</w:t>
      </w:r>
      <w:r w:rsidRPr="002D481B">
        <w:rPr>
          <w:sz w:val="22"/>
          <w:szCs w:val="22"/>
          <w:lang w:val="en-AU"/>
        </w:rPr>
        <w:t xml:space="preserve"> </w:t>
      </w:r>
    </w:p>
    <w:p w14:paraId="40E23FB0" w14:textId="08F93AED" w:rsidR="00757643" w:rsidRPr="002D481B" w:rsidRDefault="00757643" w:rsidP="00CC4AE7">
      <w:pPr>
        <w:pStyle w:val="ListParagraph"/>
        <w:numPr>
          <w:ilvl w:val="0"/>
          <w:numId w:val="19"/>
        </w:numPr>
        <w:spacing w:line="240" w:lineRule="auto"/>
        <w:jc w:val="both"/>
        <w:rPr>
          <w:sz w:val="22"/>
          <w:szCs w:val="22"/>
          <w:lang w:val="en-AU"/>
        </w:rPr>
      </w:pPr>
      <w:r w:rsidRPr="002D481B">
        <w:rPr>
          <w:sz w:val="22"/>
          <w:szCs w:val="22"/>
          <w:lang w:val="en-AU"/>
        </w:rPr>
        <w:t xml:space="preserve">conduct follow-up review of approved projects and activities </w:t>
      </w:r>
    </w:p>
    <w:p w14:paraId="42B21B0E" w14:textId="5C564DD8" w:rsidR="00757643" w:rsidRPr="002D481B" w:rsidRDefault="00757643" w:rsidP="00CC4AE7">
      <w:pPr>
        <w:pStyle w:val="ListParagraph"/>
        <w:numPr>
          <w:ilvl w:val="0"/>
          <w:numId w:val="19"/>
        </w:numPr>
        <w:spacing w:line="240" w:lineRule="auto"/>
        <w:jc w:val="both"/>
        <w:rPr>
          <w:sz w:val="22"/>
          <w:szCs w:val="22"/>
          <w:lang w:val="en-AU"/>
        </w:rPr>
      </w:pPr>
      <w:r w:rsidRPr="002D481B">
        <w:rPr>
          <w:sz w:val="22"/>
          <w:szCs w:val="22"/>
          <w:lang w:val="en-AU"/>
        </w:rPr>
        <w:t xml:space="preserve">monitor the care and use of animals, including housing conditions, practices, and procedures involved in the care of animals in facilities </w:t>
      </w:r>
    </w:p>
    <w:p w14:paraId="45C4B2F0" w14:textId="75F536B3" w:rsidR="00757643" w:rsidRPr="002D481B" w:rsidRDefault="00757643" w:rsidP="00CC4AE7">
      <w:pPr>
        <w:pStyle w:val="ListParagraph"/>
        <w:numPr>
          <w:ilvl w:val="0"/>
          <w:numId w:val="19"/>
        </w:numPr>
        <w:spacing w:line="240" w:lineRule="auto"/>
        <w:jc w:val="both"/>
        <w:rPr>
          <w:sz w:val="22"/>
          <w:szCs w:val="22"/>
          <w:lang w:val="en-AU"/>
        </w:rPr>
      </w:pPr>
      <w:r w:rsidRPr="002D481B">
        <w:rPr>
          <w:sz w:val="22"/>
          <w:szCs w:val="22"/>
          <w:lang w:val="en-AU"/>
        </w:rPr>
        <w:t xml:space="preserve">take appropriate actions regarding </w:t>
      </w:r>
      <w:r w:rsidR="00922338" w:rsidRPr="002D481B">
        <w:rPr>
          <w:sz w:val="22"/>
          <w:szCs w:val="22"/>
          <w:lang w:val="en-AU"/>
        </w:rPr>
        <w:t xml:space="preserve">non-compliance and/or </w:t>
      </w:r>
      <w:r w:rsidRPr="002D481B">
        <w:rPr>
          <w:sz w:val="22"/>
          <w:szCs w:val="22"/>
          <w:lang w:val="en-AU"/>
        </w:rPr>
        <w:t>unexpected adverse events</w:t>
      </w:r>
    </w:p>
    <w:p w14:paraId="0A4D0ED4" w14:textId="3A62BFD6" w:rsidR="00757643" w:rsidRPr="002D481B" w:rsidRDefault="00757643" w:rsidP="00CC4AE7">
      <w:pPr>
        <w:pStyle w:val="ListParagraph"/>
        <w:numPr>
          <w:ilvl w:val="0"/>
          <w:numId w:val="19"/>
        </w:numPr>
        <w:spacing w:line="240" w:lineRule="auto"/>
        <w:jc w:val="both"/>
        <w:rPr>
          <w:sz w:val="22"/>
          <w:szCs w:val="22"/>
          <w:lang w:val="en-AU"/>
        </w:rPr>
      </w:pPr>
      <w:r w:rsidRPr="002D481B">
        <w:rPr>
          <w:sz w:val="22"/>
          <w:szCs w:val="22"/>
          <w:lang w:val="en-AU"/>
        </w:rPr>
        <w:t xml:space="preserve">approve guidelines for the care and use of animals on behalf of the institution </w:t>
      </w:r>
    </w:p>
    <w:p w14:paraId="493E84AD" w14:textId="796658D8" w:rsidR="00757643" w:rsidRPr="002D481B" w:rsidRDefault="00757643" w:rsidP="00CC4AE7">
      <w:pPr>
        <w:pStyle w:val="ListParagraph"/>
        <w:numPr>
          <w:ilvl w:val="0"/>
          <w:numId w:val="19"/>
        </w:numPr>
        <w:spacing w:line="240" w:lineRule="auto"/>
        <w:jc w:val="both"/>
        <w:rPr>
          <w:sz w:val="22"/>
          <w:szCs w:val="22"/>
          <w:lang w:val="en-AU"/>
        </w:rPr>
      </w:pPr>
      <w:r w:rsidRPr="002D481B">
        <w:rPr>
          <w:sz w:val="22"/>
          <w:szCs w:val="22"/>
          <w:lang w:val="en-AU"/>
        </w:rPr>
        <w:t>provide advice and recommendations to the institution regarding the care and use of animals</w:t>
      </w:r>
      <w:r w:rsidR="00AB357D" w:rsidRPr="002D481B">
        <w:rPr>
          <w:sz w:val="22"/>
          <w:szCs w:val="22"/>
          <w:lang w:val="en-AU"/>
        </w:rPr>
        <w:t>,</w:t>
      </w:r>
      <w:r w:rsidRPr="002D481B">
        <w:rPr>
          <w:sz w:val="22"/>
          <w:szCs w:val="22"/>
          <w:lang w:val="en-AU"/>
        </w:rPr>
        <w:t xml:space="preserve"> and</w:t>
      </w:r>
    </w:p>
    <w:p w14:paraId="7E74BA62" w14:textId="77777777" w:rsidR="00757643" w:rsidRPr="002D481B" w:rsidRDefault="00757643" w:rsidP="00CC4AE7">
      <w:pPr>
        <w:pStyle w:val="ListParagraph"/>
        <w:numPr>
          <w:ilvl w:val="0"/>
          <w:numId w:val="19"/>
        </w:numPr>
        <w:spacing w:line="240" w:lineRule="auto"/>
        <w:jc w:val="both"/>
        <w:rPr>
          <w:sz w:val="22"/>
          <w:szCs w:val="22"/>
          <w:lang w:val="en-AU"/>
        </w:rPr>
      </w:pPr>
      <w:r w:rsidRPr="002D481B">
        <w:rPr>
          <w:sz w:val="22"/>
          <w:szCs w:val="22"/>
          <w:lang w:val="en-AU"/>
        </w:rPr>
        <w:t>report on its operations to the institution.</w:t>
      </w:r>
    </w:p>
    <w:p w14:paraId="672B328B" w14:textId="37C95F23" w:rsidR="00757643" w:rsidRPr="002D481B" w:rsidRDefault="00110F8C" w:rsidP="00D3647F">
      <w:pPr>
        <w:pStyle w:val="Heading1"/>
        <w:spacing w:before="240" w:after="240"/>
        <w:ind w:left="426" w:hanging="426"/>
        <w:rPr>
          <w:rFonts w:cs="Arial"/>
          <w:color w:val="00B7BD" w:themeColor="accent3"/>
          <w:szCs w:val="24"/>
          <w:lang w:val="en-US"/>
        </w:rPr>
      </w:pPr>
      <w:bookmarkStart w:id="4" w:name="_Toc506359838"/>
      <w:bookmarkStart w:id="5" w:name="_Toc40710199"/>
      <w:r w:rsidRPr="002D481B">
        <w:rPr>
          <w:rFonts w:cs="Arial"/>
          <w:color w:val="00B7BD" w:themeColor="accent3"/>
          <w:szCs w:val="24"/>
          <w:lang w:val="en-US"/>
        </w:rPr>
        <w:t>M</w:t>
      </w:r>
      <w:r w:rsidR="00757643" w:rsidRPr="002D481B">
        <w:rPr>
          <w:rFonts w:cs="Arial"/>
          <w:color w:val="00B7BD" w:themeColor="accent3"/>
          <w:szCs w:val="24"/>
          <w:lang w:val="en-US"/>
        </w:rPr>
        <w:t>embership</w:t>
      </w:r>
      <w:bookmarkEnd w:id="4"/>
      <w:r w:rsidR="00DB7A45">
        <w:rPr>
          <w:rFonts w:cs="Arial"/>
          <w:color w:val="00B7BD" w:themeColor="accent3"/>
          <w:szCs w:val="24"/>
          <w:lang w:val="en-US"/>
        </w:rPr>
        <w:t xml:space="preserve"> and meeting procedures</w:t>
      </w:r>
      <w:bookmarkEnd w:id="5"/>
    </w:p>
    <w:p w14:paraId="4658E651" w14:textId="5A72199E" w:rsidR="00AC4EE2" w:rsidRPr="002D481B" w:rsidRDefault="00757643" w:rsidP="00757643">
      <w:pPr>
        <w:spacing w:before="240"/>
        <w:jc w:val="both"/>
      </w:pPr>
      <w:r w:rsidRPr="002D481B">
        <w:t xml:space="preserve">The Australian code defines </w:t>
      </w:r>
      <w:r w:rsidR="00922338" w:rsidRPr="002D481B">
        <w:t xml:space="preserve">an AEC’s </w:t>
      </w:r>
      <w:r w:rsidRPr="002D481B">
        <w:t xml:space="preserve">membership categories. A quorum is established by the presence of a category A, B, C and D member. </w:t>
      </w:r>
    </w:p>
    <w:p w14:paraId="6A7C846B" w14:textId="3FB87C21" w:rsidR="009A0C50" w:rsidRPr="002D481B" w:rsidRDefault="009173B6" w:rsidP="009A0C50">
      <w:pPr>
        <w:spacing w:before="240"/>
        <w:jc w:val="both"/>
      </w:pPr>
      <w:r w:rsidRPr="002D481B">
        <w:t xml:space="preserve">All members must be registered with </w:t>
      </w:r>
      <w:r w:rsidR="00F13B87" w:rsidRPr="002D481B">
        <w:t>Animal Welfare</w:t>
      </w:r>
      <w:r w:rsidRPr="002D481B">
        <w:t xml:space="preserve"> Victoria before they can participate in </w:t>
      </w:r>
      <w:r w:rsidR="00922338" w:rsidRPr="002D481B">
        <w:t xml:space="preserve">AEC </w:t>
      </w:r>
      <w:r w:rsidRPr="002D481B">
        <w:t>meeting</w:t>
      </w:r>
      <w:r w:rsidR="00922338" w:rsidRPr="002D481B">
        <w:t>s</w:t>
      </w:r>
      <w:r w:rsidRPr="002D481B">
        <w:t xml:space="preserve">. </w:t>
      </w:r>
      <w:r w:rsidR="009A0C50" w:rsidRPr="002D481B">
        <w:t xml:space="preserve">Members who fulfil the requirements for more than one category may only be registered for membership in </w:t>
      </w:r>
      <w:r w:rsidR="006271F7">
        <w:t>one</w:t>
      </w:r>
      <w:r w:rsidR="006921E7">
        <w:t xml:space="preserve">. They </w:t>
      </w:r>
      <w:r w:rsidR="009A0C50" w:rsidRPr="002D481B">
        <w:t xml:space="preserve">may not </w:t>
      </w:r>
      <w:r w:rsidR="00FF2467">
        <w:t xml:space="preserve">act in </w:t>
      </w:r>
      <w:r w:rsidR="00147759">
        <w:t>another</w:t>
      </w:r>
      <w:r w:rsidR="009A0C50" w:rsidRPr="002D481B">
        <w:t xml:space="preserve"> categor</w:t>
      </w:r>
      <w:r w:rsidR="00C00962">
        <w:t xml:space="preserve">y </w:t>
      </w:r>
      <w:r w:rsidR="00642C97">
        <w:t>concurrently bu</w:t>
      </w:r>
      <w:r w:rsidR="007C46DF">
        <w:t xml:space="preserve">t may </w:t>
      </w:r>
      <w:r w:rsidR="006B1DD1">
        <w:t>ch</w:t>
      </w:r>
      <w:r w:rsidR="000F7327">
        <w:t xml:space="preserve">ange </w:t>
      </w:r>
      <w:r w:rsidR="00C928D3">
        <w:t xml:space="preserve">categories by </w:t>
      </w:r>
      <w:r w:rsidR="009A2198">
        <w:t>amending their registration with</w:t>
      </w:r>
      <w:r w:rsidR="009A0C50" w:rsidRPr="002D481B">
        <w:t xml:space="preserve"> Animal Welfare Victoria.</w:t>
      </w:r>
    </w:p>
    <w:p w14:paraId="3A0CC97F" w14:textId="60BB8FF6" w:rsidR="00EC7A27" w:rsidRPr="002D481B" w:rsidRDefault="00636A05" w:rsidP="00EC7A27">
      <w:pPr>
        <w:spacing w:before="240"/>
        <w:jc w:val="both"/>
      </w:pPr>
      <w:r>
        <w:t xml:space="preserve">From </w:t>
      </w:r>
      <w:r w:rsidR="00EA3CCC" w:rsidRPr="00EA3CCC">
        <w:t xml:space="preserve">14 December 2019, all new members appointed to an AEC must complete training </w:t>
      </w:r>
      <w:r w:rsidR="00A429FD">
        <w:t>i</w:t>
      </w:r>
      <w:r w:rsidR="00EA3CCC" w:rsidRPr="00EA3CCC">
        <w:t>n their roles and responsibilities prior to, or within 6 months of their appointment. The training program must ha</w:t>
      </w:r>
      <w:r w:rsidR="00D36DE5">
        <w:t>v</w:t>
      </w:r>
      <w:r w:rsidR="00EA3CCC" w:rsidRPr="00EA3CCC">
        <w:t xml:space="preserve">e been approved by the Minister for Agriculture. </w:t>
      </w:r>
      <w:r w:rsidR="001A6586">
        <w:t>More inform</w:t>
      </w:r>
      <w:r w:rsidR="001F0925">
        <w:t xml:space="preserve">ation on </w:t>
      </w:r>
      <w:r w:rsidR="00074F2B">
        <w:t>approved</w:t>
      </w:r>
      <w:r w:rsidR="00B764A1">
        <w:t xml:space="preserve"> </w:t>
      </w:r>
      <w:r w:rsidR="00EA3CCC" w:rsidRPr="00EA3CCC">
        <w:t>training program</w:t>
      </w:r>
      <w:r w:rsidR="00D36DE5">
        <w:t xml:space="preserve">s </w:t>
      </w:r>
      <w:r w:rsidR="00FE43C0">
        <w:t xml:space="preserve">is </w:t>
      </w:r>
      <w:r w:rsidR="004E6F86">
        <w:t xml:space="preserve">available </w:t>
      </w:r>
      <w:r w:rsidR="00C419EA">
        <w:t>on the Animal Welfare Victoria website</w:t>
      </w:r>
      <w:r w:rsidR="0079201B">
        <w:t>.</w:t>
      </w:r>
    </w:p>
    <w:p w14:paraId="09DB3053" w14:textId="77777777" w:rsidR="009A0C50" w:rsidRPr="002D481B" w:rsidRDefault="008154AD" w:rsidP="009A0C50">
      <w:pPr>
        <w:spacing w:before="240"/>
        <w:jc w:val="both"/>
      </w:pPr>
      <w:r w:rsidRPr="002D481B">
        <w:t xml:space="preserve">AEC </w:t>
      </w:r>
      <w:r w:rsidR="009173B6" w:rsidRPr="002D481B">
        <w:t xml:space="preserve">members </w:t>
      </w:r>
      <w:r w:rsidR="00B9574C" w:rsidRPr="002D481B">
        <w:t>are registered with either voting or non-voting status.</w:t>
      </w:r>
      <w:r w:rsidRPr="002D481B">
        <w:t xml:space="preserve"> </w:t>
      </w:r>
      <w:r w:rsidR="009A0C50" w:rsidRPr="002D481B">
        <w:t xml:space="preserve">Categories C and D must together represent at least one-third of the entire AEC voting membership. Categories C and D must also represent at least one-third of the voting members present at meetings. </w:t>
      </w:r>
    </w:p>
    <w:p w14:paraId="1FFE1178" w14:textId="6CC3DF03" w:rsidR="00757643" w:rsidRPr="002D481B" w:rsidRDefault="00757643" w:rsidP="00757643">
      <w:pPr>
        <w:spacing w:before="240"/>
        <w:jc w:val="both"/>
      </w:pPr>
      <w:r w:rsidRPr="002D481B">
        <w:t xml:space="preserve">Additional members may be appointed to assist the AEC to function effectively, such as animal carers or persons with expertise on experimental design. This practice is recommended when it </w:t>
      </w:r>
      <w:r w:rsidR="00317F9F" w:rsidRPr="002D481B">
        <w:t>assists</w:t>
      </w:r>
      <w:r w:rsidRPr="002D481B">
        <w:t xml:space="preserve"> the AEC in its decision making. These additional members may be appointed as voting or non-voting members. </w:t>
      </w:r>
      <w:r w:rsidR="00F50C0F" w:rsidRPr="002D481B">
        <w:t>A</w:t>
      </w:r>
      <w:r w:rsidRPr="002D481B">
        <w:t>ssign</w:t>
      </w:r>
      <w:r w:rsidR="00F50C0F" w:rsidRPr="002D481B">
        <w:t>ing</w:t>
      </w:r>
      <w:r w:rsidRPr="002D481B">
        <w:t xml:space="preserve"> ‘non-voting’ status to AEC members on an ad-hoc basis to manage member balance</w:t>
      </w:r>
      <w:r w:rsidR="00F50C0F" w:rsidRPr="002D481B">
        <w:t xml:space="preserve"> is not permitted</w:t>
      </w:r>
      <w:r w:rsidRPr="002D481B">
        <w:t xml:space="preserve">. </w:t>
      </w:r>
    </w:p>
    <w:p w14:paraId="3EC0FC9F" w14:textId="77777777" w:rsidR="00757643" w:rsidRPr="002D481B" w:rsidRDefault="00757643" w:rsidP="00CC4AE7">
      <w:pPr>
        <w:pStyle w:val="Pa11"/>
        <w:spacing w:after="160" w:line="240" w:lineRule="auto"/>
        <w:jc w:val="both"/>
        <w:rPr>
          <w:rFonts w:ascii="Arial" w:eastAsiaTheme="minorHAnsi" w:hAnsi="Arial" w:cs="Arial"/>
          <w:color w:val="000000"/>
          <w:sz w:val="22"/>
          <w:szCs w:val="20"/>
          <w:lang w:eastAsia="en-US"/>
        </w:rPr>
      </w:pPr>
      <w:r w:rsidRPr="002D481B">
        <w:rPr>
          <w:rFonts w:ascii="Arial" w:eastAsiaTheme="minorHAnsi" w:hAnsi="Arial" w:cs="Arial"/>
          <w:color w:val="000000"/>
          <w:sz w:val="22"/>
          <w:szCs w:val="20"/>
          <w:lang w:eastAsia="en-US"/>
        </w:rPr>
        <w:lastRenderedPageBreak/>
        <w:t>The AEC may invite people with specific expertise to attend meetings, as required</w:t>
      </w:r>
      <w:r w:rsidR="00F50C0F" w:rsidRPr="002D481B">
        <w:rPr>
          <w:rFonts w:ascii="Arial" w:eastAsiaTheme="minorHAnsi" w:hAnsi="Arial" w:cs="Arial"/>
          <w:color w:val="000000"/>
          <w:sz w:val="22"/>
          <w:szCs w:val="20"/>
          <w:lang w:eastAsia="en-US"/>
        </w:rPr>
        <w:t>,</w:t>
      </w:r>
      <w:r w:rsidRPr="002D481B">
        <w:rPr>
          <w:rFonts w:ascii="Arial" w:eastAsiaTheme="minorHAnsi" w:hAnsi="Arial" w:cs="Arial"/>
          <w:color w:val="000000"/>
          <w:sz w:val="22"/>
          <w:szCs w:val="20"/>
          <w:lang w:eastAsia="en-US"/>
        </w:rPr>
        <w:t xml:space="preserve"> to provide advice to the AEC.</w:t>
      </w:r>
    </w:p>
    <w:p w14:paraId="61B5603D" w14:textId="1733F169" w:rsidR="009A0C50" w:rsidRPr="002D481B" w:rsidRDefault="00757643" w:rsidP="00CC4AE7">
      <w:pPr>
        <w:pStyle w:val="Pa11"/>
        <w:spacing w:after="160" w:line="240" w:lineRule="auto"/>
        <w:jc w:val="both"/>
        <w:rPr>
          <w:rFonts w:ascii="Arial" w:eastAsiaTheme="minorHAnsi" w:hAnsi="Arial" w:cs="Arial"/>
          <w:color w:val="000000"/>
          <w:sz w:val="22"/>
          <w:szCs w:val="20"/>
          <w:lang w:eastAsia="en-US"/>
        </w:rPr>
      </w:pPr>
      <w:r w:rsidRPr="002D481B">
        <w:rPr>
          <w:rFonts w:ascii="Arial" w:eastAsiaTheme="minorHAnsi" w:hAnsi="Arial" w:cs="Arial"/>
          <w:color w:val="000000"/>
          <w:sz w:val="22"/>
          <w:szCs w:val="20"/>
          <w:lang w:eastAsia="en-US"/>
        </w:rPr>
        <w:t>The Australian code mandates that Category C and D members of an AEC must be independent of the licence holder</w:t>
      </w:r>
      <w:r w:rsidR="009A0C50" w:rsidRPr="002D481B">
        <w:rPr>
          <w:rFonts w:ascii="Arial" w:eastAsiaTheme="minorHAnsi" w:hAnsi="Arial" w:cs="Arial"/>
          <w:color w:val="000000"/>
          <w:sz w:val="22"/>
          <w:szCs w:val="20"/>
          <w:lang w:eastAsia="en-US"/>
        </w:rPr>
        <w:t>.</w:t>
      </w:r>
      <w:r w:rsidRPr="002D481B">
        <w:rPr>
          <w:rFonts w:ascii="Arial" w:eastAsiaTheme="minorHAnsi" w:hAnsi="Arial" w:cs="Arial"/>
          <w:color w:val="000000"/>
          <w:sz w:val="22"/>
          <w:szCs w:val="20"/>
          <w:lang w:eastAsia="en-US"/>
        </w:rPr>
        <w:t xml:space="preserve"> </w:t>
      </w:r>
      <w:r w:rsidR="009A0C50" w:rsidRPr="002D481B">
        <w:rPr>
          <w:rFonts w:ascii="Arial" w:eastAsiaTheme="minorHAnsi" w:hAnsi="Arial" w:cs="Arial"/>
          <w:color w:val="000000"/>
          <w:sz w:val="22"/>
          <w:szCs w:val="20"/>
          <w:lang w:eastAsia="en-US"/>
        </w:rPr>
        <w:t>T</w:t>
      </w:r>
      <w:r w:rsidRPr="002D481B">
        <w:rPr>
          <w:rFonts w:ascii="Arial" w:eastAsiaTheme="minorHAnsi" w:hAnsi="Arial" w:cs="Arial"/>
          <w:color w:val="000000"/>
          <w:sz w:val="22"/>
          <w:szCs w:val="20"/>
          <w:lang w:eastAsia="en-US"/>
        </w:rPr>
        <w:t xml:space="preserve">hat is, </w:t>
      </w:r>
      <w:r w:rsidR="009A0C50" w:rsidRPr="002D481B">
        <w:rPr>
          <w:rFonts w:ascii="Arial" w:eastAsiaTheme="minorHAnsi" w:hAnsi="Arial" w:cs="Arial"/>
          <w:color w:val="000000"/>
          <w:sz w:val="22"/>
          <w:szCs w:val="20"/>
          <w:lang w:eastAsia="en-US"/>
        </w:rPr>
        <w:t xml:space="preserve">these members must </w:t>
      </w:r>
      <w:r w:rsidRPr="002D481B">
        <w:rPr>
          <w:rFonts w:ascii="Arial" w:eastAsiaTheme="minorHAnsi" w:hAnsi="Arial" w:cs="Arial"/>
          <w:color w:val="000000"/>
          <w:sz w:val="22"/>
          <w:szCs w:val="20"/>
          <w:lang w:eastAsia="en-US"/>
        </w:rPr>
        <w:t>not</w:t>
      </w:r>
      <w:r w:rsidR="009A0C50" w:rsidRPr="002D481B">
        <w:rPr>
          <w:rFonts w:ascii="Arial" w:eastAsiaTheme="minorHAnsi" w:hAnsi="Arial" w:cs="Arial"/>
          <w:color w:val="000000"/>
          <w:sz w:val="22"/>
          <w:szCs w:val="20"/>
          <w:lang w:eastAsia="en-US"/>
        </w:rPr>
        <w:t xml:space="preserve"> be</w:t>
      </w:r>
      <w:r w:rsidRPr="002D481B">
        <w:rPr>
          <w:rFonts w:ascii="Arial" w:eastAsiaTheme="minorHAnsi" w:hAnsi="Arial" w:cs="Arial"/>
          <w:color w:val="000000"/>
          <w:sz w:val="22"/>
          <w:szCs w:val="20"/>
          <w:lang w:eastAsia="en-US"/>
        </w:rPr>
        <w:t xml:space="preserve"> employed by or associated with the licensed institution that accesses the committee. </w:t>
      </w:r>
    </w:p>
    <w:p w14:paraId="5D132608" w14:textId="365D2BD2" w:rsidR="00757643" w:rsidRPr="002D481B" w:rsidRDefault="00757643" w:rsidP="00CC4AE7">
      <w:pPr>
        <w:pStyle w:val="Pa11"/>
        <w:spacing w:after="160" w:line="240" w:lineRule="auto"/>
        <w:jc w:val="both"/>
        <w:rPr>
          <w:rFonts w:ascii="Arial" w:eastAsiaTheme="minorHAnsi" w:hAnsi="Arial" w:cs="Arial"/>
          <w:color w:val="000000"/>
          <w:sz w:val="22"/>
          <w:szCs w:val="20"/>
          <w:lang w:eastAsia="en-US"/>
        </w:rPr>
      </w:pPr>
      <w:r w:rsidRPr="002D481B">
        <w:rPr>
          <w:rFonts w:ascii="Arial" w:eastAsiaTheme="minorHAnsi" w:hAnsi="Arial" w:cs="Arial"/>
          <w:color w:val="000000"/>
          <w:sz w:val="22"/>
          <w:szCs w:val="20"/>
          <w:lang w:eastAsia="en-US"/>
        </w:rPr>
        <w:t xml:space="preserve">Participation in AEC activities involves considerable commitment from independent members in terms of the costs involved in foregoing wages and personal time. </w:t>
      </w:r>
      <w:r w:rsidR="00F50C0F" w:rsidRPr="002D481B">
        <w:rPr>
          <w:rFonts w:ascii="Arial" w:eastAsiaTheme="minorHAnsi" w:hAnsi="Arial" w:cs="Arial"/>
          <w:color w:val="000000"/>
          <w:sz w:val="22"/>
          <w:szCs w:val="20"/>
          <w:lang w:eastAsia="en-US"/>
        </w:rPr>
        <w:t>Section 2.2.19 of the</w:t>
      </w:r>
      <w:r w:rsidRPr="002D481B">
        <w:rPr>
          <w:rFonts w:ascii="Arial" w:eastAsiaTheme="minorHAnsi" w:hAnsi="Arial" w:cs="Arial"/>
          <w:color w:val="000000"/>
          <w:sz w:val="22"/>
          <w:szCs w:val="20"/>
          <w:lang w:eastAsia="en-US"/>
        </w:rPr>
        <w:t xml:space="preserve"> Australian code</w:t>
      </w:r>
      <w:r w:rsidR="00F50C0F" w:rsidRPr="002D481B">
        <w:rPr>
          <w:rFonts w:ascii="Arial" w:eastAsiaTheme="minorHAnsi" w:hAnsi="Arial" w:cs="Arial"/>
          <w:color w:val="000000"/>
          <w:sz w:val="22"/>
          <w:szCs w:val="20"/>
          <w:lang w:eastAsia="en-US"/>
        </w:rPr>
        <w:t xml:space="preserve"> </w:t>
      </w:r>
      <w:r w:rsidRPr="002D481B">
        <w:rPr>
          <w:rFonts w:ascii="Arial" w:eastAsiaTheme="minorHAnsi" w:hAnsi="Arial" w:cs="Arial"/>
          <w:color w:val="000000"/>
          <w:sz w:val="22"/>
          <w:szCs w:val="20"/>
          <w:lang w:eastAsia="en-US"/>
        </w:rPr>
        <w:t>allows for appropriate reimbursement for personal expenses incurred in carrying out AEC activities and/or payment of an allowance. The amount paid should not be seen as constituting employment by the institution</w:t>
      </w:r>
      <w:r w:rsidR="009A0C50" w:rsidRPr="002D481B">
        <w:rPr>
          <w:rFonts w:ascii="Arial" w:eastAsiaTheme="minorHAnsi" w:hAnsi="Arial" w:cs="Arial"/>
          <w:color w:val="000000"/>
          <w:sz w:val="22"/>
          <w:szCs w:val="20"/>
          <w:lang w:eastAsia="en-US"/>
        </w:rPr>
        <w:t>,</w:t>
      </w:r>
      <w:r w:rsidRPr="002D481B">
        <w:rPr>
          <w:rFonts w:ascii="Arial" w:eastAsiaTheme="minorHAnsi" w:hAnsi="Arial" w:cs="Arial"/>
          <w:color w:val="000000"/>
          <w:sz w:val="22"/>
          <w:szCs w:val="20"/>
          <w:lang w:eastAsia="en-US"/>
        </w:rPr>
        <w:t xml:space="preserve"> nor be of sufficient size to influence decisions of the member.</w:t>
      </w:r>
    </w:p>
    <w:p w14:paraId="0AA5BFC8" w14:textId="5BE2D141" w:rsidR="0013216E" w:rsidRPr="00EA16F4" w:rsidRDefault="00757643" w:rsidP="00CC4AE7">
      <w:pPr>
        <w:pStyle w:val="Pa11"/>
        <w:spacing w:after="240" w:line="240" w:lineRule="auto"/>
        <w:jc w:val="both"/>
      </w:pPr>
      <w:r w:rsidRPr="00EA16F4">
        <w:rPr>
          <w:rFonts w:ascii="Arial" w:eastAsiaTheme="minorHAnsi" w:hAnsi="Arial" w:cs="Arial"/>
          <w:color w:val="000000"/>
          <w:sz w:val="22"/>
          <w:szCs w:val="20"/>
          <w:lang w:eastAsia="en-US"/>
        </w:rPr>
        <w:t>Sitting fees set by the Department of Premier and Cabinet for advisory committees (see schedule C) may be use</w:t>
      </w:r>
      <w:r w:rsidR="00706847" w:rsidRPr="00EA16F4">
        <w:rPr>
          <w:rFonts w:ascii="Arial" w:eastAsiaTheme="minorHAnsi" w:hAnsi="Arial" w:cs="Arial"/>
          <w:color w:val="000000"/>
          <w:sz w:val="22"/>
          <w:szCs w:val="20"/>
          <w:lang w:eastAsia="en-US"/>
        </w:rPr>
        <w:t>d</w:t>
      </w:r>
      <w:r w:rsidRPr="00EA16F4">
        <w:rPr>
          <w:rFonts w:ascii="Arial" w:eastAsiaTheme="minorHAnsi" w:hAnsi="Arial" w:cs="Arial"/>
          <w:color w:val="000000"/>
          <w:sz w:val="22"/>
          <w:szCs w:val="20"/>
          <w:lang w:eastAsia="en-US"/>
        </w:rPr>
        <w:t xml:space="preserve"> as a guide for institutions contemplating paying external members for their services</w:t>
      </w:r>
      <w:r w:rsidR="00706847" w:rsidRPr="00EA16F4">
        <w:rPr>
          <w:rFonts w:ascii="Arial" w:eastAsiaTheme="minorHAnsi" w:hAnsi="Arial" w:cs="Arial"/>
          <w:color w:val="000000"/>
          <w:sz w:val="22"/>
          <w:szCs w:val="20"/>
          <w:lang w:eastAsia="en-US"/>
        </w:rPr>
        <w:t xml:space="preserve"> </w:t>
      </w:r>
      <w:hyperlink r:id="rId14" w:history="1">
        <w:r w:rsidR="00FA644E" w:rsidRPr="00EA16F4">
          <w:rPr>
            <w:rFonts w:ascii="Arial" w:hAnsi="Arial" w:cs="Arial"/>
            <w:b/>
            <w:bCs/>
            <w:color w:val="0000FF"/>
            <w:sz w:val="22"/>
            <w:szCs w:val="20"/>
            <w:u w:val="single"/>
          </w:rPr>
          <w:t>www.dpc.vic.gov.au/index.php/policies/governance/appointment-and-remuneration-guidelines</w:t>
        </w:r>
      </w:hyperlink>
      <w:r w:rsidRPr="00EA16F4">
        <w:rPr>
          <w:rFonts w:ascii="Arial" w:eastAsiaTheme="minorHAnsi" w:hAnsi="Arial" w:cs="Arial"/>
          <w:color w:val="000000"/>
          <w:sz w:val="22"/>
          <w:szCs w:val="20"/>
          <w:lang w:eastAsia="en-US"/>
        </w:rPr>
        <w:t xml:space="preserve"> </w:t>
      </w:r>
    </w:p>
    <w:p w14:paraId="424257EF" w14:textId="2CDB1DA6" w:rsidR="00757643" w:rsidRPr="00EA16F4" w:rsidDel="00706847" w:rsidRDefault="00757643" w:rsidP="00757643">
      <w:pPr>
        <w:spacing w:before="240"/>
        <w:jc w:val="both"/>
      </w:pPr>
      <w:r w:rsidRPr="00EA16F4" w:rsidDel="00706847">
        <w:t>The AEC must endeavour to make its decisions by consensus in accordance with the Australian code. The final decision, and the reasons for the decision, must be promptly conveyed to the applicant. There is no legal requirement for project approvals to be signed by AEC members or</w:t>
      </w:r>
      <w:r w:rsidR="00E66A5D" w:rsidRPr="00EA16F4">
        <w:t xml:space="preserve"> </w:t>
      </w:r>
      <w:r w:rsidRPr="00EA16F4" w:rsidDel="00706847">
        <w:t>the chair</w:t>
      </w:r>
      <w:r w:rsidR="008A374D" w:rsidRPr="00EA16F4">
        <w:t>person</w:t>
      </w:r>
      <w:r w:rsidRPr="00EA16F4" w:rsidDel="00706847">
        <w:t>.</w:t>
      </w:r>
    </w:p>
    <w:p w14:paraId="063438B4" w14:textId="492257D0" w:rsidR="00757643" w:rsidRPr="00EA16F4" w:rsidRDefault="009A0C50" w:rsidP="00757643">
      <w:pPr>
        <w:spacing w:before="240"/>
        <w:jc w:val="both"/>
      </w:pPr>
      <w:r w:rsidRPr="00EA16F4">
        <w:t>If a conflict of interest is identified, affected m</w:t>
      </w:r>
      <w:r w:rsidR="00757643" w:rsidRPr="00EA16F4">
        <w:t>embers must remove themselves from the AECs decision making</w:t>
      </w:r>
      <w:r w:rsidRPr="00EA16F4">
        <w:t>.</w:t>
      </w:r>
      <w:r w:rsidR="00757643" w:rsidRPr="00EA16F4">
        <w:t xml:space="preserve"> </w:t>
      </w:r>
      <w:r w:rsidR="00CC36D0" w:rsidRPr="00EA16F4">
        <w:t xml:space="preserve">The AEC </w:t>
      </w:r>
      <w:r w:rsidR="00757643" w:rsidRPr="00EA16F4">
        <w:t>must maintain</w:t>
      </w:r>
      <w:r w:rsidR="00CC36D0" w:rsidRPr="00EA16F4">
        <w:t xml:space="preserve"> a quorum and record </w:t>
      </w:r>
      <w:r w:rsidR="00757643" w:rsidRPr="00EA16F4">
        <w:t>all conflicts of interest and their management</w:t>
      </w:r>
      <w:r w:rsidRPr="00EA16F4">
        <w:t xml:space="preserve"> in the meeting minutes</w:t>
      </w:r>
      <w:r w:rsidR="00757643" w:rsidRPr="00EA16F4">
        <w:t>.</w:t>
      </w:r>
    </w:p>
    <w:p w14:paraId="0B62B017" w14:textId="51440E5D" w:rsidR="00E327BF" w:rsidRPr="00EA16F4" w:rsidRDefault="00374A6D" w:rsidP="00757643">
      <w:pPr>
        <w:spacing w:before="240"/>
        <w:jc w:val="both"/>
        <w:rPr>
          <w:color w:val="00B7BD" w:themeColor="accent3"/>
        </w:rPr>
      </w:pPr>
      <w:r>
        <w:rPr>
          <w:color w:val="00B7BD" w:themeColor="accent3"/>
        </w:rPr>
        <w:t>T</w:t>
      </w:r>
      <w:r w:rsidR="001F484C">
        <w:rPr>
          <w:color w:val="00B7BD" w:themeColor="accent3"/>
        </w:rPr>
        <w:t xml:space="preserve">he </w:t>
      </w:r>
      <w:r w:rsidR="00E327BF" w:rsidRPr="00EA16F4">
        <w:rPr>
          <w:color w:val="00B7BD" w:themeColor="accent3"/>
        </w:rPr>
        <w:t>AEC</w:t>
      </w:r>
      <w:r w:rsidR="0078345B">
        <w:rPr>
          <w:color w:val="00B7BD" w:themeColor="accent3"/>
        </w:rPr>
        <w:t xml:space="preserve"> E</w:t>
      </w:r>
      <w:r w:rsidR="00F243BF">
        <w:rPr>
          <w:color w:val="00B7BD" w:themeColor="accent3"/>
        </w:rPr>
        <w:t>xecutive</w:t>
      </w:r>
    </w:p>
    <w:p w14:paraId="5CBB10E1" w14:textId="609EA3C2" w:rsidR="00A05B67" w:rsidRDefault="00757643" w:rsidP="00274B54">
      <w:pPr>
        <w:spacing w:after="0"/>
        <w:jc w:val="both"/>
      </w:pPr>
      <w:r w:rsidRPr="00EA16F4">
        <w:t xml:space="preserve">The Australian code </w:t>
      </w:r>
      <w:r w:rsidR="00BD12B1">
        <w:t xml:space="preserve">allows for the </w:t>
      </w:r>
      <w:r w:rsidR="00FE13A3">
        <w:t xml:space="preserve">establishment of an AEC executive </w:t>
      </w:r>
      <w:r w:rsidR="004C19BE">
        <w:t xml:space="preserve">to facilitate approval of minor amendments </w:t>
      </w:r>
      <w:r w:rsidR="00FA04E5">
        <w:t xml:space="preserve">between meetings. </w:t>
      </w:r>
      <w:r w:rsidR="00584EC5">
        <w:t>This is the only function of the execu</w:t>
      </w:r>
      <w:r w:rsidR="00B048E4">
        <w:t xml:space="preserve">tive allowed by the </w:t>
      </w:r>
      <w:r w:rsidR="00A05B67">
        <w:t xml:space="preserve">Australian code. </w:t>
      </w:r>
      <w:r w:rsidR="00274B54" w:rsidRPr="00EA16F4">
        <w:t>The executive may not approve new projects</w:t>
      </w:r>
      <w:r w:rsidR="00811C14">
        <w:t>,</w:t>
      </w:r>
      <w:r w:rsidR="00274B54" w:rsidRPr="00EA16F4">
        <w:t xml:space="preserve"> or amendments that are not considered minor</w:t>
      </w:r>
      <w:r w:rsidR="00274B54">
        <w:t>.</w:t>
      </w:r>
    </w:p>
    <w:p w14:paraId="5A7E315F" w14:textId="77777777" w:rsidR="009A7254" w:rsidRDefault="009A7254" w:rsidP="00274B54">
      <w:pPr>
        <w:spacing w:after="0"/>
        <w:jc w:val="both"/>
      </w:pPr>
    </w:p>
    <w:p w14:paraId="14E22E00" w14:textId="1AC04977" w:rsidR="00274B54" w:rsidRDefault="009A7254" w:rsidP="00274B54">
      <w:pPr>
        <w:spacing w:after="0"/>
        <w:jc w:val="both"/>
      </w:pPr>
      <w:r>
        <w:t xml:space="preserve">The </w:t>
      </w:r>
      <w:r w:rsidR="00CF5A40">
        <w:t xml:space="preserve">minimum </w:t>
      </w:r>
      <w:r w:rsidR="00063123">
        <w:t xml:space="preserve">number of </w:t>
      </w:r>
      <w:r>
        <w:t xml:space="preserve">members of an executive </w:t>
      </w:r>
      <w:r w:rsidR="00CF5A40">
        <w:t>is two</w:t>
      </w:r>
      <w:r w:rsidR="00063123">
        <w:t>: it</w:t>
      </w:r>
      <w:r w:rsidR="00CF5A40">
        <w:t xml:space="preserve"> </w:t>
      </w:r>
      <w:r>
        <w:t>must include the Chairperson</w:t>
      </w:r>
      <w:r w:rsidR="00274B54" w:rsidRPr="00EA16F4">
        <w:t xml:space="preserve"> </w:t>
      </w:r>
      <w:r w:rsidR="00063123">
        <w:t xml:space="preserve">and </w:t>
      </w:r>
      <w:r w:rsidR="00CD5F62">
        <w:t xml:space="preserve">an independent (Category </w:t>
      </w:r>
      <w:r w:rsidR="00B40F73">
        <w:t>C</w:t>
      </w:r>
      <w:r w:rsidR="00CD5F62">
        <w:t xml:space="preserve"> or D</w:t>
      </w:r>
      <w:r w:rsidR="00B40F73">
        <w:t>) member. Licence holders</w:t>
      </w:r>
      <w:r w:rsidR="00915161">
        <w:t xml:space="preserve"> may opt to include other members</w:t>
      </w:r>
      <w:r w:rsidR="00A40A46">
        <w:t>. The constitution and operation</w:t>
      </w:r>
      <w:r w:rsidR="00D972CE">
        <w:t xml:space="preserve"> of the executive should be documented in the AEC procedures or Terms of </w:t>
      </w:r>
      <w:r w:rsidR="00AD5980">
        <w:t>Reference.</w:t>
      </w:r>
    </w:p>
    <w:p w14:paraId="50CBBDE8" w14:textId="77CB1766" w:rsidR="00F70BF4" w:rsidRPr="002B39B6" w:rsidRDefault="00001B72" w:rsidP="002B39B6">
      <w:pPr>
        <w:pStyle w:val="IntenseQuote"/>
      </w:pPr>
      <w:r w:rsidRPr="002B39B6">
        <w:t>An AEC</w:t>
      </w:r>
      <w:r w:rsidR="00757643" w:rsidRPr="002B39B6">
        <w:t xml:space="preserve"> executive must constitute at least one Category C or D member and the Chair</w:t>
      </w:r>
      <w:r w:rsidR="00730818" w:rsidRPr="002B39B6">
        <w:t>person</w:t>
      </w:r>
      <w:r w:rsidR="00516F56" w:rsidRPr="002B39B6">
        <w:t xml:space="preserve">. </w:t>
      </w:r>
      <w:r w:rsidR="00C8531E" w:rsidRPr="002B39B6">
        <w:t>Decisi</w:t>
      </w:r>
      <w:r w:rsidR="009655F5" w:rsidRPr="002B39B6">
        <w:t xml:space="preserve">ons made by the </w:t>
      </w:r>
      <w:r w:rsidR="00330508" w:rsidRPr="002B39B6">
        <w:t>Chair alo</w:t>
      </w:r>
      <w:r w:rsidR="00C02157" w:rsidRPr="002B39B6">
        <w:t>ne</w:t>
      </w:r>
      <w:r w:rsidR="009655F5" w:rsidRPr="002B39B6">
        <w:t xml:space="preserve">, or </w:t>
      </w:r>
      <w:r w:rsidR="00FB1E88" w:rsidRPr="002B39B6">
        <w:t>any combination o</w:t>
      </w:r>
      <w:r w:rsidR="00FF7A1E" w:rsidRPr="002B39B6">
        <w:t xml:space="preserve">f the </w:t>
      </w:r>
      <w:r w:rsidR="00AA7CC3" w:rsidRPr="002B39B6">
        <w:t xml:space="preserve">Chair, category </w:t>
      </w:r>
      <w:r w:rsidR="00373121" w:rsidRPr="002B39B6">
        <w:t>A &amp; B members, are invalid</w:t>
      </w:r>
      <w:r w:rsidR="008D4099" w:rsidRPr="002B39B6">
        <w:t xml:space="preserve"> under the Act</w:t>
      </w:r>
      <w:r w:rsidRPr="002B39B6">
        <w:t>.</w:t>
      </w:r>
    </w:p>
    <w:p w14:paraId="1A50FCA0" w14:textId="4E84DB4C" w:rsidR="00157277" w:rsidRDefault="00AA01FB" w:rsidP="00CC4AE7">
      <w:pPr>
        <w:spacing w:before="240"/>
        <w:jc w:val="both"/>
      </w:pPr>
      <w:r w:rsidRPr="00EA16F4">
        <w:t>All approv</w:t>
      </w:r>
      <w:r>
        <w:t>als</w:t>
      </w:r>
      <w:r w:rsidRPr="00EA16F4">
        <w:t xml:space="preserve"> by the AEC executive must be recorded and subject to ratification by the AEC at the next quorate meeting.</w:t>
      </w:r>
      <w:r w:rsidR="00E63D8F">
        <w:t xml:space="preserve"> </w:t>
      </w:r>
      <w:r w:rsidR="00C47326">
        <w:t xml:space="preserve">The activities </w:t>
      </w:r>
      <w:r w:rsidR="00677070">
        <w:t xml:space="preserve">or personnel approved by the executive may commence from the date of the </w:t>
      </w:r>
      <w:r w:rsidR="00AC3FA6">
        <w:t>executive’s approval</w:t>
      </w:r>
      <w:r w:rsidR="00A56D0D">
        <w:t>.</w:t>
      </w:r>
    </w:p>
    <w:p w14:paraId="659F3E34" w14:textId="2E8F0A29" w:rsidR="003A48A2" w:rsidRDefault="009217D2" w:rsidP="00CC4AE7">
      <w:pPr>
        <w:spacing w:before="240"/>
        <w:jc w:val="both"/>
        <w:rPr>
          <w:color w:val="00B7BD" w:themeColor="accent3"/>
        </w:rPr>
      </w:pPr>
      <w:r>
        <w:t>If the</w:t>
      </w:r>
      <w:r w:rsidR="00162478">
        <w:t xml:space="preserve"> exec</w:t>
      </w:r>
      <w:r>
        <w:t>utive are</w:t>
      </w:r>
      <w:r w:rsidR="00162478">
        <w:t xml:space="preserve"> </w:t>
      </w:r>
      <w:r w:rsidR="006B16F4">
        <w:t>presented with</w:t>
      </w:r>
      <w:r w:rsidR="00C90629">
        <w:t xml:space="preserve"> information </w:t>
      </w:r>
      <w:r w:rsidR="001709EF">
        <w:t>they</w:t>
      </w:r>
      <w:r w:rsidR="008F196F">
        <w:t xml:space="preserve"> </w:t>
      </w:r>
      <w:r w:rsidR="00182DCF">
        <w:t>d</w:t>
      </w:r>
      <w:r w:rsidR="008B410A">
        <w:t>o not consider to be minor, they</w:t>
      </w:r>
      <w:r w:rsidR="001709EF">
        <w:t xml:space="preserve"> </w:t>
      </w:r>
      <w:r w:rsidR="000E512B">
        <w:t xml:space="preserve">should refer </w:t>
      </w:r>
      <w:r w:rsidR="008B410A">
        <w:t xml:space="preserve">the decision </w:t>
      </w:r>
      <w:r w:rsidR="000E512B">
        <w:t xml:space="preserve">back to </w:t>
      </w:r>
      <w:r w:rsidR="00587041">
        <w:t xml:space="preserve">the full </w:t>
      </w:r>
      <w:r w:rsidR="000E512B">
        <w:t>AEC</w:t>
      </w:r>
      <w:r w:rsidR="00587041">
        <w:t>, rather th</w:t>
      </w:r>
      <w:r w:rsidR="00A51C0A">
        <w:t>an risk an invalid decision or refusal of ratification.</w:t>
      </w:r>
    </w:p>
    <w:p w14:paraId="3DA04BE5" w14:textId="77777777" w:rsidR="00C854CE" w:rsidRDefault="00C854CE" w:rsidP="00157277">
      <w:pPr>
        <w:spacing w:before="240"/>
        <w:jc w:val="both"/>
        <w:rPr>
          <w:color w:val="00B7BD" w:themeColor="accent3"/>
        </w:rPr>
      </w:pPr>
      <w:r>
        <w:rPr>
          <w:color w:val="00B7BD" w:themeColor="accent3"/>
        </w:rPr>
        <w:br w:type="page"/>
      </w:r>
    </w:p>
    <w:p w14:paraId="2FF84837" w14:textId="1BF26884" w:rsidR="00157277" w:rsidRPr="00EA16F4" w:rsidRDefault="00157277" w:rsidP="00157277">
      <w:pPr>
        <w:spacing w:before="240"/>
        <w:jc w:val="both"/>
        <w:rPr>
          <w:color w:val="00B7BD" w:themeColor="accent3"/>
        </w:rPr>
      </w:pPr>
      <w:r w:rsidRPr="00EA16F4">
        <w:rPr>
          <w:color w:val="00B7BD" w:themeColor="accent3"/>
        </w:rPr>
        <w:lastRenderedPageBreak/>
        <w:t>Virtual conferencing</w:t>
      </w:r>
    </w:p>
    <w:p w14:paraId="62F72166" w14:textId="77777777" w:rsidR="00157277" w:rsidRPr="00EA16F4" w:rsidRDefault="00157277" w:rsidP="00157277">
      <w:pPr>
        <w:spacing w:before="240"/>
        <w:jc w:val="both"/>
        <w:rPr>
          <w:color w:val="auto"/>
        </w:rPr>
      </w:pPr>
      <w:r w:rsidRPr="00EA16F4">
        <w:rPr>
          <w:color w:val="auto"/>
        </w:rPr>
        <w:t xml:space="preserve">The Australian code permits the use of virtual conferencing in circumstances where a face-to-face meeting is not possible. A virtual conference includes video, web and tele-conferencing. </w:t>
      </w:r>
    </w:p>
    <w:p w14:paraId="3DC92178" w14:textId="77777777" w:rsidR="00157277" w:rsidRPr="00EA16F4" w:rsidRDefault="00157277" w:rsidP="00157277">
      <w:pPr>
        <w:spacing w:before="240"/>
        <w:jc w:val="both"/>
        <w:rPr>
          <w:color w:val="auto"/>
        </w:rPr>
      </w:pPr>
      <w:r w:rsidRPr="00EA16F4">
        <w:rPr>
          <w:color w:val="auto"/>
        </w:rPr>
        <w:t xml:space="preserve">Virtual conferencing must not be a substitute for regular face-to-face meetings. It should only be used when members are not able to attend in person due to an irregular event. If regular physical attendance at meetings is an issue, licensed institutions should consider rescheduling meetings to suit the attendance of all members or reassess the suitability of members that are not able to attend meetings on a regular basis. </w:t>
      </w:r>
    </w:p>
    <w:p w14:paraId="5ECDED2B" w14:textId="49D20D31" w:rsidR="00F46CB0" w:rsidRPr="00EA16F4" w:rsidRDefault="00BC3F58" w:rsidP="00757643">
      <w:pPr>
        <w:spacing w:before="240"/>
        <w:jc w:val="both"/>
        <w:rPr>
          <w:color w:val="00B7BD" w:themeColor="accent3"/>
        </w:rPr>
      </w:pPr>
      <w:r w:rsidRPr="00EA16F4">
        <w:rPr>
          <w:color w:val="00B7BD" w:themeColor="accent3"/>
        </w:rPr>
        <w:t>Inquorate meetings</w:t>
      </w:r>
    </w:p>
    <w:p w14:paraId="618CF930" w14:textId="13B1C9C3" w:rsidR="00585D03" w:rsidRPr="00EA16F4" w:rsidRDefault="00FB63BF" w:rsidP="00757643">
      <w:pPr>
        <w:spacing w:before="240"/>
        <w:jc w:val="both"/>
        <w:rPr>
          <w:color w:val="auto"/>
        </w:rPr>
      </w:pPr>
      <w:r w:rsidRPr="00EA16F4">
        <w:rPr>
          <w:color w:val="auto"/>
        </w:rPr>
        <w:t xml:space="preserve">When AEC meetings are </w:t>
      </w:r>
      <w:r w:rsidR="00BC3F58" w:rsidRPr="00EA16F4">
        <w:rPr>
          <w:color w:val="auto"/>
        </w:rPr>
        <w:t>in</w:t>
      </w:r>
      <w:r w:rsidRPr="00EA16F4">
        <w:rPr>
          <w:color w:val="auto"/>
        </w:rPr>
        <w:t>quorate</w:t>
      </w:r>
      <w:r w:rsidR="00626D42" w:rsidRPr="00EA16F4">
        <w:rPr>
          <w:color w:val="auto"/>
        </w:rPr>
        <w:t xml:space="preserve">, the meeting should be adjourned and reconvened. </w:t>
      </w:r>
      <w:r w:rsidR="00F95982" w:rsidRPr="00EA16F4">
        <w:rPr>
          <w:color w:val="auto"/>
        </w:rPr>
        <w:t xml:space="preserve">The pre-review of applications and modifications </w:t>
      </w:r>
      <w:r w:rsidR="00BC3F58" w:rsidRPr="00EA16F4">
        <w:rPr>
          <w:color w:val="auto"/>
        </w:rPr>
        <w:t xml:space="preserve">by AEC members </w:t>
      </w:r>
      <w:r w:rsidR="00F95982" w:rsidRPr="00EA16F4">
        <w:rPr>
          <w:color w:val="auto"/>
        </w:rPr>
        <w:t xml:space="preserve">at </w:t>
      </w:r>
      <w:r w:rsidR="00BC3F58" w:rsidRPr="00EA16F4">
        <w:rPr>
          <w:color w:val="auto"/>
        </w:rPr>
        <w:t>in</w:t>
      </w:r>
      <w:r w:rsidR="00F95982" w:rsidRPr="00EA16F4">
        <w:rPr>
          <w:color w:val="auto"/>
        </w:rPr>
        <w:t>quorate meetings is strongly discouraged</w:t>
      </w:r>
      <w:r w:rsidR="00585D03" w:rsidRPr="00EA16F4">
        <w:rPr>
          <w:color w:val="auto"/>
        </w:rPr>
        <w:t xml:space="preserve"> as it introduces bias into the</w:t>
      </w:r>
      <w:r w:rsidR="00F80338" w:rsidRPr="00EA16F4">
        <w:rPr>
          <w:color w:val="auto"/>
        </w:rPr>
        <w:t xml:space="preserve"> subsequent</w:t>
      </w:r>
      <w:r w:rsidR="00585D03" w:rsidRPr="00EA16F4">
        <w:rPr>
          <w:color w:val="auto"/>
        </w:rPr>
        <w:t xml:space="preserve"> review process</w:t>
      </w:r>
      <w:r w:rsidR="00BC3F58" w:rsidRPr="00EA16F4">
        <w:rPr>
          <w:color w:val="auto"/>
        </w:rPr>
        <w:t xml:space="preserve">. </w:t>
      </w:r>
      <w:r w:rsidR="00585D03" w:rsidRPr="00EA16F4">
        <w:rPr>
          <w:color w:val="auto"/>
        </w:rPr>
        <w:t xml:space="preserve"> </w:t>
      </w:r>
    </w:p>
    <w:p w14:paraId="2EF4A6CD" w14:textId="591F616E" w:rsidR="00FB63BF" w:rsidRPr="00EA16F4" w:rsidRDefault="00585D03" w:rsidP="00757643">
      <w:pPr>
        <w:spacing w:before="240"/>
        <w:jc w:val="both"/>
        <w:rPr>
          <w:color w:val="auto"/>
        </w:rPr>
      </w:pPr>
      <w:r w:rsidRPr="00EA16F4">
        <w:rPr>
          <w:color w:val="auto"/>
        </w:rPr>
        <w:t xml:space="preserve">When quorum is </w:t>
      </w:r>
      <w:r w:rsidR="0065202B" w:rsidRPr="00EA16F4">
        <w:rPr>
          <w:color w:val="auto"/>
        </w:rPr>
        <w:t>lost because of member withdrawal</w:t>
      </w:r>
      <w:r w:rsidR="00BC3F58" w:rsidRPr="00EA16F4">
        <w:rPr>
          <w:color w:val="auto"/>
        </w:rPr>
        <w:t xml:space="preserve"> during the meeting</w:t>
      </w:r>
      <w:r w:rsidR="00960BEC" w:rsidRPr="00EA16F4">
        <w:rPr>
          <w:color w:val="auto"/>
        </w:rPr>
        <w:t xml:space="preserve">, the AEC must not act as an executive for </w:t>
      </w:r>
      <w:r w:rsidR="0065202B" w:rsidRPr="00EA16F4">
        <w:rPr>
          <w:color w:val="auto"/>
        </w:rPr>
        <w:t xml:space="preserve">agenda items </w:t>
      </w:r>
      <w:r w:rsidR="00F80338" w:rsidRPr="00EA16F4">
        <w:rPr>
          <w:color w:val="auto"/>
        </w:rPr>
        <w:t>during</w:t>
      </w:r>
      <w:r w:rsidR="0065202B" w:rsidRPr="00EA16F4">
        <w:rPr>
          <w:color w:val="auto"/>
        </w:rPr>
        <w:t xml:space="preserve"> which the </w:t>
      </w:r>
      <w:r w:rsidR="00BC3F58" w:rsidRPr="00EA16F4">
        <w:rPr>
          <w:color w:val="auto"/>
        </w:rPr>
        <w:t xml:space="preserve">meeting </w:t>
      </w:r>
      <w:r w:rsidR="0065202B" w:rsidRPr="00EA16F4">
        <w:rPr>
          <w:color w:val="auto"/>
        </w:rPr>
        <w:t>is inquorate. AECs do not have the discretion to switch between a quorate</w:t>
      </w:r>
      <w:r w:rsidR="00F2768A" w:rsidRPr="00EA16F4">
        <w:rPr>
          <w:color w:val="auto"/>
        </w:rPr>
        <w:t xml:space="preserve"> AEC</w:t>
      </w:r>
      <w:r w:rsidR="0065202B" w:rsidRPr="00EA16F4">
        <w:rPr>
          <w:color w:val="auto"/>
        </w:rPr>
        <w:t xml:space="preserve"> and an executive committee at the same meeting.   </w:t>
      </w:r>
      <w:r w:rsidR="00960BEC" w:rsidRPr="00EA16F4">
        <w:rPr>
          <w:color w:val="auto"/>
        </w:rPr>
        <w:t xml:space="preserve"> </w:t>
      </w:r>
      <w:r w:rsidRPr="00EA16F4">
        <w:rPr>
          <w:color w:val="auto"/>
        </w:rPr>
        <w:t xml:space="preserve"> </w:t>
      </w:r>
      <w:r w:rsidR="00F95982" w:rsidRPr="00EA16F4">
        <w:rPr>
          <w:color w:val="auto"/>
        </w:rPr>
        <w:t xml:space="preserve"> </w:t>
      </w:r>
    </w:p>
    <w:p w14:paraId="4D9D59B8" w14:textId="070A0298" w:rsidR="00757643" w:rsidRPr="00EA16F4" w:rsidRDefault="00960BEC" w:rsidP="00474EA4">
      <w:pPr>
        <w:pStyle w:val="Heading1"/>
        <w:spacing w:after="240"/>
        <w:ind w:left="426" w:hanging="426"/>
        <w:rPr>
          <w:rFonts w:cs="Arial"/>
          <w:color w:val="00B7BD" w:themeColor="accent3"/>
          <w:szCs w:val="24"/>
          <w:lang w:val="en-US"/>
        </w:rPr>
      </w:pPr>
      <w:bookmarkStart w:id="6" w:name="_Toc506359840"/>
      <w:bookmarkStart w:id="7" w:name="_Toc40710200"/>
      <w:r w:rsidRPr="00EA16F4">
        <w:rPr>
          <w:rFonts w:cs="Arial"/>
          <w:color w:val="00B7BD" w:themeColor="accent3"/>
          <w:szCs w:val="24"/>
          <w:lang w:val="en-US"/>
        </w:rPr>
        <w:t xml:space="preserve">Review </w:t>
      </w:r>
      <w:r w:rsidR="00757643" w:rsidRPr="00EA16F4">
        <w:rPr>
          <w:rFonts w:cs="Arial"/>
          <w:color w:val="00B7BD" w:themeColor="accent3"/>
          <w:szCs w:val="24"/>
          <w:lang w:val="en-US"/>
        </w:rPr>
        <w:t>and approvals</w:t>
      </w:r>
      <w:bookmarkEnd w:id="6"/>
      <w:bookmarkEnd w:id="7"/>
      <w:r w:rsidR="00757643" w:rsidRPr="00EA16F4">
        <w:rPr>
          <w:rFonts w:cs="Arial"/>
          <w:color w:val="00B7BD" w:themeColor="accent3"/>
          <w:szCs w:val="24"/>
          <w:lang w:val="en-US"/>
        </w:rPr>
        <w:t xml:space="preserve"> </w:t>
      </w:r>
    </w:p>
    <w:p w14:paraId="5EA17579" w14:textId="6EC79B8D" w:rsidR="00D66B72" w:rsidRPr="00EA16F4" w:rsidRDefault="00D66B72" w:rsidP="00D66B72">
      <w:pPr>
        <w:spacing w:before="240" w:after="0"/>
        <w:jc w:val="both"/>
      </w:pPr>
      <w:r w:rsidRPr="00EA16F4">
        <w:t xml:space="preserve">The </w:t>
      </w:r>
      <w:r w:rsidR="007B13E4" w:rsidRPr="00EA16F4">
        <w:t>Act</w:t>
      </w:r>
      <w:r w:rsidRPr="00EA16F4">
        <w:t xml:space="preserve"> and associated</w:t>
      </w:r>
      <w:r w:rsidR="00A47A99" w:rsidRPr="00EA16F4">
        <w:t xml:space="preserve"> </w:t>
      </w:r>
      <w:r w:rsidR="00136193" w:rsidRPr="00EA16F4">
        <w:t>R</w:t>
      </w:r>
      <w:r w:rsidRPr="00EA16F4">
        <w:t xml:space="preserve">egulations require that scientific </w:t>
      </w:r>
      <w:r w:rsidR="00BA3FF7" w:rsidRPr="00EA16F4">
        <w:t xml:space="preserve">procedures </w:t>
      </w:r>
      <w:r w:rsidRPr="00EA16F4">
        <w:t>must not commence until the AEC nominated by the licence holder has approved:</w:t>
      </w:r>
    </w:p>
    <w:p w14:paraId="732493DF" w14:textId="7AB106C1" w:rsidR="00D66B72" w:rsidRPr="00EA16F4" w:rsidRDefault="00D66B72" w:rsidP="00CC4AE7">
      <w:pPr>
        <w:pStyle w:val="ListParagraph"/>
        <w:numPr>
          <w:ilvl w:val="0"/>
          <w:numId w:val="25"/>
        </w:numPr>
        <w:spacing w:line="240" w:lineRule="auto"/>
        <w:jc w:val="both"/>
        <w:rPr>
          <w:sz w:val="22"/>
          <w:szCs w:val="20"/>
          <w:lang w:val="en-AU"/>
        </w:rPr>
      </w:pPr>
      <w:r w:rsidRPr="00EA16F4">
        <w:rPr>
          <w:sz w:val="22"/>
          <w:szCs w:val="20"/>
          <w:lang w:val="en-AU"/>
        </w:rPr>
        <w:t>the procedure or program of procedures</w:t>
      </w:r>
    </w:p>
    <w:p w14:paraId="5D49C7F3" w14:textId="77777777" w:rsidR="00D66B72" w:rsidRPr="00EA16F4" w:rsidRDefault="00D66B72" w:rsidP="00CC4AE7">
      <w:pPr>
        <w:pStyle w:val="ListParagraph"/>
        <w:numPr>
          <w:ilvl w:val="0"/>
          <w:numId w:val="25"/>
        </w:numPr>
        <w:spacing w:line="240" w:lineRule="auto"/>
        <w:jc w:val="both"/>
        <w:rPr>
          <w:sz w:val="22"/>
          <w:szCs w:val="20"/>
          <w:lang w:val="en-AU"/>
        </w:rPr>
      </w:pPr>
      <w:r w:rsidRPr="00EA16F4">
        <w:rPr>
          <w:sz w:val="22"/>
          <w:szCs w:val="20"/>
          <w:lang w:val="en-AU"/>
        </w:rPr>
        <w:t>the premises at which the procedure or program of procedures are to be carried out; and</w:t>
      </w:r>
    </w:p>
    <w:p w14:paraId="72888B84" w14:textId="77777777" w:rsidR="00D66B72" w:rsidRPr="00EA16F4" w:rsidRDefault="00D66B72" w:rsidP="00CC4AE7">
      <w:pPr>
        <w:pStyle w:val="ListParagraph"/>
        <w:numPr>
          <w:ilvl w:val="0"/>
          <w:numId w:val="25"/>
        </w:numPr>
        <w:spacing w:line="240" w:lineRule="auto"/>
        <w:jc w:val="both"/>
        <w:rPr>
          <w:sz w:val="22"/>
          <w:szCs w:val="20"/>
          <w:lang w:val="en-AU"/>
        </w:rPr>
      </w:pPr>
      <w:r w:rsidRPr="00EA16F4">
        <w:rPr>
          <w:sz w:val="22"/>
          <w:szCs w:val="20"/>
          <w:lang w:val="en-AU"/>
        </w:rPr>
        <w:t>the person or persons who are to carry out the procedure or program of procedures.</w:t>
      </w:r>
    </w:p>
    <w:p w14:paraId="3DD6CE8C" w14:textId="36548144" w:rsidR="00960BEC" w:rsidRPr="00EA16F4" w:rsidRDefault="00757643" w:rsidP="00757643">
      <w:pPr>
        <w:spacing w:before="240"/>
        <w:jc w:val="both"/>
      </w:pPr>
      <w:r w:rsidRPr="00EA16F4">
        <w:t xml:space="preserve">The information to be provided to an </w:t>
      </w:r>
      <w:r w:rsidR="00666660" w:rsidRPr="00EA16F4">
        <w:t>AEC</w:t>
      </w:r>
      <w:r w:rsidRPr="00EA16F4">
        <w:t xml:space="preserve"> in support of an application is outlined in section 2.7.4 of the Australian code. Other sections may apply, as appropriate for the circumstance.</w:t>
      </w:r>
    </w:p>
    <w:p w14:paraId="3B32F03C" w14:textId="1B18C06C" w:rsidR="008A6661" w:rsidRPr="00EA16F4" w:rsidRDefault="008A6661" w:rsidP="00EA16F4">
      <w:pPr>
        <w:pStyle w:val="IntenseQuote"/>
      </w:pPr>
      <w:r w:rsidRPr="00EA16F4">
        <w:t xml:space="preserve">When approved by the AEC, an application becomes a binding agreement under the Act. Investigators must adhere exactly to commitments made within the approved project. </w:t>
      </w:r>
      <w:r w:rsidR="00ED3057" w:rsidRPr="00EA16F4">
        <w:t>A</w:t>
      </w:r>
      <w:r w:rsidR="00CE24F3" w:rsidRPr="00EA16F4">
        <w:t xml:space="preserve"> project</w:t>
      </w:r>
      <w:r w:rsidR="00ED3057" w:rsidRPr="00EA16F4">
        <w:t xml:space="preserve"> that </w:t>
      </w:r>
      <w:r w:rsidR="00CE24F3" w:rsidRPr="00EA16F4">
        <w:t>is ambiguous</w:t>
      </w:r>
      <w:r w:rsidR="001C3F67" w:rsidRPr="00EA16F4">
        <w:t xml:space="preserve"> or</w:t>
      </w:r>
      <w:r w:rsidR="00CE24F3" w:rsidRPr="00EA16F4">
        <w:t xml:space="preserve"> internally inconsistent</w:t>
      </w:r>
      <w:r w:rsidR="00ED3057" w:rsidRPr="00EA16F4">
        <w:t xml:space="preserve"> can be interpreted in multiple ways, making compliance </w:t>
      </w:r>
      <w:r w:rsidR="003A2B70" w:rsidRPr="00EA16F4">
        <w:t>challenging.</w:t>
      </w:r>
    </w:p>
    <w:p w14:paraId="680DC5D8" w14:textId="77777777" w:rsidR="007D0838" w:rsidRPr="00EA16F4" w:rsidRDefault="007D0838" w:rsidP="00F24FA8">
      <w:pPr>
        <w:spacing w:before="240"/>
        <w:jc w:val="both"/>
        <w:rPr>
          <w:color w:val="00B7BD" w:themeColor="accent3"/>
        </w:rPr>
      </w:pPr>
      <w:r w:rsidRPr="00EA16F4">
        <w:rPr>
          <w:color w:val="00B7BD" w:themeColor="accent3"/>
        </w:rPr>
        <w:t>Standard Operating Procedures</w:t>
      </w:r>
    </w:p>
    <w:p w14:paraId="736BEEEB" w14:textId="77777777" w:rsidR="007D0838" w:rsidRPr="00EA16F4" w:rsidRDefault="007D0838" w:rsidP="00F24FA8">
      <w:pPr>
        <w:spacing w:before="240"/>
        <w:jc w:val="both"/>
      </w:pPr>
      <w:r w:rsidRPr="00EA16F4">
        <w:t>Standard Operating Procedures (SOPs) may be referenced within an application to the AEC to describe routine procedures carried out in a repeated fashion. They are not a substitute for an application to the AEC. Applicants and AECs must ensure that any SOP referenced in an application complies with the Australian code. Expired SOPs must be not be referenced in an application. The information provided within the application must be consistent with referenced SOPs, or the variance must be explicitly described.</w:t>
      </w:r>
    </w:p>
    <w:p w14:paraId="0F94CDE6" w14:textId="77777777" w:rsidR="008C4D82" w:rsidRDefault="008C4D82" w:rsidP="00CC4AE7">
      <w:pPr>
        <w:rPr>
          <w:color w:val="00B7BD" w:themeColor="accent3"/>
        </w:rPr>
      </w:pPr>
      <w:r>
        <w:rPr>
          <w:color w:val="00B7BD" w:themeColor="accent3"/>
        </w:rPr>
        <w:br w:type="page"/>
      </w:r>
    </w:p>
    <w:p w14:paraId="2A99C455" w14:textId="16C7F1D2" w:rsidR="007D0838" w:rsidRPr="00EA16F4" w:rsidRDefault="007D0838" w:rsidP="00EA16F4">
      <w:pPr>
        <w:rPr>
          <w:color w:val="00B7BD" w:themeColor="accent3"/>
        </w:rPr>
      </w:pPr>
      <w:r w:rsidRPr="00EA16F4">
        <w:rPr>
          <w:color w:val="00B7BD" w:themeColor="accent3"/>
        </w:rPr>
        <w:lastRenderedPageBreak/>
        <w:t xml:space="preserve">Prohibited </w:t>
      </w:r>
      <w:r w:rsidR="00383B73" w:rsidRPr="00EA16F4">
        <w:rPr>
          <w:color w:val="00B7BD" w:themeColor="accent3"/>
        </w:rPr>
        <w:t xml:space="preserve">activities </w:t>
      </w:r>
    </w:p>
    <w:p w14:paraId="1C8B705C" w14:textId="77777777" w:rsidR="00623BC2" w:rsidRPr="00EA16F4" w:rsidRDefault="00623BC2" w:rsidP="00EA16F4">
      <w:pPr>
        <w:spacing w:after="0"/>
        <w:jc w:val="both"/>
      </w:pPr>
      <w:r w:rsidRPr="00EA16F4">
        <w:t xml:space="preserve">The AEC </w:t>
      </w:r>
      <w:r w:rsidRPr="00EA16F4">
        <w:rPr>
          <w:b/>
        </w:rPr>
        <w:t>cannot approve</w:t>
      </w:r>
      <w:r w:rsidRPr="00EA16F4">
        <w:t>:</w:t>
      </w:r>
    </w:p>
    <w:p w14:paraId="6C1CB89F" w14:textId="5DF6B5A7" w:rsidR="00664A15" w:rsidRPr="00EA16F4" w:rsidRDefault="00664A15" w:rsidP="00CC4AE7">
      <w:pPr>
        <w:widowControl w:val="0"/>
        <w:numPr>
          <w:ilvl w:val="0"/>
          <w:numId w:val="36"/>
        </w:numPr>
        <w:suppressAutoHyphens/>
        <w:autoSpaceDE w:val="0"/>
        <w:autoSpaceDN w:val="0"/>
        <w:adjustRightInd w:val="0"/>
        <w:snapToGrid/>
        <w:spacing w:after="170"/>
        <w:contextualSpacing/>
        <w:jc w:val="both"/>
        <w:textAlignment w:val="center"/>
        <w:rPr>
          <w:rFonts w:cs="Arial"/>
        </w:rPr>
        <w:sectPr w:rsidR="00664A15" w:rsidRPr="00EA16F4" w:rsidSect="00922338">
          <w:footerReference w:type="default" r:id="rId15"/>
          <w:headerReference w:type="first" r:id="rId16"/>
          <w:footerReference w:type="first" r:id="rId17"/>
          <w:type w:val="continuous"/>
          <w:pgSz w:w="11900" w:h="16840"/>
          <w:pgMar w:top="1644" w:right="1134" w:bottom="1418" w:left="1134" w:header="709" w:footer="709" w:gutter="0"/>
          <w:cols w:space="708"/>
          <w:titlePg/>
          <w:docGrid w:linePitch="360"/>
        </w:sectPr>
      </w:pPr>
    </w:p>
    <w:p w14:paraId="2C624CF8" w14:textId="65F12D26" w:rsidR="00623BC2" w:rsidRPr="00EA16F4" w:rsidRDefault="00664A15" w:rsidP="00CC4AE7">
      <w:pPr>
        <w:widowControl w:val="0"/>
        <w:numPr>
          <w:ilvl w:val="0"/>
          <w:numId w:val="37"/>
        </w:numPr>
        <w:suppressAutoHyphens/>
        <w:autoSpaceDE w:val="0"/>
        <w:autoSpaceDN w:val="0"/>
        <w:adjustRightInd w:val="0"/>
        <w:snapToGrid/>
        <w:spacing w:after="170"/>
        <w:contextualSpacing/>
        <w:jc w:val="both"/>
        <w:textAlignment w:val="center"/>
        <w:rPr>
          <w:rFonts w:cs="Arial"/>
        </w:rPr>
      </w:pPr>
      <w:r w:rsidRPr="00EA16F4">
        <w:rPr>
          <w:rFonts w:cs="Arial"/>
        </w:rPr>
        <w:t xml:space="preserve">a </w:t>
      </w:r>
      <w:r w:rsidR="00623BC2" w:rsidRPr="00EA16F4">
        <w:rPr>
          <w:rFonts w:cs="Arial"/>
        </w:rPr>
        <w:t>group of persons, for example ‘all animal technicians’ employed by the institution (individuals undertaking scientific procedures within a project must have prior approval from the AEC)</w:t>
      </w:r>
    </w:p>
    <w:p w14:paraId="522F8DE0" w14:textId="12F343BB" w:rsidR="00623BC2" w:rsidRPr="00EA16F4" w:rsidRDefault="00623BC2" w:rsidP="00CC4AE7">
      <w:pPr>
        <w:widowControl w:val="0"/>
        <w:numPr>
          <w:ilvl w:val="0"/>
          <w:numId w:val="37"/>
        </w:numPr>
        <w:suppressAutoHyphens/>
        <w:autoSpaceDE w:val="0"/>
        <w:autoSpaceDN w:val="0"/>
        <w:adjustRightInd w:val="0"/>
        <w:snapToGrid/>
        <w:spacing w:after="170"/>
        <w:contextualSpacing/>
        <w:jc w:val="both"/>
        <w:textAlignment w:val="center"/>
        <w:rPr>
          <w:rFonts w:cs="Arial"/>
        </w:rPr>
      </w:pPr>
      <w:r w:rsidRPr="00EA16F4">
        <w:rPr>
          <w:rFonts w:cs="Arial"/>
        </w:rPr>
        <w:t>projects or activities carried out under other licences, unless the AEC is nominated on the licence or in a formal agreement supporting a collaboration between multiple licences</w:t>
      </w:r>
      <w:r w:rsidR="00956462">
        <w:rPr>
          <w:rFonts w:cs="Arial"/>
        </w:rPr>
        <w:t>;</w:t>
      </w:r>
      <w:r w:rsidRPr="00EA16F4">
        <w:rPr>
          <w:rFonts w:cs="Arial"/>
        </w:rPr>
        <w:t xml:space="preserve"> </w:t>
      </w:r>
    </w:p>
    <w:p w14:paraId="0562A4AB" w14:textId="62FD8DB8" w:rsidR="00623BC2" w:rsidRPr="00EA16F4" w:rsidRDefault="00623BC2" w:rsidP="00CC4AE7">
      <w:pPr>
        <w:widowControl w:val="0"/>
        <w:numPr>
          <w:ilvl w:val="0"/>
          <w:numId w:val="37"/>
        </w:numPr>
        <w:suppressAutoHyphens/>
        <w:autoSpaceDE w:val="0"/>
        <w:autoSpaceDN w:val="0"/>
        <w:adjustRightInd w:val="0"/>
        <w:snapToGrid/>
        <w:spacing w:after="170"/>
        <w:contextualSpacing/>
        <w:jc w:val="both"/>
        <w:textAlignment w:val="center"/>
        <w:rPr>
          <w:rFonts w:cs="Arial"/>
        </w:rPr>
      </w:pPr>
      <w:r w:rsidRPr="00EA16F4">
        <w:rPr>
          <w:rFonts w:cs="Arial"/>
        </w:rPr>
        <w:t>activities in another state or territory unless registered with the jurisdiction’s relevant authority</w:t>
      </w:r>
      <w:r w:rsidR="00956462">
        <w:rPr>
          <w:rFonts w:cs="Arial"/>
        </w:rPr>
        <w:t>;</w:t>
      </w:r>
    </w:p>
    <w:p w14:paraId="6CD1605E" w14:textId="17472E06" w:rsidR="00266808" w:rsidRPr="00EA16F4" w:rsidRDefault="00623BC2" w:rsidP="00CC4AE7">
      <w:pPr>
        <w:widowControl w:val="0"/>
        <w:numPr>
          <w:ilvl w:val="0"/>
          <w:numId w:val="37"/>
        </w:numPr>
        <w:suppressAutoHyphens/>
        <w:autoSpaceDE w:val="0"/>
        <w:autoSpaceDN w:val="0"/>
        <w:adjustRightInd w:val="0"/>
        <w:snapToGrid/>
        <w:spacing w:after="170"/>
        <w:contextualSpacing/>
        <w:jc w:val="both"/>
        <w:textAlignment w:val="center"/>
        <w:rPr>
          <w:rFonts w:cs="Arial"/>
        </w:rPr>
      </w:pPr>
      <w:r w:rsidRPr="00EA16F4">
        <w:rPr>
          <w:rFonts w:cs="Arial"/>
        </w:rPr>
        <w:t>activities specifically prohibited by the licence conditions, the Act or Regulations</w:t>
      </w:r>
      <w:r w:rsidR="009D48E6" w:rsidRPr="00EA16F4">
        <w:rPr>
          <w:rFonts w:cs="Arial"/>
        </w:rPr>
        <w:t xml:space="preserve"> </w:t>
      </w:r>
      <w:r w:rsidRPr="00EA16F4">
        <w:rPr>
          <w:rFonts w:cs="Arial"/>
        </w:rPr>
        <w:t>or other relevant legislation</w:t>
      </w:r>
      <w:r w:rsidR="00956462">
        <w:rPr>
          <w:rFonts w:cs="Arial"/>
        </w:rPr>
        <w:t>;</w:t>
      </w:r>
    </w:p>
    <w:p w14:paraId="28138CD1" w14:textId="72A2DBA6" w:rsidR="00623BC2" w:rsidRPr="00EA16F4" w:rsidRDefault="00623BC2" w:rsidP="00CC4AE7">
      <w:pPr>
        <w:widowControl w:val="0"/>
        <w:numPr>
          <w:ilvl w:val="0"/>
          <w:numId w:val="37"/>
        </w:numPr>
        <w:suppressAutoHyphens/>
        <w:autoSpaceDE w:val="0"/>
        <w:autoSpaceDN w:val="0"/>
        <w:adjustRightInd w:val="0"/>
        <w:snapToGrid/>
        <w:spacing w:after="170"/>
        <w:contextualSpacing/>
        <w:jc w:val="both"/>
        <w:textAlignment w:val="center"/>
        <w:rPr>
          <w:rFonts w:cs="Arial"/>
        </w:rPr>
      </w:pPr>
      <w:r w:rsidRPr="00EA16F4">
        <w:rPr>
          <w:rFonts w:cs="Arial"/>
        </w:rPr>
        <w:t>a scientific procedure involving the eye of any animal to determine irritancy of a chemical or biological agent unless the procedure is carried out under terminal anaesthesia;</w:t>
      </w:r>
    </w:p>
    <w:p w14:paraId="08A4D9F6" w14:textId="69C73E25" w:rsidR="00661DC9" w:rsidRPr="00EA16F4" w:rsidRDefault="00623BC2" w:rsidP="00CC4AE7">
      <w:pPr>
        <w:widowControl w:val="0"/>
        <w:numPr>
          <w:ilvl w:val="0"/>
          <w:numId w:val="37"/>
        </w:numPr>
        <w:suppressAutoHyphens/>
        <w:autoSpaceDE w:val="0"/>
        <w:autoSpaceDN w:val="0"/>
        <w:adjustRightInd w:val="0"/>
        <w:snapToGrid/>
        <w:spacing w:before="240" w:after="170"/>
        <w:contextualSpacing/>
        <w:jc w:val="both"/>
        <w:textAlignment w:val="center"/>
        <w:rPr>
          <w:rFonts w:cs="Arial"/>
        </w:rPr>
      </w:pPr>
      <w:r w:rsidRPr="00EA16F4">
        <w:rPr>
          <w:rFonts w:cs="Arial"/>
        </w:rPr>
        <w:t xml:space="preserve">placement or transportation of an animal in an enclosed boot of a sedan </w:t>
      </w:r>
      <w:r w:rsidRPr="00EA16F4">
        <w:rPr>
          <w:rFonts w:cs="Arial"/>
        </w:rPr>
        <w:t>motor vehicle;</w:t>
      </w:r>
    </w:p>
    <w:p w14:paraId="5EF1598B" w14:textId="58645F3E" w:rsidR="00623BC2" w:rsidRPr="00EA16F4" w:rsidRDefault="006C0D8B" w:rsidP="00CC4AE7">
      <w:pPr>
        <w:widowControl w:val="0"/>
        <w:numPr>
          <w:ilvl w:val="0"/>
          <w:numId w:val="37"/>
        </w:numPr>
        <w:suppressAutoHyphens/>
        <w:autoSpaceDE w:val="0"/>
        <w:autoSpaceDN w:val="0"/>
        <w:adjustRightInd w:val="0"/>
        <w:snapToGrid/>
        <w:spacing w:before="240" w:after="170"/>
        <w:contextualSpacing/>
        <w:jc w:val="both"/>
        <w:textAlignment w:val="center"/>
        <w:rPr>
          <w:rFonts w:cs="Arial"/>
        </w:rPr>
      </w:pPr>
      <w:r w:rsidRPr="00EA16F4">
        <w:rPr>
          <w:rFonts w:cs="Arial"/>
        </w:rPr>
        <w:t>mulesing</w:t>
      </w:r>
      <w:r w:rsidR="00623BC2" w:rsidRPr="00EA16F4">
        <w:rPr>
          <w:rFonts w:cs="Arial"/>
        </w:rPr>
        <w:t xml:space="preserve"> of sheep without provision of a pain relief product that has been registered for use on sheep by the Australian Pesticides and Veterinary Medicines Authority;</w:t>
      </w:r>
    </w:p>
    <w:p w14:paraId="6C0524C0" w14:textId="77777777" w:rsidR="00623BC2" w:rsidRPr="00EA16F4" w:rsidRDefault="00623BC2" w:rsidP="00CC4AE7">
      <w:pPr>
        <w:widowControl w:val="0"/>
        <w:numPr>
          <w:ilvl w:val="0"/>
          <w:numId w:val="37"/>
        </w:numPr>
        <w:suppressAutoHyphens/>
        <w:autoSpaceDE w:val="0"/>
        <w:autoSpaceDN w:val="0"/>
        <w:adjustRightInd w:val="0"/>
        <w:snapToGrid/>
        <w:spacing w:before="240" w:after="170"/>
        <w:contextualSpacing/>
        <w:jc w:val="both"/>
        <w:textAlignment w:val="center"/>
        <w:rPr>
          <w:rFonts w:cs="Arial"/>
        </w:rPr>
      </w:pPr>
      <w:r w:rsidRPr="00EA16F4">
        <w:rPr>
          <w:rFonts w:cs="Arial"/>
        </w:rPr>
        <w:t xml:space="preserve">use of a twisted bit on a horse; </w:t>
      </w:r>
    </w:p>
    <w:p w14:paraId="1C5FD23D" w14:textId="77777777" w:rsidR="00623BC2" w:rsidRPr="00EA16F4" w:rsidRDefault="00623BC2" w:rsidP="00CC4AE7">
      <w:pPr>
        <w:widowControl w:val="0"/>
        <w:numPr>
          <w:ilvl w:val="0"/>
          <w:numId w:val="37"/>
        </w:numPr>
        <w:suppressAutoHyphens/>
        <w:autoSpaceDE w:val="0"/>
        <w:autoSpaceDN w:val="0"/>
        <w:adjustRightInd w:val="0"/>
        <w:snapToGrid/>
        <w:spacing w:before="240" w:after="170"/>
        <w:contextualSpacing/>
        <w:jc w:val="both"/>
        <w:textAlignment w:val="center"/>
        <w:rPr>
          <w:rFonts w:cs="Arial"/>
        </w:rPr>
      </w:pPr>
      <w:r w:rsidRPr="00EA16F4">
        <w:rPr>
          <w:rFonts w:cs="Arial"/>
        </w:rPr>
        <w:t xml:space="preserve">use of a pronged collar on any animal; </w:t>
      </w:r>
    </w:p>
    <w:p w14:paraId="231124A3" w14:textId="77777777" w:rsidR="00623BC2" w:rsidRPr="00EA16F4" w:rsidRDefault="00623BC2" w:rsidP="00CC4AE7">
      <w:pPr>
        <w:widowControl w:val="0"/>
        <w:numPr>
          <w:ilvl w:val="0"/>
          <w:numId w:val="37"/>
        </w:numPr>
        <w:suppressAutoHyphens/>
        <w:autoSpaceDE w:val="0"/>
        <w:autoSpaceDN w:val="0"/>
        <w:adjustRightInd w:val="0"/>
        <w:snapToGrid/>
        <w:spacing w:before="240" w:after="170"/>
        <w:contextualSpacing/>
        <w:jc w:val="both"/>
        <w:textAlignment w:val="center"/>
        <w:rPr>
          <w:rFonts w:cs="Arial"/>
        </w:rPr>
      </w:pPr>
      <w:r w:rsidRPr="00EA16F4">
        <w:rPr>
          <w:rFonts w:cs="Arial"/>
        </w:rPr>
        <w:t>allowing or encouraging an animal to fight with another animal, whether or not of the same species;</w:t>
      </w:r>
    </w:p>
    <w:p w14:paraId="63B736B6" w14:textId="77777777" w:rsidR="00623BC2" w:rsidRPr="00EA16F4" w:rsidRDefault="00623BC2" w:rsidP="00CC4AE7">
      <w:pPr>
        <w:widowControl w:val="0"/>
        <w:numPr>
          <w:ilvl w:val="0"/>
          <w:numId w:val="37"/>
        </w:numPr>
        <w:suppressAutoHyphens/>
        <w:autoSpaceDE w:val="0"/>
        <w:autoSpaceDN w:val="0"/>
        <w:adjustRightInd w:val="0"/>
        <w:snapToGrid/>
        <w:spacing w:before="240" w:after="170"/>
        <w:contextualSpacing/>
        <w:jc w:val="both"/>
        <w:textAlignment w:val="center"/>
        <w:rPr>
          <w:rFonts w:cs="Arial"/>
        </w:rPr>
      </w:pPr>
      <w:r w:rsidRPr="00EA16F4">
        <w:rPr>
          <w:rFonts w:cs="Arial"/>
        </w:rPr>
        <w:t>release of an animal in circumstances where it will or is likely to be pursued, injured or killed by a dog;</w:t>
      </w:r>
    </w:p>
    <w:p w14:paraId="06BAD87C" w14:textId="77777777" w:rsidR="00623BC2" w:rsidRPr="00EA16F4" w:rsidRDefault="00623BC2" w:rsidP="00CC4AE7">
      <w:pPr>
        <w:widowControl w:val="0"/>
        <w:numPr>
          <w:ilvl w:val="0"/>
          <w:numId w:val="37"/>
        </w:numPr>
        <w:suppressAutoHyphens/>
        <w:autoSpaceDE w:val="0"/>
        <w:autoSpaceDN w:val="0"/>
        <w:adjustRightInd w:val="0"/>
        <w:snapToGrid/>
        <w:spacing w:before="240" w:after="170"/>
        <w:contextualSpacing/>
        <w:jc w:val="both"/>
        <w:textAlignment w:val="center"/>
        <w:rPr>
          <w:rFonts w:cs="Arial"/>
        </w:rPr>
      </w:pPr>
      <w:r w:rsidRPr="00EA16F4">
        <w:rPr>
          <w:rFonts w:cs="Arial"/>
        </w:rPr>
        <w:t>causing, procuring or permitting an animal in captivity to be injured or killed by a dog; or</w:t>
      </w:r>
    </w:p>
    <w:p w14:paraId="490FC3E5" w14:textId="77777777" w:rsidR="00623BC2" w:rsidRPr="00EA16F4" w:rsidRDefault="00623BC2" w:rsidP="00CC4AE7">
      <w:pPr>
        <w:widowControl w:val="0"/>
        <w:numPr>
          <w:ilvl w:val="0"/>
          <w:numId w:val="37"/>
        </w:numPr>
        <w:suppressAutoHyphens/>
        <w:autoSpaceDE w:val="0"/>
        <w:autoSpaceDN w:val="0"/>
        <w:adjustRightInd w:val="0"/>
        <w:snapToGrid/>
        <w:spacing w:before="240" w:after="170"/>
        <w:contextualSpacing/>
        <w:jc w:val="both"/>
        <w:textAlignment w:val="center"/>
        <w:rPr>
          <w:rFonts w:cs="Arial"/>
        </w:rPr>
      </w:pPr>
      <w:r w:rsidRPr="00EA16F4">
        <w:rPr>
          <w:rFonts w:cs="Arial"/>
        </w:rPr>
        <w:t>use of small leghold traps on any animal other than a rabbit, or large leghold traps on any animal other than a fox, wild dogs or declared feral cats (use on these species is subject to regulation);</w:t>
      </w:r>
    </w:p>
    <w:p w14:paraId="7CDB0087" w14:textId="6CD38628" w:rsidR="00623BC2" w:rsidRPr="00EA16F4" w:rsidRDefault="00623BC2" w:rsidP="00CC4AE7">
      <w:pPr>
        <w:widowControl w:val="0"/>
        <w:numPr>
          <w:ilvl w:val="0"/>
          <w:numId w:val="37"/>
        </w:numPr>
        <w:suppressAutoHyphens/>
        <w:autoSpaceDE w:val="0"/>
        <w:autoSpaceDN w:val="0"/>
        <w:adjustRightInd w:val="0"/>
        <w:snapToGrid/>
        <w:spacing w:before="240" w:after="170"/>
        <w:contextualSpacing/>
        <w:jc w:val="both"/>
        <w:textAlignment w:val="center"/>
        <w:rPr>
          <w:rFonts w:cs="Arial"/>
        </w:rPr>
      </w:pPr>
      <w:r w:rsidRPr="00EA16F4">
        <w:rPr>
          <w:rFonts w:cs="Arial"/>
        </w:rPr>
        <w:t>use of glue traps</w:t>
      </w:r>
      <w:r w:rsidR="00956462">
        <w:rPr>
          <w:rFonts w:cs="Arial"/>
        </w:rPr>
        <w:t>.</w:t>
      </w:r>
      <w:r w:rsidRPr="00EA16F4">
        <w:rPr>
          <w:rFonts w:cs="Arial"/>
        </w:rPr>
        <w:t xml:space="preserve"> </w:t>
      </w:r>
    </w:p>
    <w:p w14:paraId="4C9C7C3D" w14:textId="77777777" w:rsidR="00664A15" w:rsidRPr="00EA16F4" w:rsidRDefault="00664A15" w:rsidP="00623BC2">
      <w:pPr>
        <w:spacing w:after="0"/>
        <w:jc w:val="both"/>
        <w:sectPr w:rsidR="00664A15" w:rsidRPr="00EA16F4" w:rsidSect="00EA16F4">
          <w:type w:val="continuous"/>
          <w:pgSz w:w="11900" w:h="16840"/>
          <w:pgMar w:top="1644" w:right="1134" w:bottom="1418" w:left="1134" w:header="709" w:footer="709" w:gutter="0"/>
          <w:cols w:num="2" w:space="708"/>
          <w:titlePg/>
          <w:docGrid w:linePitch="360"/>
        </w:sectPr>
      </w:pPr>
    </w:p>
    <w:p w14:paraId="22ABFFDD" w14:textId="13674B7A" w:rsidR="004F0B7A" w:rsidRPr="00EA16F4" w:rsidRDefault="004F0B7A" w:rsidP="00CC4AE7">
      <w:pPr>
        <w:spacing w:before="240"/>
      </w:pPr>
      <w:r w:rsidRPr="00EA16F4">
        <w:rPr>
          <w:color w:val="00B7BD" w:themeColor="accent3"/>
        </w:rPr>
        <w:t>Restricted activities</w:t>
      </w:r>
      <w:r w:rsidRPr="00EA16F4">
        <w:t xml:space="preserve"> </w:t>
      </w:r>
    </w:p>
    <w:p w14:paraId="1CC0C77F" w14:textId="71BE0AAA" w:rsidR="00623BC2" w:rsidRPr="00EA16F4" w:rsidRDefault="00623BC2" w:rsidP="009B0DC3">
      <w:pPr>
        <w:spacing w:after="0"/>
        <w:jc w:val="both"/>
      </w:pPr>
      <w:r w:rsidRPr="00EA16F4">
        <w:t>AECs may provide provisional approval for following activities but ultimate approval is required from the Minister for Agriculture for:</w:t>
      </w:r>
    </w:p>
    <w:p w14:paraId="2AB20185" w14:textId="0625679E" w:rsidR="00623BC2" w:rsidRPr="00EA16F4" w:rsidRDefault="00623BC2" w:rsidP="00CC4AE7">
      <w:pPr>
        <w:widowControl w:val="0"/>
        <w:numPr>
          <w:ilvl w:val="0"/>
          <w:numId w:val="22"/>
        </w:numPr>
        <w:suppressAutoHyphens/>
        <w:autoSpaceDE w:val="0"/>
        <w:autoSpaceDN w:val="0"/>
        <w:adjustRightInd w:val="0"/>
        <w:snapToGrid/>
        <w:spacing w:after="170"/>
        <w:ind w:left="714" w:hanging="357"/>
        <w:contextualSpacing/>
        <w:jc w:val="both"/>
        <w:textAlignment w:val="center"/>
        <w:rPr>
          <w:rFonts w:cs="Arial"/>
        </w:rPr>
      </w:pPr>
      <w:r w:rsidRPr="00EA16F4">
        <w:rPr>
          <w:rFonts w:cs="Arial"/>
        </w:rPr>
        <w:t>the use</w:t>
      </w:r>
      <w:r w:rsidR="00365602">
        <w:rPr>
          <w:rFonts w:cs="Arial"/>
        </w:rPr>
        <w:t xml:space="preserve"> of</w:t>
      </w:r>
      <w:r w:rsidRPr="00EA16F4">
        <w:rPr>
          <w:rFonts w:cs="Arial"/>
        </w:rPr>
        <w:t xml:space="preserve"> lethal trap devices. Lethal trap devices are devices attached to a trap that contains a lethal substance for the purpose of causing rapid death of trapped target animals through ingestion of the substance.  </w:t>
      </w:r>
    </w:p>
    <w:p w14:paraId="09F10F81" w14:textId="77777777" w:rsidR="00623BC2" w:rsidRPr="00EA16F4" w:rsidRDefault="00623BC2" w:rsidP="00CC4AE7">
      <w:pPr>
        <w:widowControl w:val="0"/>
        <w:numPr>
          <w:ilvl w:val="0"/>
          <w:numId w:val="22"/>
        </w:numPr>
        <w:suppressAutoHyphens/>
        <w:autoSpaceDE w:val="0"/>
        <w:autoSpaceDN w:val="0"/>
        <w:adjustRightInd w:val="0"/>
        <w:snapToGrid/>
        <w:spacing w:after="170"/>
        <w:ind w:left="714" w:hanging="357"/>
        <w:contextualSpacing/>
        <w:jc w:val="both"/>
        <w:textAlignment w:val="center"/>
        <w:rPr>
          <w:rFonts w:cs="Arial"/>
        </w:rPr>
      </w:pPr>
      <w:r w:rsidRPr="00EA16F4">
        <w:rPr>
          <w:rFonts w:cs="Arial"/>
        </w:rPr>
        <w:t xml:space="preserve">scientific procedures involving death as an endpoint; or </w:t>
      </w:r>
    </w:p>
    <w:p w14:paraId="7FEC8693" w14:textId="275482B7" w:rsidR="00623BC2" w:rsidRPr="00EA16F4" w:rsidRDefault="00623BC2" w:rsidP="00CC4AE7">
      <w:pPr>
        <w:widowControl w:val="0"/>
        <w:numPr>
          <w:ilvl w:val="0"/>
          <w:numId w:val="22"/>
        </w:numPr>
        <w:suppressAutoHyphens/>
        <w:autoSpaceDE w:val="0"/>
        <w:autoSpaceDN w:val="0"/>
        <w:adjustRightInd w:val="0"/>
        <w:snapToGrid/>
        <w:spacing w:after="170"/>
        <w:ind w:left="714" w:hanging="357"/>
        <w:contextualSpacing/>
        <w:jc w:val="both"/>
        <w:textAlignment w:val="center"/>
        <w:rPr>
          <w:rFonts w:cs="Arial"/>
        </w:rPr>
      </w:pPr>
      <w:r w:rsidRPr="00EA16F4">
        <w:rPr>
          <w:rFonts w:cs="Arial"/>
        </w:rPr>
        <w:t>the use of non-human hominids (orangutans, chimpanzees, gorillas, and bonobos) in scientific procedures.</w:t>
      </w:r>
    </w:p>
    <w:p w14:paraId="2FF3B6E1" w14:textId="4FF3CDD1" w:rsidR="00623BC2" w:rsidRPr="00EA16F4" w:rsidRDefault="00623BC2" w:rsidP="00D32292">
      <w:pPr>
        <w:spacing w:before="240" w:after="0"/>
        <w:jc w:val="both"/>
      </w:pPr>
      <w:r w:rsidRPr="00EA16F4">
        <w:t>Investigators and AECs must observe the mandatory conditions imposed by the Prevention of Cruelty to Animals Regulations 2019 in relation to:</w:t>
      </w:r>
    </w:p>
    <w:p w14:paraId="33BBAAC8" w14:textId="77777777" w:rsidR="00623BC2" w:rsidRPr="00EA16F4" w:rsidRDefault="00623BC2" w:rsidP="00CC4AE7">
      <w:pPr>
        <w:widowControl w:val="0"/>
        <w:numPr>
          <w:ilvl w:val="0"/>
          <w:numId w:val="34"/>
        </w:numPr>
        <w:suppressAutoHyphens/>
        <w:autoSpaceDE w:val="0"/>
        <w:autoSpaceDN w:val="0"/>
        <w:adjustRightInd w:val="0"/>
        <w:snapToGrid/>
        <w:spacing w:after="170"/>
        <w:contextualSpacing/>
        <w:jc w:val="both"/>
        <w:textAlignment w:val="center"/>
        <w:rPr>
          <w:rFonts w:cs="Arial"/>
        </w:rPr>
      </w:pPr>
      <w:r w:rsidRPr="00EA16F4">
        <w:rPr>
          <w:rFonts w:cs="Arial"/>
        </w:rPr>
        <w:t xml:space="preserve">possession of fighting implements </w:t>
      </w:r>
    </w:p>
    <w:p w14:paraId="41939AB7" w14:textId="77777777" w:rsidR="00623BC2" w:rsidRPr="00EA16F4" w:rsidRDefault="00623BC2" w:rsidP="00CC4AE7">
      <w:pPr>
        <w:widowControl w:val="0"/>
        <w:numPr>
          <w:ilvl w:val="0"/>
          <w:numId w:val="34"/>
        </w:numPr>
        <w:suppressAutoHyphens/>
        <w:autoSpaceDE w:val="0"/>
        <w:autoSpaceDN w:val="0"/>
        <w:adjustRightInd w:val="0"/>
        <w:snapToGrid/>
        <w:spacing w:after="170"/>
        <w:ind w:left="714" w:hanging="357"/>
        <w:contextualSpacing/>
        <w:jc w:val="both"/>
        <w:textAlignment w:val="center"/>
        <w:rPr>
          <w:rFonts w:cs="Arial"/>
        </w:rPr>
      </w:pPr>
      <w:r w:rsidRPr="00EA16F4">
        <w:rPr>
          <w:rFonts w:cs="Arial"/>
        </w:rPr>
        <w:t>use of electronic devices, electric fences, electric bird deterrents, electric prodders, electronic stunning devices, electronic ejaculators, electronic collars, remote training collars, and containment collars, and</w:t>
      </w:r>
    </w:p>
    <w:p w14:paraId="56A33313" w14:textId="77777777" w:rsidR="00623BC2" w:rsidRPr="00EA16F4" w:rsidRDefault="00623BC2" w:rsidP="00CC4AE7">
      <w:pPr>
        <w:widowControl w:val="0"/>
        <w:numPr>
          <w:ilvl w:val="0"/>
          <w:numId w:val="34"/>
        </w:numPr>
        <w:suppressAutoHyphens/>
        <w:autoSpaceDE w:val="0"/>
        <w:autoSpaceDN w:val="0"/>
        <w:adjustRightInd w:val="0"/>
        <w:snapToGrid/>
        <w:spacing w:after="170"/>
        <w:ind w:left="714" w:hanging="357"/>
        <w:contextualSpacing/>
        <w:jc w:val="both"/>
        <w:textAlignment w:val="center"/>
        <w:rPr>
          <w:rFonts w:cs="Arial"/>
        </w:rPr>
      </w:pPr>
      <w:r w:rsidRPr="00EA16F4">
        <w:rPr>
          <w:rFonts w:cs="Arial"/>
        </w:rPr>
        <w:t>use of confinement traps, net traps, non-kill snare traps, rodent kill traps, kill traps, glue traps, and lethal trap devices.</w:t>
      </w:r>
    </w:p>
    <w:p w14:paraId="362A18B0" w14:textId="77777777" w:rsidR="007F319A" w:rsidRDefault="007F319A" w:rsidP="00086BEB">
      <w:pPr>
        <w:spacing w:before="240"/>
        <w:jc w:val="both"/>
        <w:rPr>
          <w:rFonts w:cs="Arial"/>
          <w:b/>
          <w:color w:val="00B7BD" w:themeColor="accent3"/>
          <w:sz w:val="24"/>
          <w:szCs w:val="24"/>
          <w:lang w:val="en-US"/>
        </w:rPr>
      </w:pPr>
      <w:r>
        <w:rPr>
          <w:rFonts w:cs="Arial"/>
          <w:b/>
          <w:color w:val="00B7BD" w:themeColor="accent3"/>
          <w:sz w:val="24"/>
          <w:szCs w:val="24"/>
          <w:lang w:val="en-US"/>
        </w:rPr>
        <w:br w:type="page"/>
      </w:r>
    </w:p>
    <w:p w14:paraId="53E065E0" w14:textId="3EF0C7B4" w:rsidR="00626D42" w:rsidRPr="00EA16F4" w:rsidRDefault="00626D42" w:rsidP="00C67956">
      <w:pPr>
        <w:pStyle w:val="Heading1"/>
        <w:spacing w:after="240"/>
        <w:ind w:left="426" w:hanging="426"/>
        <w:rPr>
          <w:b w:val="0"/>
          <w:color w:val="00B7BD" w:themeColor="accent3"/>
        </w:rPr>
      </w:pPr>
      <w:bookmarkStart w:id="9" w:name="_Toc40710201"/>
      <w:r w:rsidRPr="00086BEB">
        <w:rPr>
          <w:rFonts w:cs="Arial"/>
          <w:color w:val="00B7BD" w:themeColor="accent3"/>
          <w:szCs w:val="24"/>
          <w:lang w:val="en-US"/>
        </w:rPr>
        <w:lastRenderedPageBreak/>
        <w:t>Decisions</w:t>
      </w:r>
      <w:bookmarkEnd w:id="9"/>
    </w:p>
    <w:p w14:paraId="5131105E" w14:textId="75E1943F" w:rsidR="00757643" w:rsidRPr="00EA16F4" w:rsidRDefault="00757643" w:rsidP="00757643">
      <w:pPr>
        <w:spacing w:before="240"/>
        <w:jc w:val="both"/>
      </w:pPr>
      <w:r w:rsidRPr="00EA16F4">
        <w:t xml:space="preserve">The AEC may make one of </w:t>
      </w:r>
      <w:r w:rsidR="00317FBC">
        <w:t>four</w:t>
      </w:r>
      <w:r w:rsidRPr="00EA16F4">
        <w:t xml:space="preserve"> responses to new applications, or applications to modify approved projects</w:t>
      </w:r>
      <w:r w:rsidR="00042C93">
        <w:t>, based on the information provided to them</w:t>
      </w:r>
      <w:r w:rsidRPr="00EA16F4">
        <w:t>:</w:t>
      </w:r>
    </w:p>
    <w:p w14:paraId="624DD856" w14:textId="5833AB77" w:rsidR="00757643" w:rsidRPr="00EA16F4" w:rsidRDefault="00757643" w:rsidP="000F7DCF">
      <w:pPr>
        <w:pStyle w:val="Heading1"/>
        <w:numPr>
          <w:ilvl w:val="0"/>
          <w:numId w:val="26"/>
        </w:numPr>
        <w:spacing w:after="240"/>
        <w:ind w:left="284" w:hanging="284"/>
        <w:rPr>
          <w:rFonts w:cs="Arial"/>
          <w:b w:val="0"/>
          <w:color w:val="00B7BD" w:themeColor="accent3"/>
          <w:szCs w:val="24"/>
          <w:lang w:val="en-US"/>
        </w:rPr>
      </w:pPr>
      <w:bookmarkStart w:id="10" w:name="_Toc506359841"/>
      <w:bookmarkStart w:id="11" w:name="_Toc40710202"/>
      <w:r w:rsidRPr="00EA16F4">
        <w:rPr>
          <w:rFonts w:cs="Arial"/>
          <w:b w:val="0"/>
          <w:color w:val="00B7BD" w:themeColor="accent3"/>
          <w:szCs w:val="24"/>
          <w:lang w:val="en-US"/>
        </w:rPr>
        <w:t>Approved</w:t>
      </w:r>
      <w:bookmarkEnd w:id="10"/>
      <w:bookmarkEnd w:id="11"/>
      <w:r w:rsidRPr="00EA16F4">
        <w:rPr>
          <w:rFonts w:cs="Arial"/>
          <w:b w:val="0"/>
          <w:color w:val="00B7BD" w:themeColor="accent3"/>
          <w:szCs w:val="24"/>
          <w:lang w:val="en-US"/>
        </w:rPr>
        <w:t xml:space="preserve"> </w:t>
      </w:r>
    </w:p>
    <w:p w14:paraId="5F71548D" w14:textId="010693B7" w:rsidR="00757643" w:rsidRPr="00EA16F4" w:rsidRDefault="00757643" w:rsidP="00757643">
      <w:pPr>
        <w:jc w:val="both"/>
      </w:pPr>
      <w:r w:rsidRPr="00EA16F4">
        <w:t>The AEC is satisfied that the</w:t>
      </w:r>
      <w:r w:rsidR="004649D5">
        <w:t xml:space="preserve">y </w:t>
      </w:r>
      <w:r w:rsidR="00A97377">
        <w:t>ha</w:t>
      </w:r>
      <w:r w:rsidR="009216BD">
        <w:t>ve collected</w:t>
      </w:r>
      <w:r w:rsidR="00A97377">
        <w:t xml:space="preserve"> all the information </w:t>
      </w:r>
      <w:r w:rsidR="00BF7A9B">
        <w:t>the Australian code requires them to consider</w:t>
      </w:r>
      <w:r w:rsidR="009216BD">
        <w:t xml:space="preserve">. </w:t>
      </w:r>
      <w:r w:rsidR="00312061">
        <w:t xml:space="preserve">They </w:t>
      </w:r>
      <w:r w:rsidR="009434D8">
        <w:t>agree that the project is</w:t>
      </w:r>
      <w:r w:rsidRPr="00EA16F4">
        <w:t xml:space="preserve"> ethically acceptable and complies with the Australian code.</w:t>
      </w:r>
      <w:r w:rsidR="009434D8">
        <w:t xml:space="preserve"> </w:t>
      </w:r>
      <w:r w:rsidRPr="00EA16F4">
        <w:t xml:space="preserve">The application is approved by the AEC, as submitted, with no changes required. </w:t>
      </w:r>
    </w:p>
    <w:p w14:paraId="19C581FD" w14:textId="77777777" w:rsidR="00757643" w:rsidRPr="00EA16F4" w:rsidRDefault="00757643" w:rsidP="000F7DCF">
      <w:pPr>
        <w:pStyle w:val="Heading1"/>
        <w:numPr>
          <w:ilvl w:val="0"/>
          <w:numId w:val="26"/>
        </w:numPr>
        <w:spacing w:after="240"/>
        <w:ind w:left="284" w:hanging="284"/>
        <w:rPr>
          <w:rFonts w:cs="Arial"/>
          <w:b w:val="0"/>
          <w:color w:val="00B7BD" w:themeColor="accent3"/>
          <w:szCs w:val="24"/>
          <w:lang w:val="en-US"/>
        </w:rPr>
      </w:pPr>
      <w:bookmarkStart w:id="12" w:name="_Toc506359842"/>
      <w:bookmarkStart w:id="13" w:name="_Toc40710203"/>
      <w:r w:rsidRPr="00EA16F4">
        <w:rPr>
          <w:rFonts w:cs="Arial"/>
          <w:b w:val="0"/>
          <w:color w:val="00B7BD" w:themeColor="accent3"/>
          <w:szCs w:val="24"/>
          <w:lang w:val="en-US"/>
        </w:rPr>
        <w:t>Approved with condition(s)</w:t>
      </w:r>
      <w:bookmarkEnd w:id="12"/>
      <w:bookmarkEnd w:id="13"/>
      <w:r w:rsidRPr="00EA16F4">
        <w:rPr>
          <w:rFonts w:cs="Arial"/>
          <w:b w:val="0"/>
          <w:color w:val="00B7BD" w:themeColor="accent3"/>
          <w:szCs w:val="24"/>
          <w:lang w:val="en-US"/>
        </w:rPr>
        <w:t xml:space="preserve"> </w:t>
      </w:r>
    </w:p>
    <w:p w14:paraId="2C69388C" w14:textId="306338D5" w:rsidR="00D66B72" w:rsidRPr="00EA16F4" w:rsidRDefault="00757643" w:rsidP="00757643">
      <w:pPr>
        <w:jc w:val="both"/>
      </w:pPr>
      <w:r w:rsidRPr="00EA16F4">
        <w:t xml:space="preserve">The AEC is satisfied that the application will be ethically acceptable and comply with the Australian code, subject to a specific correction or defined alteration. Alternatively, where outcomes or effects of procedures are not well known, the AEC may wish to receive reports at specified time points to ensure the project remains ethically acceptable. </w:t>
      </w:r>
    </w:p>
    <w:p w14:paraId="49187571" w14:textId="4E4AF36B" w:rsidR="00757643" w:rsidRPr="00EA16F4" w:rsidRDefault="00757643" w:rsidP="00496483">
      <w:pPr>
        <w:spacing w:after="0"/>
        <w:jc w:val="both"/>
      </w:pPr>
      <w:r w:rsidRPr="00EA16F4">
        <w:t>The agreed and exact condition(s) are recorded in the AEC meeting minutes as a decision of the AEC. There are two options to formalise the decision:</w:t>
      </w:r>
    </w:p>
    <w:p w14:paraId="4A5E422C" w14:textId="40C0DBAC" w:rsidR="00757643" w:rsidRPr="00EA16F4" w:rsidRDefault="00757643" w:rsidP="00496483">
      <w:pPr>
        <w:pStyle w:val="ListParagraph"/>
        <w:numPr>
          <w:ilvl w:val="0"/>
          <w:numId w:val="29"/>
        </w:numPr>
        <w:spacing w:after="0" w:line="240" w:lineRule="auto"/>
        <w:ind w:left="777" w:hanging="357"/>
        <w:jc w:val="both"/>
        <w:rPr>
          <w:sz w:val="22"/>
          <w:szCs w:val="20"/>
          <w:lang w:val="en-AU"/>
        </w:rPr>
      </w:pPr>
      <w:r w:rsidRPr="00EA16F4">
        <w:rPr>
          <w:sz w:val="22"/>
          <w:szCs w:val="20"/>
          <w:lang w:val="en-AU"/>
        </w:rPr>
        <w:t>The investigator is required to revise the original application in accordance with the instruction from the AEC and may resubmit to a person authorised by the AEC</w:t>
      </w:r>
      <w:r w:rsidR="0004454C" w:rsidRPr="00EA16F4">
        <w:rPr>
          <w:sz w:val="22"/>
          <w:szCs w:val="20"/>
          <w:lang w:val="en-AU"/>
        </w:rPr>
        <w:t>.</w:t>
      </w:r>
      <w:r w:rsidRPr="00EA16F4">
        <w:rPr>
          <w:sz w:val="22"/>
          <w:szCs w:val="20"/>
          <w:lang w:val="en-AU"/>
        </w:rPr>
        <w:t xml:space="preserve"> </w:t>
      </w:r>
      <w:r w:rsidR="0004454C" w:rsidRPr="00EA16F4">
        <w:rPr>
          <w:sz w:val="22"/>
          <w:szCs w:val="20"/>
          <w:lang w:val="en-AU"/>
        </w:rPr>
        <w:t>F</w:t>
      </w:r>
      <w:r w:rsidRPr="00EA16F4">
        <w:rPr>
          <w:sz w:val="22"/>
          <w:szCs w:val="20"/>
          <w:lang w:val="en-AU"/>
        </w:rPr>
        <w:t>or example</w:t>
      </w:r>
      <w:r w:rsidR="0004454C" w:rsidRPr="00EA16F4">
        <w:rPr>
          <w:sz w:val="22"/>
          <w:szCs w:val="20"/>
          <w:lang w:val="en-AU"/>
        </w:rPr>
        <w:t>,</w:t>
      </w:r>
      <w:r w:rsidRPr="00EA16F4">
        <w:rPr>
          <w:sz w:val="22"/>
          <w:szCs w:val="20"/>
          <w:lang w:val="en-AU"/>
        </w:rPr>
        <w:t xml:space="preserve"> the executive officer or AEC </w:t>
      </w:r>
      <w:r w:rsidR="00730818" w:rsidRPr="00EA16F4">
        <w:rPr>
          <w:sz w:val="22"/>
          <w:szCs w:val="20"/>
          <w:lang w:val="en-AU"/>
        </w:rPr>
        <w:t>C</w:t>
      </w:r>
      <w:r w:rsidRPr="00EA16F4">
        <w:rPr>
          <w:sz w:val="22"/>
          <w:szCs w:val="20"/>
          <w:lang w:val="en-AU"/>
        </w:rPr>
        <w:t>hair</w:t>
      </w:r>
      <w:r w:rsidR="00730818" w:rsidRPr="00EA16F4">
        <w:rPr>
          <w:sz w:val="22"/>
          <w:szCs w:val="20"/>
          <w:lang w:val="en-AU"/>
        </w:rPr>
        <w:t>person</w:t>
      </w:r>
      <w:r w:rsidRPr="00EA16F4">
        <w:rPr>
          <w:sz w:val="22"/>
          <w:szCs w:val="20"/>
          <w:lang w:val="en-AU"/>
        </w:rPr>
        <w:t xml:space="preserve"> to administratively confirm that the instruction of the AEC has been followed exactly. The resubmission must </w:t>
      </w:r>
      <w:r w:rsidR="0004454C" w:rsidRPr="00EA16F4">
        <w:rPr>
          <w:sz w:val="22"/>
          <w:szCs w:val="20"/>
          <w:lang w:val="en-AU"/>
        </w:rPr>
        <w:t xml:space="preserve">simply be a reconciliation with instructions and </w:t>
      </w:r>
      <w:r w:rsidRPr="00EA16F4">
        <w:rPr>
          <w:sz w:val="22"/>
          <w:szCs w:val="20"/>
          <w:lang w:val="en-AU"/>
        </w:rPr>
        <w:t xml:space="preserve">not contain any new information or require a decision. The approval date of the application must not be before the date of confirmation. The revised application then becomes the application approved by the AEC. </w:t>
      </w:r>
    </w:p>
    <w:p w14:paraId="0D314A28" w14:textId="77777777" w:rsidR="00757643" w:rsidRPr="00EA16F4" w:rsidRDefault="00757643" w:rsidP="00CC4AE7">
      <w:pPr>
        <w:pStyle w:val="ListParagraph"/>
        <w:numPr>
          <w:ilvl w:val="0"/>
          <w:numId w:val="29"/>
        </w:numPr>
        <w:spacing w:after="240" w:line="240" w:lineRule="auto"/>
        <w:ind w:left="777" w:hanging="357"/>
        <w:jc w:val="both"/>
        <w:rPr>
          <w:sz w:val="22"/>
          <w:szCs w:val="20"/>
          <w:lang w:val="en-AU"/>
        </w:rPr>
      </w:pPr>
      <w:r w:rsidRPr="00EA16F4">
        <w:rPr>
          <w:sz w:val="22"/>
          <w:szCs w:val="20"/>
          <w:lang w:val="en-AU"/>
        </w:rPr>
        <w:t>The investigator is made aware that exact conformity with specified alterations is a condition of approval. The condition(s) of approval must be defined in the letter of approval. For example, the AEC may require six monthly progress reports, direct veterinary oversight of novel procedures, or report of completion of a pilot study to the satisfaction of the AEC prior to commencing the next phase of a project.</w:t>
      </w:r>
    </w:p>
    <w:p w14:paraId="2AD2B6D5" w14:textId="77777777" w:rsidR="00757643" w:rsidRPr="00EA16F4" w:rsidRDefault="00757643" w:rsidP="000F7DCF">
      <w:pPr>
        <w:pStyle w:val="Heading1"/>
        <w:numPr>
          <w:ilvl w:val="0"/>
          <w:numId w:val="26"/>
        </w:numPr>
        <w:spacing w:after="240"/>
        <w:ind w:left="284" w:hanging="284"/>
        <w:rPr>
          <w:rFonts w:cs="Arial"/>
          <w:b w:val="0"/>
          <w:color w:val="00B7BD" w:themeColor="accent3"/>
          <w:szCs w:val="24"/>
          <w:lang w:val="en-US"/>
        </w:rPr>
      </w:pPr>
      <w:bookmarkStart w:id="14" w:name="_Toc506359843"/>
      <w:bookmarkStart w:id="15" w:name="_Toc40710204"/>
      <w:r w:rsidRPr="00EA16F4">
        <w:rPr>
          <w:rFonts w:cs="Arial"/>
          <w:b w:val="0"/>
          <w:color w:val="00B7BD" w:themeColor="accent3"/>
          <w:szCs w:val="24"/>
          <w:lang w:val="en-US"/>
        </w:rPr>
        <w:t>Decision deferred, subject to modification to the satisfaction of the AEC</w:t>
      </w:r>
      <w:bookmarkEnd w:id="14"/>
      <w:bookmarkEnd w:id="15"/>
    </w:p>
    <w:p w14:paraId="7FA3100F" w14:textId="5DF7BE0C" w:rsidR="00445B3F" w:rsidRPr="00EA16F4" w:rsidRDefault="00757643" w:rsidP="00757643">
      <w:pPr>
        <w:jc w:val="both"/>
      </w:pPr>
      <w:r w:rsidRPr="00EA16F4">
        <w:t xml:space="preserve">The AEC is satisfied that the application has in-principle justification, but requires additional information, clarification or </w:t>
      </w:r>
      <w:r w:rsidR="00A662AF">
        <w:t>refinement</w:t>
      </w:r>
      <w:r w:rsidR="009462FC" w:rsidRPr="00EA16F4">
        <w:t xml:space="preserve"> before it can</w:t>
      </w:r>
      <w:r w:rsidRPr="00EA16F4">
        <w:t xml:space="preserve"> </w:t>
      </w:r>
      <w:r w:rsidR="00D36D9C" w:rsidRPr="00EA16F4">
        <w:t xml:space="preserve">make a final </w:t>
      </w:r>
      <w:r w:rsidR="009462FC" w:rsidRPr="00EA16F4">
        <w:t>deci</w:t>
      </w:r>
      <w:r w:rsidR="00D36D9C" w:rsidRPr="00EA16F4">
        <w:t>sion</w:t>
      </w:r>
      <w:r w:rsidRPr="00EA16F4">
        <w:t xml:space="preserve">. The AEC </w:t>
      </w:r>
      <w:r w:rsidR="00D36D9C" w:rsidRPr="00EA16F4">
        <w:t xml:space="preserve">must </w:t>
      </w:r>
      <w:r w:rsidR="001F1752">
        <w:t xml:space="preserve">clearly </w:t>
      </w:r>
      <w:r w:rsidRPr="00EA16F4">
        <w:t xml:space="preserve">convey the required modifications or additional information to the applicant. </w:t>
      </w:r>
      <w:r w:rsidR="00BA7A58">
        <w:t>T</w:t>
      </w:r>
      <w:r w:rsidRPr="00EA16F4">
        <w:t xml:space="preserve">he </w:t>
      </w:r>
      <w:r w:rsidR="0010146A">
        <w:t>modified application</w:t>
      </w:r>
      <w:r w:rsidRPr="00EA16F4">
        <w:t xml:space="preserve"> may be assessed by the AEC quorum or by an executive</w:t>
      </w:r>
      <w:r w:rsidR="00282E56">
        <w:t>, d</w:t>
      </w:r>
      <w:r w:rsidR="00CB59B3" w:rsidRPr="00EA16F4">
        <w:t>epending</w:t>
      </w:r>
      <w:r w:rsidRPr="00EA16F4">
        <w:t xml:space="preserve"> on the nature and potential consequences of the additional information. </w:t>
      </w:r>
    </w:p>
    <w:p w14:paraId="7AC1C66B" w14:textId="7E7058D6" w:rsidR="005F0102" w:rsidRDefault="00CB49E1" w:rsidP="0000203A">
      <w:pPr>
        <w:jc w:val="both"/>
      </w:pPr>
      <w:r>
        <w:t>M</w:t>
      </w:r>
      <w:r w:rsidR="00460ABF">
        <w:t>inor amendment</w:t>
      </w:r>
      <w:r w:rsidR="00574873">
        <w:t>s</w:t>
      </w:r>
      <w:r w:rsidR="00460ABF">
        <w:t xml:space="preserve"> may be reviewed </w:t>
      </w:r>
      <w:r w:rsidR="00DF255C">
        <w:t>out-of-se</w:t>
      </w:r>
      <w:r w:rsidR="00FB0A54">
        <w:t>ssion</w:t>
      </w:r>
      <w:r w:rsidR="00307DB4">
        <w:t>,</w:t>
      </w:r>
      <w:r w:rsidR="00A20212">
        <w:t xml:space="preserve"> before the next AEC meeting, by </w:t>
      </w:r>
      <w:r w:rsidR="00113988">
        <w:t>the executive.</w:t>
      </w:r>
      <w:r w:rsidR="0028339B">
        <w:t xml:space="preserve"> </w:t>
      </w:r>
      <w:r w:rsidR="0000203A">
        <w:t>A minor amendment may include a change</w:t>
      </w:r>
      <w:r w:rsidR="00F863AE">
        <w:t xml:space="preserve"> </w:t>
      </w:r>
      <w:r w:rsidR="00BA31BB">
        <w:t>that is</w:t>
      </w:r>
      <w:r w:rsidR="0000203A">
        <w:t xml:space="preserve"> not likely to cause</w:t>
      </w:r>
      <w:r w:rsidR="00BA31BB">
        <w:t xml:space="preserve"> </w:t>
      </w:r>
      <w:r w:rsidR="0000203A">
        <w:t>harm to the animals, including pain and distress</w:t>
      </w:r>
      <w:r w:rsidR="00F863AE">
        <w:t xml:space="preserve">. </w:t>
      </w:r>
      <w:r w:rsidR="00AF6EAD" w:rsidRPr="00EA16F4">
        <w:t xml:space="preserve">AEC procedures should provide guidance on the type of activity that would be considered a minor amendment. </w:t>
      </w:r>
    </w:p>
    <w:p w14:paraId="43B09C72" w14:textId="15FCAE4E" w:rsidR="00460ABF" w:rsidRPr="00EA16F4" w:rsidRDefault="00AF6EAD" w:rsidP="00CC4AE7">
      <w:pPr>
        <w:jc w:val="both"/>
      </w:pPr>
      <w:r w:rsidRPr="00EA16F4">
        <w:t>Examples</w:t>
      </w:r>
      <w:r>
        <w:t xml:space="preserve"> of minor amendments</w:t>
      </w:r>
      <w:r w:rsidRPr="00EA16F4">
        <w:t xml:space="preserve"> include</w:t>
      </w:r>
      <w:r>
        <w:t xml:space="preserve"> the </w:t>
      </w:r>
      <w:r w:rsidRPr="00EA16F4">
        <w:rPr>
          <w:szCs w:val="22"/>
        </w:rPr>
        <w:t>addition of suitably experienced personnel</w:t>
      </w:r>
      <w:r>
        <w:rPr>
          <w:szCs w:val="22"/>
        </w:rPr>
        <w:t>; changes to timelines that reduce cumulative burden;</w:t>
      </w:r>
      <w:r w:rsidR="005B6802">
        <w:rPr>
          <w:szCs w:val="22"/>
        </w:rPr>
        <w:t xml:space="preserve"> and</w:t>
      </w:r>
      <w:r>
        <w:rPr>
          <w:szCs w:val="22"/>
        </w:rPr>
        <w:t xml:space="preserve"> </w:t>
      </w:r>
      <w:r w:rsidRPr="00EA16F4">
        <w:rPr>
          <w:szCs w:val="22"/>
        </w:rPr>
        <w:t>minor changes to procedures</w:t>
      </w:r>
      <w:r>
        <w:rPr>
          <w:szCs w:val="22"/>
        </w:rPr>
        <w:t xml:space="preserve"> causing</w:t>
      </w:r>
      <w:r w:rsidRPr="00EA16F4">
        <w:rPr>
          <w:szCs w:val="22"/>
        </w:rPr>
        <w:t xml:space="preserve"> little impact on the well-being of the animals</w:t>
      </w:r>
      <w:r>
        <w:rPr>
          <w:szCs w:val="22"/>
        </w:rPr>
        <w:t xml:space="preserve">, e.g. change of route of drug </w:t>
      </w:r>
      <w:r w:rsidRPr="00EA16F4">
        <w:rPr>
          <w:szCs w:val="22"/>
        </w:rPr>
        <w:t>administration where the impact is the same or less than originally approved</w:t>
      </w:r>
      <w:r>
        <w:rPr>
          <w:szCs w:val="22"/>
        </w:rPr>
        <w:t>.</w:t>
      </w:r>
    </w:p>
    <w:p w14:paraId="658C9EA7" w14:textId="77777777" w:rsidR="00FF07B5" w:rsidRDefault="00FF07B5">
      <w:pPr>
        <w:snapToGrid/>
        <w:spacing w:after="0"/>
        <w:rPr>
          <w:rFonts w:cs="Arial"/>
        </w:rPr>
      </w:pPr>
      <w:r>
        <w:br w:type="page"/>
      </w:r>
    </w:p>
    <w:p w14:paraId="192C2F9B" w14:textId="373AA78F" w:rsidR="00757643" w:rsidRPr="00EA16F4" w:rsidRDefault="00757643" w:rsidP="00CC4AE7">
      <w:pPr>
        <w:pStyle w:val="ListParagraph"/>
        <w:numPr>
          <w:ilvl w:val="0"/>
          <w:numId w:val="30"/>
        </w:numPr>
        <w:spacing w:line="240" w:lineRule="auto"/>
        <w:jc w:val="both"/>
        <w:rPr>
          <w:sz w:val="22"/>
          <w:szCs w:val="20"/>
          <w:lang w:val="en-AU"/>
        </w:rPr>
      </w:pPr>
      <w:r w:rsidRPr="00EA16F4">
        <w:rPr>
          <w:sz w:val="22"/>
          <w:szCs w:val="20"/>
          <w:lang w:val="en-AU"/>
        </w:rPr>
        <w:lastRenderedPageBreak/>
        <w:t xml:space="preserve">Where the required modifications meet the AEC’s criteria for a minor amendment, the revised application may be </w:t>
      </w:r>
      <w:r w:rsidR="00BB7A37">
        <w:rPr>
          <w:sz w:val="22"/>
          <w:szCs w:val="20"/>
          <w:lang w:val="en-AU"/>
        </w:rPr>
        <w:t xml:space="preserve">circulated to the designated executive for </w:t>
      </w:r>
      <w:r w:rsidR="00FF07B5">
        <w:rPr>
          <w:sz w:val="22"/>
          <w:szCs w:val="20"/>
          <w:lang w:val="en-AU"/>
        </w:rPr>
        <w:t>decision</w:t>
      </w:r>
      <w:r w:rsidRPr="00EA16F4">
        <w:rPr>
          <w:sz w:val="22"/>
          <w:szCs w:val="20"/>
          <w:lang w:val="en-AU"/>
        </w:rPr>
        <w:t xml:space="preserve">. </w:t>
      </w:r>
    </w:p>
    <w:p w14:paraId="4F2B062E" w14:textId="6475FAD3" w:rsidR="00757643" w:rsidRPr="00EA16F4" w:rsidRDefault="00757643" w:rsidP="00F25AF3">
      <w:pPr>
        <w:pStyle w:val="ListParagraph"/>
        <w:numPr>
          <w:ilvl w:val="0"/>
          <w:numId w:val="17"/>
        </w:numPr>
        <w:spacing w:line="240" w:lineRule="auto"/>
        <w:ind w:left="1361" w:hanging="357"/>
        <w:jc w:val="both"/>
        <w:rPr>
          <w:sz w:val="22"/>
          <w:szCs w:val="20"/>
          <w:lang w:val="en-AU"/>
        </w:rPr>
      </w:pPr>
      <w:r w:rsidRPr="00EA16F4">
        <w:rPr>
          <w:sz w:val="22"/>
          <w:szCs w:val="20"/>
          <w:lang w:val="en-AU"/>
        </w:rPr>
        <w:t xml:space="preserve">If the </w:t>
      </w:r>
      <w:r w:rsidR="005C43AC">
        <w:rPr>
          <w:sz w:val="22"/>
          <w:szCs w:val="20"/>
          <w:lang w:val="en-AU"/>
        </w:rPr>
        <w:t>information</w:t>
      </w:r>
      <w:r w:rsidRPr="00EA16F4">
        <w:rPr>
          <w:sz w:val="22"/>
          <w:szCs w:val="20"/>
          <w:lang w:val="en-AU"/>
        </w:rPr>
        <w:t xml:space="preserve"> satisfie</w:t>
      </w:r>
      <w:r w:rsidR="00CC6410">
        <w:rPr>
          <w:sz w:val="22"/>
          <w:szCs w:val="20"/>
          <w:lang w:val="en-AU"/>
        </w:rPr>
        <w:t xml:space="preserve">s the </w:t>
      </w:r>
      <w:r w:rsidRPr="00EA16F4">
        <w:rPr>
          <w:sz w:val="22"/>
          <w:szCs w:val="20"/>
          <w:lang w:val="en-AU"/>
        </w:rPr>
        <w:t>executive, the</w:t>
      </w:r>
      <w:r w:rsidR="0066174B">
        <w:rPr>
          <w:sz w:val="22"/>
          <w:szCs w:val="20"/>
          <w:lang w:val="en-AU"/>
        </w:rPr>
        <w:t>y</w:t>
      </w:r>
      <w:r w:rsidRPr="00EA16F4">
        <w:rPr>
          <w:sz w:val="22"/>
          <w:szCs w:val="20"/>
          <w:lang w:val="en-AU"/>
        </w:rPr>
        <w:t xml:space="preserve"> may approve the revised application</w:t>
      </w:r>
      <w:r w:rsidR="009462FC" w:rsidRPr="00EA16F4">
        <w:rPr>
          <w:sz w:val="22"/>
          <w:szCs w:val="20"/>
          <w:lang w:val="en-AU"/>
        </w:rPr>
        <w:t>,</w:t>
      </w:r>
      <w:r w:rsidRPr="00EA16F4">
        <w:rPr>
          <w:sz w:val="22"/>
          <w:szCs w:val="20"/>
          <w:lang w:val="en-AU"/>
        </w:rPr>
        <w:t xml:space="preserve"> subject to ratification by the AEC at </w:t>
      </w:r>
      <w:r w:rsidR="00503F7C">
        <w:rPr>
          <w:sz w:val="22"/>
          <w:szCs w:val="20"/>
          <w:lang w:val="en-AU"/>
        </w:rPr>
        <w:t>the ne</w:t>
      </w:r>
      <w:r w:rsidR="00865AC9">
        <w:rPr>
          <w:sz w:val="22"/>
          <w:szCs w:val="20"/>
          <w:lang w:val="en-AU"/>
        </w:rPr>
        <w:t>xt</w:t>
      </w:r>
      <w:r w:rsidRPr="00EA16F4">
        <w:rPr>
          <w:sz w:val="22"/>
          <w:szCs w:val="20"/>
          <w:lang w:val="en-AU"/>
        </w:rPr>
        <w:t xml:space="preserve"> quorate meeting. The approval date is the date approved by the executive of the AEC. </w:t>
      </w:r>
    </w:p>
    <w:p w14:paraId="169AC493" w14:textId="6D7486F9" w:rsidR="00082661" w:rsidRDefault="00757643" w:rsidP="00CC4AE7">
      <w:pPr>
        <w:pStyle w:val="ListParagraph"/>
        <w:numPr>
          <w:ilvl w:val="0"/>
          <w:numId w:val="17"/>
        </w:numPr>
        <w:spacing w:line="240" w:lineRule="auto"/>
        <w:ind w:left="1361" w:hanging="357"/>
        <w:jc w:val="both"/>
        <w:rPr>
          <w:sz w:val="22"/>
          <w:szCs w:val="20"/>
          <w:lang w:val="en-AU"/>
        </w:rPr>
      </w:pPr>
      <w:r w:rsidRPr="00EA16F4">
        <w:rPr>
          <w:sz w:val="22"/>
          <w:szCs w:val="20"/>
          <w:lang w:val="en-AU"/>
        </w:rPr>
        <w:t>If the executive determines that</w:t>
      </w:r>
      <w:r w:rsidR="005F11F8">
        <w:rPr>
          <w:sz w:val="22"/>
          <w:szCs w:val="20"/>
          <w:lang w:val="en-AU"/>
        </w:rPr>
        <w:t>, after communicating w</w:t>
      </w:r>
      <w:r w:rsidR="00C91A32">
        <w:rPr>
          <w:sz w:val="22"/>
          <w:szCs w:val="20"/>
          <w:lang w:val="en-AU"/>
        </w:rPr>
        <w:t xml:space="preserve">ith the </w:t>
      </w:r>
      <w:r w:rsidR="004E5AEC">
        <w:rPr>
          <w:sz w:val="22"/>
          <w:szCs w:val="20"/>
          <w:lang w:val="en-AU"/>
        </w:rPr>
        <w:t>applicant,</w:t>
      </w:r>
      <w:r w:rsidRPr="00EA16F4">
        <w:rPr>
          <w:sz w:val="22"/>
          <w:szCs w:val="20"/>
          <w:lang w:val="en-AU"/>
        </w:rPr>
        <w:t xml:space="preserve"> the resubmitted application </w:t>
      </w:r>
      <w:r w:rsidR="00A41BB0">
        <w:rPr>
          <w:sz w:val="22"/>
          <w:szCs w:val="20"/>
          <w:lang w:val="en-AU"/>
        </w:rPr>
        <w:t xml:space="preserve">does not </w:t>
      </w:r>
      <w:r w:rsidR="006A6108">
        <w:rPr>
          <w:sz w:val="22"/>
          <w:szCs w:val="20"/>
          <w:lang w:val="en-AU"/>
        </w:rPr>
        <w:t xml:space="preserve">yet </w:t>
      </w:r>
      <w:r w:rsidR="005E1E27">
        <w:rPr>
          <w:sz w:val="22"/>
          <w:szCs w:val="20"/>
          <w:lang w:val="en-AU"/>
        </w:rPr>
        <w:t xml:space="preserve">meet the </w:t>
      </w:r>
      <w:r w:rsidR="004B3BFC">
        <w:rPr>
          <w:sz w:val="22"/>
          <w:szCs w:val="20"/>
          <w:lang w:val="en-AU"/>
        </w:rPr>
        <w:t>standard required by the Australian code</w:t>
      </w:r>
      <w:r w:rsidR="00D90657">
        <w:rPr>
          <w:sz w:val="22"/>
          <w:szCs w:val="20"/>
          <w:lang w:val="en-AU"/>
        </w:rPr>
        <w:t xml:space="preserve">, it </w:t>
      </w:r>
      <w:r w:rsidR="009D33BD">
        <w:rPr>
          <w:sz w:val="22"/>
          <w:szCs w:val="20"/>
          <w:lang w:val="en-AU"/>
        </w:rPr>
        <w:t xml:space="preserve">should refer </w:t>
      </w:r>
      <w:r w:rsidR="00346929" w:rsidRPr="00EA16F4">
        <w:rPr>
          <w:sz w:val="22"/>
          <w:szCs w:val="20"/>
          <w:lang w:val="en-AU"/>
        </w:rPr>
        <w:t>the applicant to a quorate meeting of the AEC</w:t>
      </w:r>
      <w:r w:rsidR="00A651B9">
        <w:rPr>
          <w:sz w:val="22"/>
          <w:szCs w:val="20"/>
          <w:lang w:val="en-AU"/>
        </w:rPr>
        <w:t>.</w:t>
      </w:r>
    </w:p>
    <w:p w14:paraId="4098E761" w14:textId="48B11AD1" w:rsidR="00757643" w:rsidRPr="00EA16F4" w:rsidRDefault="00A651B9" w:rsidP="00CC4AE7">
      <w:pPr>
        <w:pStyle w:val="ListParagraph"/>
        <w:numPr>
          <w:ilvl w:val="0"/>
          <w:numId w:val="17"/>
        </w:numPr>
        <w:spacing w:line="240" w:lineRule="auto"/>
        <w:ind w:left="1361" w:hanging="357"/>
        <w:jc w:val="both"/>
        <w:rPr>
          <w:sz w:val="22"/>
          <w:szCs w:val="20"/>
          <w:lang w:val="en-AU"/>
        </w:rPr>
      </w:pPr>
      <w:r>
        <w:rPr>
          <w:sz w:val="22"/>
          <w:szCs w:val="20"/>
          <w:lang w:val="en-AU"/>
        </w:rPr>
        <w:t>If</w:t>
      </w:r>
      <w:r w:rsidR="00B51712">
        <w:rPr>
          <w:sz w:val="22"/>
          <w:szCs w:val="20"/>
          <w:lang w:val="en-AU"/>
        </w:rPr>
        <w:t xml:space="preserve"> </w:t>
      </w:r>
      <w:r>
        <w:rPr>
          <w:sz w:val="22"/>
          <w:szCs w:val="20"/>
          <w:lang w:val="en-AU"/>
        </w:rPr>
        <w:t xml:space="preserve">the </w:t>
      </w:r>
      <w:r w:rsidR="007D13D9">
        <w:rPr>
          <w:sz w:val="22"/>
          <w:szCs w:val="20"/>
          <w:lang w:val="en-AU"/>
        </w:rPr>
        <w:t xml:space="preserve">information </w:t>
      </w:r>
      <w:r w:rsidR="00757643" w:rsidRPr="00EA16F4">
        <w:rPr>
          <w:sz w:val="22"/>
          <w:szCs w:val="20"/>
          <w:lang w:val="en-AU"/>
        </w:rPr>
        <w:t>contains modification(s) outside of the criteria for a minor amendment</w:t>
      </w:r>
      <w:r w:rsidR="009462FC" w:rsidRPr="00EA16F4">
        <w:rPr>
          <w:sz w:val="22"/>
          <w:szCs w:val="20"/>
          <w:lang w:val="en-AU"/>
        </w:rPr>
        <w:t>,</w:t>
      </w:r>
      <w:r w:rsidR="00757643" w:rsidRPr="00EA16F4">
        <w:rPr>
          <w:sz w:val="22"/>
          <w:szCs w:val="20"/>
          <w:lang w:val="en-AU"/>
        </w:rPr>
        <w:t xml:space="preserve"> </w:t>
      </w:r>
      <w:r w:rsidR="005136BA">
        <w:rPr>
          <w:sz w:val="22"/>
          <w:szCs w:val="20"/>
          <w:lang w:val="en-AU"/>
        </w:rPr>
        <w:t>the executive</w:t>
      </w:r>
      <w:r w:rsidR="00757643" w:rsidRPr="00EA16F4">
        <w:rPr>
          <w:sz w:val="22"/>
          <w:szCs w:val="20"/>
          <w:lang w:val="en-AU"/>
        </w:rPr>
        <w:t xml:space="preserve"> must refer the applicant to a quorate meeting of the AEC. </w:t>
      </w:r>
    </w:p>
    <w:p w14:paraId="429D645D" w14:textId="084247C8" w:rsidR="00757643" w:rsidRPr="00EA16F4" w:rsidRDefault="00C17978" w:rsidP="00CE2D5C">
      <w:pPr>
        <w:pStyle w:val="ListParagraph"/>
        <w:numPr>
          <w:ilvl w:val="0"/>
          <w:numId w:val="30"/>
        </w:numPr>
        <w:spacing w:line="240" w:lineRule="auto"/>
        <w:jc w:val="both"/>
        <w:rPr>
          <w:sz w:val="22"/>
          <w:szCs w:val="20"/>
          <w:lang w:val="en-AU"/>
        </w:rPr>
      </w:pPr>
      <w:r>
        <w:rPr>
          <w:sz w:val="22"/>
          <w:szCs w:val="20"/>
          <w:lang w:val="en-AU"/>
        </w:rPr>
        <w:t>Any other</w:t>
      </w:r>
      <w:r w:rsidR="009469FC">
        <w:rPr>
          <w:sz w:val="22"/>
          <w:szCs w:val="20"/>
          <w:lang w:val="en-AU"/>
        </w:rPr>
        <w:t xml:space="preserve"> </w:t>
      </w:r>
      <w:r w:rsidR="00E5283C">
        <w:rPr>
          <w:sz w:val="22"/>
          <w:szCs w:val="20"/>
          <w:lang w:val="en-AU"/>
        </w:rPr>
        <w:t>modifications</w:t>
      </w:r>
      <w:r w:rsidR="00757643" w:rsidRPr="00EA16F4">
        <w:rPr>
          <w:sz w:val="22"/>
          <w:szCs w:val="20"/>
          <w:lang w:val="en-AU"/>
        </w:rPr>
        <w:t xml:space="preserve"> must return to the full AEC for </w:t>
      </w:r>
      <w:r w:rsidR="0021012F">
        <w:rPr>
          <w:sz w:val="22"/>
          <w:szCs w:val="20"/>
          <w:lang w:val="en-AU"/>
        </w:rPr>
        <w:t>review</w:t>
      </w:r>
      <w:r w:rsidR="00757643" w:rsidRPr="00EA16F4">
        <w:rPr>
          <w:sz w:val="22"/>
          <w:szCs w:val="20"/>
          <w:lang w:val="en-AU"/>
        </w:rPr>
        <w:t xml:space="preserve"> at a quorate meeting. Modifications that have potentially high animal welfare impact (for example</w:t>
      </w:r>
      <w:r w:rsidR="009462FC" w:rsidRPr="00EA16F4">
        <w:rPr>
          <w:sz w:val="22"/>
          <w:szCs w:val="20"/>
          <w:lang w:val="en-AU"/>
        </w:rPr>
        <w:t>,</w:t>
      </w:r>
      <w:r w:rsidR="00757643" w:rsidRPr="00EA16F4">
        <w:rPr>
          <w:sz w:val="22"/>
          <w:szCs w:val="20"/>
          <w:lang w:val="en-AU"/>
        </w:rPr>
        <w:t xml:space="preserve"> justification for inducing pain in the absence of analgesia, single housing for social species, queries as to why valid alternatives are not used) must be considered by a quorate meeting of the AEC.</w:t>
      </w:r>
      <w:r w:rsidR="00757643" w:rsidRPr="00CE2D5C">
        <w:rPr>
          <w:sz w:val="22"/>
          <w:szCs w:val="20"/>
          <w:lang w:val="en-AU"/>
        </w:rPr>
        <w:t xml:space="preserve"> </w:t>
      </w:r>
    </w:p>
    <w:p w14:paraId="5B6A686B" w14:textId="77777777" w:rsidR="00757643" w:rsidRPr="00EA16F4" w:rsidRDefault="00757643" w:rsidP="000F7DCF">
      <w:pPr>
        <w:pStyle w:val="Heading1"/>
        <w:numPr>
          <w:ilvl w:val="0"/>
          <w:numId w:val="26"/>
        </w:numPr>
        <w:spacing w:after="240"/>
        <w:ind w:left="284" w:hanging="284"/>
        <w:rPr>
          <w:rFonts w:cs="Arial"/>
          <w:b w:val="0"/>
          <w:color w:val="00B7BD" w:themeColor="accent3"/>
          <w:szCs w:val="24"/>
          <w:lang w:val="en-US"/>
        </w:rPr>
      </w:pPr>
      <w:bookmarkStart w:id="16" w:name="_Toc506359845"/>
      <w:bookmarkStart w:id="17" w:name="_Toc40710205"/>
      <w:r w:rsidRPr="00EA16F4">
        <w:rPr>
          <w:rFonts w:cs="Arial"/>
          <w:b w:val="0"/>
          <w:color w:val="00B7BD" w:themeColor="accent3"/>
          <w:szCs w:val="24"/>
          <w:lang w:val="en-US"/>
        </w:rPr>
        <w:t>Not approved</w:t>
      </w:r>
      <w:bookmarkEnd w:id="16"/>
      <w:bookmarkEnd w:id="17"/>
    </w:p>
    <w:p w14:paraId="1C34B3B4" w14:textId="19CD82F2" w:rsidR="00757643" w:rsidRPr="00EA16F4" w:rsidRDefault="00757643" w:rsidP="00F428C3">
      <w:pPr>
        <w:spacing w:after="0"/>
        <w:jc w:val="both"/>
      </w:pPr>
      <w:r w:rsidRPr="00EA16F4">
        <w:t>This situation will arise whe</w:t>
      </w:r>
      <w:r w:rsidR="005342DB" w:rsidRPr="00EA16F4">
        <w:t>n</w:t>
      </w:r>
      <w:r w:rsidRPr="00EA16F4">
        <w:t>, in the judgment of the AEC, the potential effects on the well</w:t>
      </w:r>
      <w:r w:rsidR="00886407" w:rsidRPr="00EA16F4">
        <w:t>-</w:t>
      </w:r>
      <w:r w:rsidRPr="00EA16F4">
        <w:t>being of the animals involved is not justified by the potential benefits of the project. Reasons for this decision may include</w:t>
      </w:r>
      <w:r w:rsidR="001A18B0" w:rsidRPr="00EA16F4">
        <w:t xml:space="preserve"> (Australian code </w:t>
      </w:r>
      <w:r w:rsidR="002067BD" w:rsidRPr="00EA16F4">
        <w:t>sections</w:t>
      </w:r>
      <w:r w:rsidR="004B3212" w:rsidRPr="00EA16F4">
        <w:t xml:space="preserve"> 1.5 and 1.6)</w:t>
      </w:r>
      <w:r w:rsidRPr="00EA16F4">
        <w:t>:</w:t>
      </w:r>
    </w:p>
    <w:p w14:paraId="2CDECA45" w14:textId="757AB729" w:rsidR="00757643" w:rsidRPr="00EA16F4" w:rsidRDefault="00757643" w:rsidP="00CC4AE7">
      <w:pPr>
        <w:pStyle w:val="ListParagraph"/>
        <w:numPr>
          <w:ilvl w:val="0"/>
          <w:numId w:val="32"/>
        </w:numPr>
        <w:spacing w:line="240" w:lineRule="auto"/>
        <w:jc w:val="both"/>
        <w:rPr>
          <w:sz w:val="22"/>
          <w:szCs w:val="20"/>
          <w:lang w:val="en-AU"/>
        </w:rPr>
      </w:pPr>
      <w:r w:rsidRPr="00EA16F4">
        <w:rPr>
          <w:sz w:val="22"/>
          <w:szCs w:val="20"/>
          <w:lang w:val="en-AU"/>
        </w:rPr>
        <w:t>The application does not demonstrate that:</w:t>
      </w:r>
    </w:p>
    <w:p w14:paraId="7A0296A6" w14:textId="6D9D5106" w:rsidR="00757643" w:rsidRPr="00EA16F4" w:rsidRDefault="00757643" w:rsidP="00CC4AE7">
      <w:pPr>
        <w:pStyle w:val="ListParagraph"/>
        <w:numPr>
          <w:ilvl w:val="0"/>
          <w:numId w:val="18"/>
        </w:numPr>
        <w:spacing w:line="240" w:lineRule="auto"/>
        <w:jc w:val="both"/>
        <w:rPr>
          <w:sz w:val="22"/>
          <w:szCs w:val="20"/>
          <w:lang w:val="en-AU"/>
        </w:rPr>
      </w:pPr>
      <w:r w:rsidRPr="00EA16F4">
        <w:rPr>
          <w:sz w:val="22"/>
          <w:szCs w:val="20"/>
          <w:lang w:val="en-AU"/>
        </w:rPr>
        <w:t>the project has scientific or educational merit, and has potential benefit for humans, animals or the environment</w:t>
      </w:r>
    </w:p>
    <w:p w14:paraId="505A597C" w14:textId="7FD19634" w:rsidR="00757643" w:rsidRPr="00EA16F4" w:rsidRDefault="00757643" w:rsidP="00CC4AE7">
      <w:pPr>
        <w:pStyle w:val="ListParagraph"/>
        <w:numPr>
          <w:ilvl w:val="0"/>
          <w:numId w:val="18"/>
        </w:numPr>
        <w:spacing w:line="240" w:lineRule="auto"/>
        <w:jc w:val="both"/>
        <w:rPr>
          <w:sz w:val="22"/>
          <w:szCs w:val="20"/>
          <w:lang w:val="en-AU"/>
        </w:rPr>
      </w:pPr>
      <w:r w:rsidRPr="00EA16F4">
        <w:rPr>
          <w:sz w:val="22"/>
          <w:szCs w:val="20"/>
          <w:lang w:val="en-AU"/>
        </w:rPr>
        <w:t>the use of animals is essential to achieve the stated aims, and suitable alternatives to replace the use of animals to achieve the stated aims are not available</w:t>
      </w:r>
    </w:p>
    <w:p w14:paraId="3527DB90" w14:textId="77777777" w:rsidR="00757643" w:rsidRPr="00EA16F4" w:rsidRDefault="00757643" w:rsidP="00CC4AE7">
      <w:pPr>
        <w:pStyle w:val="ListParagraph"/>
        <w:numPr>
          <w:ilvl w:val="0"/>
          <w:numId w:val="18"/>
        </w:numPr>
        <w:spacing w:line="240" w:lineRule="auto"/>
        <w:jc w:val="both"/>
        <w:rPr>
          <w:sz w:val="22"/>
          <w:szCs w:val="20"/>
          <w:lang w:val="en-AU"/>
        </w:rPr>
      </w:pPr>
      <w:r w:rsidRPr="00EA16F4">
        <w:rPr>
          <w:sz w:val="22"/>
          <w:szCs w:val="20"/>
          <w:lang w:val="en-AU"/>
        </w:rPr>
        <w:t>the project involves the minimum number of animals required to obtain valid data, or</w:t>
      </w:r>
    </w:p>
    <w:p w14:paraId="21F3A68E" w14:textId="75E3D315" w:rsidR="00757643" w:rsidRPr="00EA16F4" w:rsidRDefault="00757643" w:rsidP="00CC4AE7">
      <w:pPr>
        <w:pStyle w:val="ListParagraph"/>
        <w:numPr>
          <w:ilvl w:val="0"/>
          <w:numId w:val="18"/>
        </w:numPr>
        <w:spacing w:line="240" w:lineRule="auto"/>
        <w:jc w:val="both"/>
      </w:pPr>
      <w:r w:rsidRPr="00EA16F4">
        <w:rPr>
          <w:sz w:val="22"/>
        </w:rPr>
        <w:t>the project involves the minimum adverse impact on the well</w:t>
      </w:r>
      <w:r w:rsidR="005342DB" w:rsidRPr="00EA16F4">
        <w:rPr>
          <w:sz w:val="22"/>
        </w:rPr>
        <w:t>-</w:t>
      </w:r>
      <w:r w:rsidRPr="00EA16F4">
        <w:rPr>
          <w:sz w:val="22"/>
        </w:rPr>
        <w:t>being of the animals involved.</w:t>
      </w:r>
    </w:p>
    <w:p w14:paraId="1B49671C" w14:textId="05DF5628" w:rsidR="00757643" w:rsidRPr="00EA16F4" w:rsidRDefault="00757643" w:rsidP="00CC4AE7">
      <w:pPr>
        <w:pStyle w:val="ListParagraph"/>
        <w:numPr>
          <w:ilvl w:val="0"/>
          <w:numId w:val="32"/>
        </w:numPr>
        <w:spacing w:line="240" w:lineRule="auto"/>
        <w:jc w:val="both"/>
        <w:rPr>
          <w:sz w:val="22"/>
          <w:szCs w:val="20"/>
          <w:lang w:val="en-AU"/>
        </w:rPr>
      </w:pPr>
      <w:r w:rsidRPr="00EA16F4">
        <w:rPr>
          <w:sz w:val="22"/>
          <w:szCs w:val="20"/>
          <w:lang w:val="en-AU"/>
        </w:rPr>
        <w:t>The application does not demonstrate the potential of the project</w:t>
      </w:r>
      <w:r w:rsidR="00445B3F" w:rsidRPr="00EA16F4">
        <w:rPr>
          <w:sz w:val="22"/>
          <w:szCs w:val="20"/>
          <w:lang w:val="en-AU"/>
        </w:rPr>
        <w:t xml:space="preserve"> to</w:t>
      </w:r>
      <w:r w:rsidRPr="00EA16F4">
        <w:rPr>
          <w:sz w:val="22"/>
          <w:szCs w:val="20"/>
          <w:lang w:val="en-AU"/>
        </w:rPr>
        <w:t>:</w:t>
      </w:r>
    </w:p>
    <w:p w14:paraId="6A05689F" w14:textId="03303026" w:rsidR="00757643" w:rsidRPr="00EA16F4" w:rsidRDefault="00757643" w:rsidP="00CC4AE7">
      <w:pPr>
        <w:pStyle w:val="ListParagraph"/>
        <w:numPr>
          <w:ilvl w:val="0"/>
          <w:numId w:val="18"/>
        </w:numPr>
        <w:spacing w:line="240" w:lineRule="auto"/>
        <w:jc w:val="both"/>
        <w:rPr>
          <w:sz w:val="22"/>
          <w:szCs w:val="20"/>
          <w:lang w:val="en-AU"/>
        </w:rPr>
      </w:pPr>
      <w:r w:rsidRPr="00EA16F4">
        <w:rPr>
          <w:sz w:val="22"/>
          <w:szCs w:val="20"/>
          <w:lang w:val="en-AU"/>
        </w:rPr>
        <w:t>obtain or establish significant information relevant to the understanding of humans and/or animals</w:t>
      </w:r>
    </w:p>
    <w:p w14:paraId="6C8B9897" w14:textId="11B64990" w:rsidR="00757643" w:rsidRPr="00EA16F4" w:rsidRDefault="00757643" w:rsidP="00CC4AE7">
      <w:pPr>
        <w:pStyle w:val="ListParagraph"/>
        <w:numPr>
          <w:ilvl w:val="0"/>
          <w:numId w:val="18"/>
        </w:numPr>
        <w:spacing w:line="240" w:lineRule="auto"/>
        <w:jc w:val="both"/>
        <w:rPr>
          <w:sz w:val="22"/>
          <w:szCs w:val="20"/>
          <w:lang w:val="en-AU"/>
        </w:rPr>
      </w:pPr>
      <w:r w:rsidRPr="00EA16F4">
        <w:rPr>
          <w:sz w:val="22"/>
          <w:szCs w:val="20"/>
          <w:lang w:val="en-AU"/>
        </w:rPr>
        <w:t>maintain and improve human and/or animal health and welfare, or to improve animal management or production</w:t>
      </w:r>
    </w:p>
    <w:p w14:paraId="4269CA39" w14:textId="0385CC85" w:rsidR="00757643" w:rsidRPr="00EA16F4" w:rsidRDefault="00757643" w:rsidP="00CC4AE7">
      <w:pPr>
        <w:pStyle w:val="ListParagraph"/>
        <w:numPr>
          <w:ilvl w:val="0"/>
          <w:numId w:val="18"/>
        </w:numPr>
        <w:spacing w:line="240" w:lineRule="auto"/>
        <w:jc w:val="both"/>
        <w:rPr>
          <w:sz w:val="22"/>
          <w:szCs w:val="20"/>
          <w:lang w:val="en-AU"/>
        </w:rPr>
      </w:pPr>
      <w:r w:rsidRPr="00EA16F4">
        <w:rPr>
          <w:sz w:val="22"/>
          <w:szCs w:val="20"/>
          <w:lang w:val="en-AU"/>
        </w:rPr>
        <w:t>obtain or establish significant information relevant to the understanding, maintenance or improvement of the natural environment</w:t>
      </w:r>
      <w:r w:rsidR="00445B3F" w:rsidRPr="00EA16F4">
        <w:rPr>
          <w:sz w:val="22"/>
          <w:szCs w:val="20"/>
          <w:lang w:val="en-AU"/>
        </w:rPr>
        <w:t>,</w:t>
      </w:r>
      <w:r w:rsidRPr="00EA16F4">
        <w:rPr>
          <w:sz w:val="22"/>
          <w:szCs w:val="20"/>
          <w:lang w:val="en-AU"/>
        </w:rPr>
        <w:t xml:space="preserve"> or</w:t>
      </w:r>
    </w:p>
    <w:p w14:paraId="6F7FBFCD" w14:textId="3F03BCE5" w:rsidR="00757643" w:rsidRPr="00EA16F4" w:rsidRDefault="00757643" w:rsidP="00CC4AE7">
      <w:pPr>
        <w:pStyle w:val="ListParagraph"/>
        <w:numPr>
          <w:ilvl w:val="0"/>
          <w:numId w:val="18"/>
        </w:numPr>
        <w:spacing w:after="240" w:line="240" w:lineRule="auto"/>
        <w:jc w:val="both"/>
        <w:rPr>
          <w:sz w:val="22"/>
          <w:szCs w:val="20"/>
          <w:lang w:val="en-AU"/>
        </w:rPr>
      </w:pPr>
      <w:r w:rsidRPr="00EA16F4">
        <w:rPr>
          <w:sz w:val="22"/>
          <w:szCs w:val="20"/>
          <w:lang w:val="en-AU"/>
        </w:rPr>
        <w:t>achieve educational outcomes in science, as specified in the relevant curriculum or competency requirements.</w:t>
      </w:r>
    </w:p>
    <w:p w14:paraId="5A44E8D0" w14:textId="77777777" w:rsidR="00BC0F83" w:rsidRDefault="00BC0F83" w:rsidP="00BC0F83">
      <w:pPr>
        <w:pStyle w:val="ListParagraph"/>
        <w:spacing w:after="240" w:line="240" w:lineRule="auto"/>
        <w:jc w:val="both"/>
        <w:rPr>
          <w:sz w:val="22"/>
          <w:szCs w:val="20"/>
          <w:lang w:val="en-AU"/>
        </w:rPr>
      </w:pPr>
    </w:p>
    <w:p w14:paraId="314AF552" w14:textId="5618B8D0" w:rsidR="007E240C" w:rsidRPr="00EA16F4" w:rsidRDefault="00321138" w:rsidP="00BC0F83">
      <w:pPr>
        <w:pStyle w:val="ListParagraph"/>
        <w:spacing w:after="240" w:line="240" w:lineRule="auto"/>
        <w:jc w:val="both"/>
        <w:rPr>
          <w:sz w:val="22"/>
          <w:szCs w:val="20"/>
          <w:lang w:val="en-AU"/>
        </w:rPr>
      </w:pPr>
      <w:r>
        <w:rPr>
          <w:sz w:val="22"/>
          <w:szCs w:val="20"/>
          <w:lang w:val="en-AU"/>
        </w:rPr>
        <w:t>The principles of p</w:t>
      </w:r>
      <w:r w:rsidR="007E240C">
        <w:rPr>
          <w:sz w:val="22"/>
          <w:szCs w:val="20"/>
          <w:lang w:val="en-AU"/>
        </w:rPr>
        <w:t xml:space="preserve">rocedural fairness </w:t>
      </w:r>
      <w:r w:rsidR="00E54452">
        <w:rPr>
          <w:sz w:val="22"/>
          <w:szCs w:val="20"/>
          <w:lang w:val="en-AU"/>
        </w:rPr>
        <w:t xml:space="preserve">oblige AECs to </w:t>
      </w:r>
      <w:r w:rsidR="00736BC8">
        <w:rPr>
          <w:sz w:val="22"/>
          <w:szCs w:val="20"/>
          <w:lang w:val="en-AU"/>
        </w:rPr>
        <w:t xml:space="preserve">clearly </w:t>
      </w:r>
      <w:r w:rsidR="00E54452">
        <w:rPr>
          <w:sz w:val="22"/>
          <w:szCs w:val="20"/>
          <w:lang w:val="en-AU"/>
        </w:rPr>
        <w:t xml:space="preserve">communicate the reasons for their decision to the applicant </w:t>
      </w:r>
      <w:r w:rsidR="00CA5C66">
        <w:rPr>
          <w:sz w:val="22"/>
          <w:szCs w:val="20"/>
          <w:lang w:val="en-AU"/>
        </w:rPr>
        <w:t xml:space="preserve">and provide them with an opportunity </w:t>
      </w:r>
      <w:r w:rsidR="00CE5169">
        <w:rPr>
          <w:sz w:val="22"/>
          <w:szCs w:val="20"/>
          <w:lang w:val="en-AU"/>
        </w:rPr>
        <w:t xml:space="preserve">to </w:t>
      </w:r>
      <w:r w:rsidR="0078662A">
        <w:rPr>
          <w:sz w:val="22"/>
          <w:szCs w:val="20"/>
          <w:lang w:val="en-AU"/>
        </w:rPr>
        <w:t xml:space="preserve">respond </w:t>
      </w:r>
      <w:r w:rsidR="0073622F">
        <w:rPr>
          <w:sz w:val="22"/>
          <w:szCs w:val="20"/>
          <w:lang w:val="en-AU"/>
        </w:rPr>
        <w:t xml:space="preserve">or </w:t>
      </w:r>
      <w:r w:rsidR="00574A2D">
        <w:rPr>
          <w:sz w:val="22"/>
          <w:szCs w:val="20"/>
          <w:lang w:val="en-AU"/>
        </w:rPr>
        <w:t xml:space="preserve">provide </w:t>
      </w:r>
      <w:r w:rsidR="007E4809">
        <w:rPr>
          <w:sz w:val="22"/>
          <w:szCs w:val="20"/>
          <w:lang w:val="en-AU"/>
        </w:rPr>
        <w:t xml:space="preserve">additional </w:t>
      </w:r>
      <w:r w:rsidR="00525B72">
        <w:rPr>
          <w:sz w:val="22"/>
          <w:szCs w:val="20"/>
          <w:lang w:val="en-AU"/>
        </w:rPr>
        <w:t xml:space="preserve">or </w:t>
      </w:r>
      <w:r w:rsidR="00E47E81">
        <w:rPr>
          <w:sz w:val="22"/>
          <w:szCs w:val="20"/>
          <w:lang w:val="en-AU"/>
        </w:rPr>
        <w:t xml:space="preserve">explanatory </w:t>
      </w:r>
      <w:r w:rsidR="00B20177">
        <w:rPr>
          <w:sz w:val="22"/>
          <w:szCs w:val="20"/>
          <w:lang w:val="en-AU"/>
        </w:rPr>
        <w:t>information.</w:t>
      </w:r>
    </w:p>
    <w:p w14:paraId="1FFCCFDB" w14:textId="3614CB51" w:rsidR="00757643" w:rsidRPr="00EA16F4" w:rsidRDefault="00757643" w:rsidP="007D6610">
      <w:pPr>
        <w:pStyle w:val="Heading1"/>
        <w:spacing w:after="240"/>
        <w:ind w:left="426" w:hanging="426"/>
        <w:rPr>
          <w:rFonts w:cs="Arial"/>
          <w:color w:val="00B7BD" w:themeColor="accent3"/>
          <w:szCs w:val="24"/>
          <w:lang w:val="en-US"/>
        </w:rPr>
      </w:pPr>
      <w:bookmarkStart w:id="18" w:name="_Toc506359847"/>
      <w:bookmarkStart w:id="19" w:name="_Toc40710206"/>
      <w:r w:rsidRPr="00EA16F4">
        <w:rPr>
          <w:rFonts w:cs="Arial"/>
          <w:color w:val="00B7BD" w:themeColor="accent3"/>
          <w:szCs w:val="24"/>
          <w:lang w:val="en-US"/>
        </w:rPr>
        <w:t>Follow</w:t>
      </w:r>
      <w:r w:rsidR="00170438" w:rsidRPr="00EA16F4">
        <w:rPr>
          <w:rFonts w:cs="Arial"/>
          <w:color w:val="00B7BD" w:themeColor="accent3"/>
          <w:szCs w:val="24"/>
          <w:lang w:val="en-US"/>
        </w:rPr>
        <w:t>-</w:t>
      </w:r>
      <w:r w:rsidRPr="00EA16F4">
        <w:rPr>
          <w:rFonts w:cs="Arial"/>
          <w:color w:val="00B7BD" w:themeColor="accent3"/>
          <w:szCs w:val="24"/>
          <w:lang w:val="en-US"/>
        </w:rPr>
        <w:t>up review of approved projects</w:t>
      </w:r>
      <w:bookmarkEnd w:id="18"/>
      <w:bookmarkEnd w:id="19"/>
    </w:p>
    <w:p w14:paraId="40BEB749" w14:textId="77777777" w:rsidR="00757643" w:rsidRPr="00EA16F4" w:rsidRDefault="00757643" w:rsidP="00757643">
      <w:pPr>
        <w:spacing w:before="240" w:after="0"/>
        <w:jc w:val="both"/>
      </w:pPr>
      <w:r w:rsidRPr="00EA16F4">
        <w:t xml:space="preserve">Follow-up review of an approved project or activity occurs at scheduled times and when circumstances trigger additional follow-up review, including: </w:t>
      </w:r>
    </w:p>
    <w:p w14:paraId="6F8A443B" w14:textId="6B14D5FF" w:rsidR="00757643" w:rsidRPr="00EA16F4" w:rsidRDefault="00757643" w:rsidP="00CC4AE7">
      <w:pPr>
        <w:pStyle w:val="ListParagraph"/>
        <w:widowControl/>
        <w:numPr>
          <w:ilvl w:val="0"/>
          <w:numId w:val="20"/>
        </w:numPr>
        <w:suppressAutoHyphens w:val="0"/>
        <w:spacing w:after="0" w:line="240" w:lineRule="auto"/>
        <w:jc w:val="both"/>
        <w:textAlignment w:val="auto"/>
        <w:rPr>
          <w:sz w:val="22"/>
          <w:szCs w:val="20"/>
          <w:lang w:val="en-AU"/>
        </w:rPr>
      </w:pPr>
      <w:r w:rsidRPr="00EA16F4">
        <w:rPr>
          <w:sz w:val="22"/>
          <w:szCs w:val="20"/>
          <w:lang w:val="en-AU"/>
        </w:rPr>
        <w:t xml:space="preserve">interim or pilot study reports </w:t>
      </w:r>
    </w:p>
    <w:p w14:paraId="26688E09" w14:textId="19629B10" w:rsidR="00757643" w:rsidRPr="00EA16F4" w:rsidRDefault="00757643" w:rsidP="00CC4AE7">
      <w:pPr>
        <w:pStyle w:val="ListParagraph"/>
        <w:widowControl/>
        <w:numPr>
          <w:ilvl w:val="0"/>
          <w:numId w:val="20"/>
        </w:numPr>
        <w:suppressAutoHyphens w:val="0"/>
        <w:spacing w:after="0" w:line="240" w:lineRule="auto"/>
        <w:jc w:val="both"/>
        <w:textAlignment w:val="auto"/>
        <w:rPr>
          <w:sz w:val="22"/>
          <w:szCs w:val="20"/>
          <w:lang w:val="en-AU"/>
        </w:rPr>
      </w:pPr>
      <w:r w:rsidRPr="00EA16F4">
        <w:rPr>
          <w:sz w:val="22"/>
          <w:szCs w:val="20"/>
          <w:lang w:val="en-AU"/>
        </w:rPr>
        <w:t>review of annual progress of an ongoing project or activity</w:t>
      </w:r>
      <w:r w:rsidR="00FF093D" w:rsidRPr="00EA16F4">
        <w:rPr>
          <w:sz w:val="22"/>
          <w:szCs w:val="20"/>
          <w:lang w:val="en-AU"/>
        </w:rPr>
        <w:t>,</w:t>
      </w:r>
      <w:r w:rsidR="00170438" w:rsidRPr="00EA16F4">
        <w:rPr>
          <w:sz w:val="22"/>
          <w:szCs w:val="20"/>
          <w:lang w:val="en-AU"/>
        </w:rPr>
        <w:t xml:space="preserve"> or</w:t>
      </w:r>
      <w:r w:rsidRPr="00EA16F4">
        <w:rPr>
          <w:sz w:val="22"/>
          <w:szCs w:val="20"/>
          <w:lang w:val="en-AU"/>
        </w:rPr>
        <w:t xml:space="preserve"> </w:t>
      </w:r>
    </w:p>
    <w:p w14:paraId="141DB9D4" w14:textId="1CF2493D" w:rsidR="00757643" w:rsidRPr="00EA16F4" w:rsidRDefault="00757643" w:rsidP="00CC4AE7">
      <w:pPr>
        <w:pStyle w:val="ListParagraph"/>
        <w:widowControl/>
        <w:numPr>
          <w:ilvl w:val="0"/>
          <w:numId w:val="20"/>
        </w:numPr>
        <w:suppressAutoHyphens w:val="0"/>
        <w:spacing w:after="240" w:line="240" w:lineRule="auto"/>
        <w:jc w:val="both"/>
        <w:textAlignment w:val="auto"/>
        <w:rPr>
          <w:sz w:val="22"/>
          <w:szCs w:val="20"/>
          <w:lang w:val="en-AU"/>
        </w:rPr>
      </w:pPr>
      <w:r w:rsidRPr="00EA16F4">
        <w:rPr>
          <w:sz w:val="22"/>
          <w:szCs w:val="20"/>
          <w:lang w:val="en-AU"/>
        </w:rPr>
        <w:t>unexpected adverse events</w:t>
      </w:r>
      <w:r w:rsidR="00F95982" w:rsidRPr="00EA16F4">
        <w:rPr>
          <w:sz w:val="22"/>
          <w:szCs w:val="20"/>
          <w:lang w:val="en-AU"/>
        </w:rPr>
        <w:t>, or</w:t>
      </w:r>
    </w:p>
    <w:p w14:paraId="49684EFF" w14:textId="32839324" w:rsidR="00F95982" w:rsidRPr="00EA16F4" w:rsidRDefault="00F95982" w:rsidP="00CC4AE7">
      <w:pPr>
        <w:pStyle w:val="ListParagraph"/>
        <w:widowControl/>
        <w:numPr>
          <w:ilvl w:val="0"/>
          <w:numId w:val="20"/>
        </w:numPr>
        <w:suppressAutoHyphens w:val="0"/>
        <w:spacing w:after="240" w:line="240" w:lineRule="auto"/>
        <w:jc w:val="both"/>
        <w:textAlignment w:val="auto"/>
        <w:rPr>
          <w:sz w:val="22"/>
          <w:szCs w:val="20"/>
          <w:lang w:val="en-AU"/>
        </w:rPr>
      </w:pPr>
      <w:r w:rsidRPr="00EA16F4">
        <w:rPr>
          <w:sz w:val="22"/>
          <w:szCs w:val="20"/>
          <w:lang w:val="en-AU"/>
        </w:rPr>
        <w:t xml:space="preserve">non-compliance events. </w:t>
      </w:r>
    </w:p>
    <w:p w14:paraId="7CB09EB8" w14:textId="766BAFE8" w:rsidR="00590F64" w:rsidRPr="00EA16F4" w:rsidRDefault="00590F64" w:rsidP="00CC4AE7">
      <w:pPr>
        <w:jc w:val="both"/>
      </w:pPr>
      <w:r w:rsidRPr="00EA16F4">
        <w:lastRenderedPageBreak/>
        <w:t>Follow-up review might entail comparing approval conditions with the information provided in the report; reconciling numbers of animals used with those approved; reconsideration of the impact of the procedures on animal welfare; outcomes of training of inexperienced investigators; inspection of a sample of records; and any other information relevant to the circumstances.</w:t>
      </w:r>
    </w:p>
    <w:p w14:paraId="11E42349" w14:textId="4018532C" w:rsidR="00757643" w:rsidRPr="00EA16F4" w:rsidRDefault="00110F8C" w:rsidP="007D6610">
      <w:pPr>
        <w:pStyle w:val="Heading1"/>
        <w:spacing w:after="240"/>
        <w:ind w:left="426" w:hanging="426"/>
        <w:rPr>
          <w:rFonts w:cs="Arial"/>
          <w:color w:val="00B7BD" w:themeColor="accent3"/>
          <w:szCs w:val="24"/>
          <w:lang w:val="en-US"/>
        </w:rPr>
      </w:pPr>
      <w:bookmarkStart w:id="20" w:name="_Toc506359848"/>
      <w:bookmarkStart w:id="21" w:name="_Toc40710207"/>
      <w:r w:rsidRPr="00EA16F4">
        <w:rPr>
          <w:rFonts w:cs="Arial"/>
          <w:color w:val="00B7BD" w:themeColor="accent3"/>
          <w:szCs w:val="24"/>
          <w:lang w:val="en-US"/>
        </w:rPr>
        <w:t>M</w:t>
      </w:r>
      <w:r w:rsidR="00757643" w:rsidRPr="00EA16F4">
        <w:rPr>
          <w:rFonts w:cs="Arial"/>
          <w:color w:val="00B7BD" w:themeColor="accent3"/>
          <w:szCs w:val="24"/>
          <w:lang w:val="en-US"/>
        </w:rPr>
        <w:t>onitoring of animal care and use</w:t>
      </w:r>
      <w:bookmarkEnd w:id="20"/>
      <w:bookmarkEnd w:id="21"/>
    </w:p>
    <w:p w14:paraId="7CC6780B" w14:textId="77777777" w:rsidR="00FF093D" w:rsidRPr="00EA16F4" w:rsidRDefault="00757643" w:rsidP="00DD2A75">
      <w:pPr>
        <w:spacing w:before="240"/>
        <w:jc w:val="both"/>
      </w:pPr>
      <w:r w:rsidRPr="00EA16F4">
        <w:t xml:space="preserve">AEC procedures must outline how the AEC monitors the care and use of animals in accordance with the Australian code. The AEC monitors the care and use of animals by inspecting animals, animal housing and the conduct of procedures, and/or reviewing records and reports. </w:t>
      </w:r>
    </w:p>
    <w:p w14:paraId="782A6316" w14:textId="7891646C" w:rsidR="00757643" w:rsidRPr="00EA16F4" w:rsidRDefault="00757643" w:rsidP="00460EF7">
      <w:pPr>
        <w:spacing w:before="240"/>
        <w:jc w:val="both"/>
      </w:pPr>
      <w:r w:rsidRPr="00EA16F4">
        <w:t>The AEC must monitor all activities relating to the care and use of animals (including the acquisition, transport, breeding, housing</w:t>
      </w:r>
      <w:r w:rsidR="009C205C" w:rsidRPr="00EA16F4">
        <w:t>,</w:t>
      </w:r>
      <w:r w:rsidRPr="00EA16F4">
        <w:t xml:space="preserve"> and husbandry of animals) on a regular and ongoing basis to assess compliance with the Australian code and decisions of the AEC. The AEC must ensure that identified problems and issues receive appropriate follow-up and, if necessary, refer suspected breaches of the Australian code to the institution.</w:t>
      </w:r>
    </w:p>
    <w:p w14:paraId="643A1A36" w14:textId="6DEBFEF1" w:rsidR="000020BE" w:rsidRPr="00EA16F4" w:rsidRDefault="00757643" w:rsidP="00B8325F">
      <w:r w:rsidRPr="00EA16F4">
        <w:t>AE</w:t>
      </w:r>
      <w:r w:rsidR="00692ECA" w:rsidRPr="00EA16F4">
        <w:t>Cs</w:t>
      </w:r>
      <w:r w:rsidRPr="00EA16F4">
        <w:t xml:space="preserve"> </w:t>
      </w:r>
      <w:r w:rsidR="00B8325F" w:rsidRPr="00EA16F4">
        <w:t>ma</w:t>
      </w:r>
      <w:r w:rsidR="0043475C" w:rsidRPr="00EA16F4">
        <w:t xml:space="preserve">y </w:t>
      </w:r>
      <w:r w:rsidRPr="00EA16F4">
        <w:t>delegat</w:t>
      </w:r>
      <w:r w:rsidR="00B8325F" w:rsidRPr="00EA16F4">
        <w:t>e</w:t>
      </w:r>
      <w:r w:rsidRPr="00EA16F4">
        <w:t xml:space="preserve"> </w:t>
      </w:r>
      <w:r w:rsidR="003B4710" w:rsidRPr="00EA16F4">
        <w:t xml:space="preserve">their </w:t>
      </w:r>
      <w:r w:rsidRPr="00EA16F4">
        <w:t>authority to monitor animal care and use</w:t>
      </w:r>
      <w:r w:rsidR="003B4710" w:rsidRPr="00EA16F4">
        <w:t xml:space="preserve"> to suitably qualified people by</w:t>
      </w:r>
      <w:r w:rsidR="00B760C4" w:rsidRPr="00EA16F4">
        <w:t xml:space="preserve"> documented procedures. </w:t>
      </w:r>
      <w:r w:rsidR="000020BE" w:rsidRPr="00EA16F4">
        <w:t xml:space="preserve">Procedures should include how reports of such monitoring are to be provided to the AEC (e.g. using still or video images) (section 2.3.23, Australian code), </w:t>
      </w:r>
      <w:r w:rsidRPr="00EA16F4">
        <w:t xml:space="preserve">including projects and activities conducted at remote sites (e.g. fieldwork). </w:t>
      </w:r>
    </w:p>
    <w:p w14:paraId="2EEB65E3" w14:textId="15136023" w:rsidR="00CD4FC4" w:rsidRPr="00EA16F4" w:rsidRDefault="00C84350" w:rsidP="00EA16F4">
      <w:pPr>
        <w:rPr>
          <w:rFonts w:cs="Arial"/>
          <w:color w:val="00B7BD" w:themeColor="accent3"/>
          <w:szCs w:val="24"/>
          <w:lang w:val="en-US"/>
        </w:rPr>
      </w:pPr>
      <w:r w:rsidRPr="00EA16F4">
        <w:t xml:space="preserve">Delegation of authority to monitor does not remove the responsibility of an AEC to </w:t>
      </w:r>
      <w:r w:rsidR="003776D6" w:rsidRPr="00EA16F4">
        <w:t>take appropriate actions regarding non-compliance and/or unexpected adverse events</w:t>
      </w:r>
      <w:r w:rsidR="000020BE" w:rsidRPr="00EA16F4">
        <w:t xml:space="preserve">, </w:t>
      </w:r>
      <w:r w:rsidR="00B8325F" w:rsidRPr="00EA16F4">
        <w:t xml:space="preserve">or to </w:t>
      </w:r>
      <w:r w:rsidR="003776D6" w:rsidRPr="00EA16F4">
        <w:t>provide advice and recommendations to the institution regarding the care and use of animals</w:t>
      </w:r>
      <w:r w:rsidR="00B8325F" w:rsidRPr="00EA16F4">
        <w:t>.</w:t>
      </w:r>
      <w:bookmarkStart w:id="22" w:name="_Toc506359849"/>
    </w:p>
    <w:p w14:paraId="5939EE6E" w14:textId="5B2B8071" w:rsidR="00757643" w:rsidRPr="00EA16F4" w:rsidRDefault="00757643" w:rsidP="007D6610">
      <w:pPr>
        <w:pStyle w:val="Heading1"/>
        <w:spacing w:after="240"/>
        <w:ind w:left="426" w:hanging="426"/>
        <w:rPr>
          <w:rFonts w:cs="Arial"/>
          <w:color w:val="00B7BD" w:themeColor="accent3"/>
          <w:szCs w:val="24"/>
          <w:lang w:val="en-US"/>
        </w:rPr>
      </w:pPr>
      <w:bookmarkStart w:id="23" w:name="_Toc40710208"/>
      <w:r w:rsidRPr="00EA16F4">
        <w:rPr>
          <w:rFonts w:cs="Arial"/>
          <w:color w:val="00B7BD" w:themeColor="accent3"/>
          <w:szCs w:val="24"/>
          <w:lang w:val="en-US"/>
        </w:rPr>
        <w:t>Reporting to the licence holder (institution)</w:t>
      </w:r>
      <w:bookmarkEnd w:id="22"/>
      <w:bookmarkEnd w:id="23"/>
    </w:p>
    <w:p w14:paraId="7CFF518E" w14:textId="77777777" w:rsidR="00FF093D" w:rsidRPr="00EA16F4" w:rsidRDefault="009C205C" w:rsidP="00CC4AE7">
      <w:pPr>
        <w:pStyle w:val="Pa11"/>
        <w:spacing w:before="240" w:after="160" w:line="240" w:lineRule="auto"/>
        <w:jc w:val="both"/>
        <w:rPr>
          <w:rFonts w:ascii="Arial" w:eastAsiaTheme="minorHAnsi" w:hAnsi="Arial" w:cs="Arial"/>
          <w:color w:val="000000"/>
          <w:sz w:val="22"/>
          <w:szCs w:val="20"/>
          <w:lang w:eastAsia="en-US"/>
        </w:rPr>
      </w:pPr>
      <w:r w:rsidRPr="00EA16F4">
        <w:rPr>
          <w:rFonts w:ascii="Arial" w:eastAsiaTheme="minorHAnsi" w:hAnsi="Arial" w:cs="Arial"/>
          <w:color w:val="000000"/>
          <w:sz w:val="22"/>
          <w:szCs w:val="20"/>
          <w:lang w:eastAsia="en-US"/>
        </w:rPr>
        <w:t>Under</w:t>
      </w:r>
      <w:r w:rsidR="00757643" w:rsidRPr="00EA16F4">
        <w:rPr>
          <w:rFonts w:ascii="Arial" w:eastAsiaTheme="minorHAnsi" w:hAnsi="Arial" w:cs="Arial"/>
          <w:color w:val="000000"/>
          <w:sz w:val="22"/>
          <w:szCs w:val="20"/>
          <w:lang w:eastAsia="en-US"/>
        </w:rPr>
        <w:t xml:space="preserve"> section</w:t>
      </w:r>
      <w:r w:rsidRPr="00EA16F4">
        <w:rPr>
          <w:rFonts w:ascii="Arial" w:eastAsiaTheme="minorHAnsi" w:hAnsi="Arial" w:cs="Arial"/>
          <w:color w:val="000000"/>
          <w:sz w:val="22"/>
          <w:szCs w:val="20"/>
          <w:lang w:eastAsia="en-US"/>
        </w:rPr>
        <w:t>s</w:t>
      </w:r>
      <w:r w:rsidR="00757643" w:rsidRPr="00EA16F4">
        <w:rPr>
          <w:rFonts w:ascii="Arial" w:eastAsiaTheme="minorHAnsi" w:hAnsi="Arial" w:cs="Arial"/>
          <w:color w:val="000000"/>
          <w:sz w:val="22"/>
          <w:szCs w:val="20"/>
          <w:lang w:eastAsia="en-US"/>
        </w:rPr>
        <w:t xml:space="preserve"> 2.3.28 and 2.3.29 of the Australian code, each AEC must </w:t>
      </w:r>
      <w:r w:rsidRPr="00EA16F4">
        <w:rPr>
          <w:rFonts w:ascii="Arial" w:eastAsiaTheme="minorHAnsi" w:hAnsi="Arial" w:cs="Arial"/>
          <w:color w:val="000000"/>
          <w:sz w:val="22"/>
          <w:szCs w:val="20"/>
          <w:lang w:eastAsia="en-US"/>
        </w:rPr>
        <w:t xml:space="preserve">prepare </w:t>
      </w:r>
      <w:r w:rsidR="00757643" w:rsidRPr="00EA16F4">
        <w:rPr>
          <w:rFonts w:ascii="Arial" w:eastAsiaTheme="minorHAnsi" w:hAnsi="Arial" w:cs="Arial"/>
          <w:color w:val="000000"/>
          <w:sz w:val="22"/>
          <w:szCs w:val="20"/>
          <w:lang w:eastAsia="en-US"/>
        </w:rPr>
        <w:t>an annual report reviewing the operation of the AEC and detailing numbers of applications, types of applications, numbers of animals, adverse incidents, site inspections</w:t>
      </w:r>
      <w:r w:rsidRPr="00EA16F4">
        <w:rPr>
          <w:rFonts w:ascii="Arial" w:eastAsiaTheme="minorHAnsi" w:hAnsi="Arial" w:cs="Arial"/>
          <w:color w:val="000000"/>
          <w:sz w:val="22"/>
          <w:szCs w:val="20"/>
          <w:lang w:eastAsia="en-US"/>
        </w:rPr>
        <w:t>,</w:t>
      </w:r>
      <w:r w:rsidR="00757643" w:rsidRPr="00EA16F4">
        <w:rPr>
          <w:rFonts w:ascii="Arial" w:eastAsiaTheme="minorHAnsi" w:hAnsi="Arial" w:cs="Arial"/>
          <w:color w:val="000000"/>
          <w:sz w:val="22"/>
          <w:szCs w:val="20"/>
          <w:lang w:eastAsia="en-US"/>
        </w:rPr>
        <w:t xml:space="preserve"> etc conducted by the AEC. </w:t>
      </w:r>
    </w:p>
    <w:p w14:paraId="42085B39" w14:textId="77777777" w:rsidR="00EB3510" w:rsidRPr="00EA16F4" w:rsidRDefault="00FF093D" w:rsidP="00CC4AE7">
      <w:pPr>
        <w:pStyle w:val="Pa11"/>
        <w:spacing w:before="240" w:after="160" w:line="240" w:lineRule="auto"/>
        <w:jc w:val="both"/>
        <w:rPr>
          <w:caps/>
        </w:rPr>
      </w:pPr>
      <w:r w:rsidRPr="00EA16F4">
        <w:rPr>
          <w:rFonts w:ascii="Arial" w:eastAsiaTheme="minorHAnsi" w:hAnsi="Arial" w:cs="Arial"/>
          <w:color w:val="000000"/>
          <w:sz w:val="22"/>
          <w:szCs w:val="20"/>
          <w:lang w:eastAsia="en-US"/>
        </w:rPr>
        <w:t>T</w:t>
      </w:r>
      <w:r w:rsidR="00757643" w:rsidRPr="00EA16F4">
        <w:rPr>
          <w:rFonts w:ascii="Arial" w:eastAsiaTheme="minorHAnsi" w:hAnsi="Arial" w:cs="Arial"/>
          <w:color w:val="000000"/>
          <w:sz w:val="22"/>
          <w:szCs w:val="20"/>
          <w:lang w:eastAsia="en-US"/>
        </w:rPr>
        <w:t xml:space="preserve">he Australian code </w:t>
      </w:r>
      <w:r w:rsidRPr="00EA16F4">
        <w:rPr>
          <w:rFonts w:ascii="Arial" w:eastAsiaTheme="minorHAnsi" w:hAnsi="Arial" w:cs="Arial"/>
          <w:color w:val="000000"/>
          <w:sz w:val="22"/>
          <w:szCs w:val="20"/>
          <w:lang w:eastAsia="en-US"/>
        </w:rPr>
        <w:t xml:space="preserve">also </w:t>
      </w:r>
      <w:r w:rsidR="00757643" w:rsidRPr="00EA16F4">
        <w:rPr>
          <w:rFonts w:ascii="Arial" w:eastAsiaTheme="minorHAnsi" w:hAnsi="Arial" w:cs="Arial"/>
          <w:color w:val="000000"/>
          <w:sz w:val="22"/>
          <w:szCs w:val="20"/>
          <w:lang w:eastAsia="en-US"/>
        </w:rPr>
        <w:t xml:space="preserve">requires </w:t>
      </w:r>
      <w:r w:rsidR="009C205C" w:rsidRPr="00EA16F4">
        <w:rPr>
          <w:rFonts w:ascii="Arial" w:eastAsiaTheme="minorHAnsi" w:hAnsi="Arial" w:cs="Arial"/>
          <w:color w:val="000000"/>
          <w:sz w:val="22"/>
          <w:szCs w:val="20"/>
          <w:lang w:eastAsia="en-US"/>
        </w:rPr>
        <w:t xml:space="preserve">the </w:t>
      </w:r>
      <w:r w:rsidR="00757643" w:rsidRPr="00EA16F4">
        <w:rPr>
          <w:rFonts w:ascii="Arial" w:eastAsiaTheme="minorHAnsi" w:hAnsi="Arial" w:cs="Arial"/>
          <w:color w:val="000000"/>
          <w:sz w:val="22"/>
          <w:szCs w:val="20"/>
          <w:lang w:eastAsia="en-US"/>
        </w:rPr>
        <w:t xml:space="preserve">Chairperson </w:t>
      </w:r>
      <w:r w:rsidR="009C205C" w:rsidRPr="00EA16F4">
        <w:rPr>
          <w:rFonts w:ascii="Arial" w:eastAsiaTheme="minorHAnsi" w:hAnsi="Arial" w:cs="Arial"/>
          <w:color w:val="000000"/>
          <w:sz w:val="22"/>
          <w:szCs w:val="20"/>
          <w:lang w:eastAsia="en-US"/>
        </w:rPr>
        <w:t xml:space="preserve">to </w:t>
      </w:r>
      <w:r w:rsidR="00757643" w:rsidRPr="00EA16F4">
        <w:rPr>
          <w:rFonts w:ascii="Arial" w:eastAsiaTheme="minorHAnsi" w:hAnsi="Arial" w:cs="Arial"/>
          <w:color w:val="000000"/>
          <w:sz w:val="22"/>
          <w:szCs w:val="20"/>
          <w:lang w:eastAsia="en-US"/>
        </w:rPr>
        <w:t>meet with the institution</w:t>
      </w:r>
      <w:r w:rsidR="009C205C" w:rsidRPr="00EA16F4">
        <w:rPr>
          <w:rFonts w:ascii="Arial" w:eastAsiaTheme="minorHAnsi" w:hAnsi="Arial" w:cs="Arial"/>
          <w:color w:val="000000"/>
          <w:sz w:val="22"/>
          <w:szCs w:val="20"/>
          <w:lang w:eastAsia="en-US"/>
        </w:rPr>
        <w:t>’s</w:t>
      </w:r>
      <w:r w:rsidR="00757643" w:rsidRPr="00EA16F4">
        <w:rPr>
          <w:rFonts w:ascii="Arial" w:eastAsiaTheme="minorHAnsi" w:hAnsi="Arial" w:cs="Arial"/>
          <w:color w:val="000000"/>
          <w:sz w:val="22"/>
          <w:szCs w:val="20"/>
          <w:lang w:eastAsia="en-US"/>
        </w:rPr>
        <w:t xml:space="preserve"> licence nominee </w:t>
      </w:r>
      <w:r w:rsidRPr="00EA16F4">
        <w:rPr>
          <w:rFonts w:ascii="Arial" w:eastAsiaTheme="minorHAnsi" w:hAnsi="Arial" w:cs="Arial"/>
          <w:color w:val="000000"/>
          <w:sz w:val="22"/>
          <w:szCs w:val="20"/>
          <w:lang w:eastAsia="en-US"/>
        </w:rPr>
        <w:t>(</w:t>
      </w:r>
      <w:r w:rsidR="009C205C" w:rsidRPr="00EA16F4">
        <w:rPr>
          <w:rFonts w:ascii="Arial" w:eastAsiaTheme="minorHAnsi" w:hAnsi="Arial" w:cs="Arial"/>
          <w:color w:val="000000"/>
          <w:sz w:val="22"/>
          <w:szCs w:val="20"/>
          <w:lang w:eastAsia="en-US"/>
        </w:rPr>
        <w:t>or representative</w:t>
      </w:r>
      <w:r w:rsidRPr="00EA16F4">
        <w:rPr>
          <w:rFonts w:ascii="Arial" w:eastAsiaTheme="minorHAnsi" w:hAnsi="Arial" w:cs="Arial"/>
          <w:color w:val="000000"/>
          <w:sz w:val="22"/>
          <w:szCs w:val="20"/>
          <w:lang w:eastAsia="en-US"/>
        </w:rPr>
        <w:t>)</w:t>
      </w:r>
      <w:r w:rsidR="009C205C" w:rsidRPr="00EA16F4">
        <w:rPr>
          <w:rFonts w:ascii="Arial" w:eastAsiaTheme="minorHAnsi" w:hAnsi="Arial" w:cs="Arial"/>
          <w:color w:val="000000"/>
          <w:sz w:val="22"/>
          <w:szCs w:val="20"/>
          <w:lang w:eastAsia="en-US"/>
        </w:rPr>
        <w:t xml:space="preserve"> </w:t>
      </w:r>
      <w:r w:rsidR="00757643" w:rsidRPr="00EA16F4">
        <w:rPr>
          <w:rFonts w:ascii="Arial" w:eastAsiaTheme="minorHAnsi" w:hAnsi="Arial" w:cs="Arial"/>
          <w:color w:val="000000"/>
          <w:sz w:val="22"/>
          <w:szCs w:val="20"/>
          <w:lang w:eastAsia="en-US"/>
        </w:rPr>
        <w:t>to discuss the progress of the AEC and any incidents and/or recommendations the AEC has</w:t>
      </w:r>
      <w:r w:rsidR="00653C6B" w:rsidRPr="00EA16F4">
        <w:rPr>
          <w:rFonts w:ascii="Arial" w:eastAsiaTheme="minorHAnsi" w:hAnsi="Arial" w:cs="Arial"/>
          <w:color w:val="000000"/>
          <w:sz w:val="22"/>
          <w:szCs w:val="20"/>
          <w:lang w:eastAsia="en-US"/>
        </w:rPr>
        <w:t>,</w:t>
      </w:r>
      <w:r w:rsidR="00757643" w:rsidRPr="00EA16F4">
        <w:rPr>
          <w:rFonts w:ascii="Arial" w:eastAsiaTheme="minorHAnsi" w:hAnsi="Arial" w:cs="Arial"/>
          <w:color w:val="000000"/>
          <w:sz w:val="22"/>
          <w:szCs w:val="20"/>
          <w:lang w:eastAsia="en-US"/>
        </w:rPr>
        <w:t xml:space="preserve"> to ensure the institution continues to comply with the Australian code and the Act. </w:t>
      </w:r>
    </w:p>
    <w:p w14:paraId="400D42B6" w14:textId="77777777" w:rsidR="00EB3510" w:rsidRDefault="00EB3510" w:rsidP="00F834DE">
      <w:pPr>
        <w:pStyle w:val="Pa11"/>
        <w:spacing w:before="240" w:after="160"/>
        <w:jc w:val="both"/>
        <w:rPr>
          <w:rFonts w:ascii="Arial" w:hAnsi="Arial" w:cs="Arial"/>
          <w:color w:val="00B7BD" w:themeColor="accent3"/>
          <w:sz w:val="22"/>
          <w:szCs w:val="22"/>
          <w:lang w:val="en-US"/>
        </w:rPr>
      </w:pPr>
    </w:p>
    <w:p w14:paraId="4175C72C" w14:textId="34E2A60F" w:rsidR="00EB3510" w:rsidRPr="00BE78F3" w:rsidRDefault="00661266" w:rsidP="00BE78F3">
      <w:pPr>
        <w:pStyle w:val="Heading1"/>
        <w:spacing w:after="240"/>
        <w:ind w:left="426" w:hanging="426"/>
        <w:rPr>
          <w:rFonts w:cs="Arial"/>
          <w:color w:val="00B7BD" w:themeColor="accent3"/>
          <w:szCs w:val="24"/>
          <w:lang w:val="en-US"/>
        </w:rPr>
      </w:pPr>
      <w:bookmarkStart w:id="24" w:name="_Toc40710209"/>
      <w:r w:rsidRPr="00BE78F3">
        <w:rPr>
          <w:rFonts w:cs="Arial"/>
          <w:color w:val="00B7BD" w:themeColor="accent3"/>
          <w:szCs w:val="24"/>
          <w:lang w:val="en-US"/>
        </w:rPr>
        <w:t>See also</w:t>
      </w:r>
      <w:bookmarkEnd w:id="24"/>
    </w:p>
    <w:p w14:paraId="5F17211B" w14:textId="06A3DE36" w:rsidR="009A2477" w:rsidRDefault="00BF5CCE" w:rsidP="00BE78F3">
      <w:pPr>
        <w:rPr>
          <w:lang w:val="en-US" w:eastAsia="en-AU"/>
        </w:rPr>
      </w:pPr>
      <w:hyperlink r:id="rId18" w:history="1">
        <w:r w:rsidR="00F65E4D" w:rsidRPr="00CB068C">
          <w:rPr>
            <w:rStyle w:val="Hyperlink"/>
            <w:lang w:val="en-US" w:eastAsia="en-AU"/>
          </w:rPr>
          <w:t>www.agriculture.vic.gov.au/art</w:t>
        </w:r>
      </w:hyperlink>
      <w:r w:rsidR="00F65E4D">
        <w:rPr>
          <w:lang w:val="en-US" w:eastAsia="en-AU"/>
        </w:rPr>
        <w:t xml:space="preserve"> </w:t>
      </w:r>
    </w:p>
    <w:p w14:paraId="1F0A417C" w14:textId="3F5FF3C2" w:rsidR="00BE78F3" w:rsidRPr="00BE78F3" w:rsidRDefault="00BE78F3" w:rsidP="00BE78F3">
      <w:pPr>
        <w:rPr>
          <w:lang w:val="en-US" w:eastAsia="en-AU"/>
        </w:rPr>
      </w:pPr>
      <w:r>
        <w:rPr>
          <w:lang w:val="en-US" w:eastAsia="en-AU"/>
        </w:rPr>
        <w:t xml:space="preserve">AEC Guideline for </w:t>
      </w:r>
      <w:r w:rsidR="007C522E">
        <w:rPr>
          <w:lang w:val="en-US" w:eastAsia="en-AU"/>
        </w:rPr>
        <w:t>Decision-making</w:t>
      </w:r>
    </w:p>
    <w:p w14:paraId="0555A433" w14:textId="77777777" w:rsidR="007C522E" w:rsidRDefault="007C522E" w:rsidP="00F834DE">
      <w:pPr>
        <w:pStyle w:val="Pa11"/>
        <w:spacing w:before="240" w:after="160"/>
        <w:jc w:val="both"/>
        <w:rPr>
          <w:rFonts w:ascii="Arial" w:hAnsi="Arial" w:cs="Arial"/>
          <w:color w:val="00B7BD" w:themeColor="accent3"/>
          <w:sz w:val="22"/>
          <w:szCs w:val="22"/>
          <w:lang w:val="en-US"/>
        </w:rPr>
      </w:pPr>
    </w:p>
    <w:p w14:paraId="61745161" w14:textId="3ADE8308" w:rsidR="00757643" w:rsidRPr="0029128D" w:rsidRDefault="00757643" w:rsidP="00F834DE">
      <w:pPr>
        <w:pStyle w:val="Pa11"/>
        <w:spacing w:before="240" w:after="160"/>
        <w:jc w:val="both"/>
        <w:rPr>
          <w:rFonts w:ascii="Arial" w:hAnsi="Arial" w:cs="Arial"/>
          <w:color w:val="00B7BD" w:themeColor="accent3"/>
          <w:sz w:val="22"/>
          <w:szCs w:val="22"/>
          <w:lang w:val="en-US"/>
        </w:rPr>
      </w:pPr>
      <w:r w:rsidRPr="0029128D">
        <w:rPr>
          <w:rFonts w:ascii="Arial" w:hAnsi="Arial" w:cs="Arial"/>
          <w:color w:val="00B7BD" w:themeColor="accent3"/>
          <w:sz w:val="22"/>
          <w:szCs w:val="22"/>
          <w:lang w:val="en-US"/>
        </w:rPr>
        <w:t xml:space="preserve">Disclaimer </w:t>
      </w:r>
    </w:p>
    <w:p w14:paraId="736B9222" w14:textId="286DFF16" w:rsidR="0071232E" w:rsidRDefault="00757643" w:rsidP="005E442A">
      <w:r w:rsidRPr="00EA16F4">
        <w:rPr>
          <w:sz w:val="16"/>
          <w:szCs w:val="16"/>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While every effort has been made to ensure the currency, accuracy or completeness of the content</w:t>
      </w:r>
      <w:r w:rsidR="009C205C" w:rsidRPr="00EA16F4">
        <w:rPr>
          <w:sz w:val="16"/>
          <w:szCs w:val="16"/>
        </w:rPr>
        <w:t>,</w:t>
      </w:r>
      <w:r w:rsidRPr="00EA16F4">
        <w:rPr>
          <w:sz w:val="16"/>
          <w:szCs w:val="16"/>
        </w:rPr>
        <w:t xml:space="preserve"> we endeavour to keep the content relevant and up to date and reserve the right to make changes as require</w:t>
      </w:r>
      <w:r w:rsidR="009C205C" w:rsidRPr="00EA16F4">
        <w:rPr>
          <w:sz w:val="16"/>
          <w:szCs w:val="16"/>
        </w:rPr>
        <w:t>d</w:t>
      </w:r>
      <w:r w:rsidRPr="00EA16F4">
        <w:rPr>
          <w:sz w:val="16"/>
          <w:szCs w:val="16"/>
        </w:rPr>
        <w:t xml:space="preserve">. The Victorian Government, authors and presenters do not accept any liability to any person for the information (or the use of the information) which is provided or referred to in this guideline. </w:t>
      </w:r>
      <w:r w:rsidR="00C202E1" w:rsidRPr="00EA16F4">
        <w:rPr>
          <w:sz w:val="16"/>
          <w:szCs w:val="16"/>
        </w:rPr>
        <w:t>May</w:t>
      </w:r>
      <w:r w:rsidR="003D3616" w:rsidRPr="00EA16F4">
        <w:rPr>
          <w:sz w:val="16"/>
          <w:szCs w:val="16"/>
        </w:rPr>
        <w:t xml:space="preserve"> 2020</w:t>
      </w:r>
      <w:r w:rsidRPr="00EA16F4">
        <w:rPr>
          <w:sz w:val="16"/>
          <w:szCs w:val="16"/>
        </w:rPr>
        <w:t>.</w:t>
      </w:r>
      <w:r w:rsidRPr="008471BD">
        <w:rPr>
          <w:sz w:val="16"/>
          <w:szCs w:val="16"/>
        </w:rPr>
        <w:t xml:space="preserve"> </w:t>
      </w:r>
      <w:bookmarkEnd w:id="2"/>
      <w:permEnd w:id="1417412769"/>
      <w:permEnd w:id="151331014"/>
    </w:p>
    <w:sectPr w:rsidR="0071232E" w:rsidSect="005E442A">
      <w:type w:val="continuous"/>
      <w:pgSz w:w="11900" w:h="16840"/>
      <w:pgMar w:top="164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6E77B" w14:textId="77777777" w:rsidR="00BF5CCE" w:rsidRDefault="00BF5CCE" w:rsidP="000E78B7">
      <w:r>
        <w:separator/>
      </w:r>
    </w:p>
  </w:endnote>
  <w:endnote w:type="continuationSeparator" w:id="0">
    <w:p w14:paraId="560AEFF0" w14:textId="77777777" w:rsidR="00BF5CCE" w:rsidRDefault="00BF5CCE" w:rsidP="000E78B7">
      <w:r>
        <w:continuationSeparator/>
      </w:r>
    </w:p>
  </w:endnote>
  <w:endnote w:type="continuationNotice" w:id="1">
    <w:p w14:paraId="2DA768E8" w14:textId="77777777" w:rsidR="00BF5CCE" w:rsidRDefault="00BF5C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MT Std">
    <w:altName w:val="Times New Roman"/>
    <w:panose1 w:val="020B0604020202020204"/>
    <w:charset w:val="00"/>
    <w:family w:val="roman"/>
    <w:notTrueType/>
    <w:pitch w:val="default"/>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5578589"/>
      <w:docPartObj>
        <w:docPartGallery w:val="Page Numbers (Bottom of Page)"/>
        <w:docPartUnique/>
      </w:docPartObj>
    </w:sdtPr>
    <w:sdtEndPr>
      <w:rPr>
        <w:rStyle w:val="PageNumber"/>
      </w:rPr>
    </w:sdtEndPr>
    <w:sdtContent>
      <w:p w14:paraId="56D6072D" w14:textId="77777777" w:rsidR="005B7350" w:rsidRDefault="005B7350" w:rsidP="009453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DE3DB5" w14:textId="77777777" w:rsidR="005B7350" w:rsidRDefault="005B7350" w:rsidP="00945322">
    <w:pPr>
      <w:pStyle w:val="Footer"/>
      <w:rPr>
        <w:color w:val="E57100" w:themeColor="accent1"/>
      </w:rPr>
    </w:pPr>
    <w:r w:rsidRPr="003548C5">
      <w:rPr>
        <w:color w:val="E57100" w:themeColor="accent1"/>
      </w:rPr>
      <w:t xml:space="preserve">Document name </w:t>
    </w:r>
  </w:p>
  <w:p w14:paraId="47F24C54" w14:textId="77777777" w:rsidR="005B7350" w:rsidRPr="000A4687" w:rsidRDefault="005B7350" w:rsidP="00945322">
    <w:pPr>
      <w:pStyle w:val="Footer"/>
      <w:rPr>
        <w:color w:val="E57100"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806596"/>
      <w:docPartObj>
        <w:docPartGallery w:val="Page Numbers (Bottom of Page)"/>
        <w:docPartUnique/>
      </w:docPartObj>
    </w:sdtPr>
    <w:sdtEndPr>
      <w:rPr>
        <w:color w:val="E57100" w:themeColor="accent1"/>
        <w:sz w:val="18"/>
      </w:rPr>
    </w:sdtEndPr>
    <w:sdtContent>
      <w:bookmarkStart w:id="8" w:name="_Hlk535492843" w:displacedByCustomXml="next"/>
      <w:sdt>
        <w:sdtPr>
          <w:id w:val="1414748627"/>
          <w:docPartObj>
            <w:docPartGallery w:val="Page Numbers (Top of Page)"/>
            <w:docPartUnique/>
          </w:docPartObj>
        </w:sdtPr>
        <w:sdtEndPr>
          <w:rPr>
            <w:color w:val="E57100" w:themeColor="accent1"/>
            <w:sz w:val="18"/>
          </w:rPr>
        </w:sdtEndPr>
        <w:sdtContent>
          <w:p w14:paraId="55AE2CF9" w14:textId="77777777" w:rsidR="00924A8E" w:rsidRDefault="001F44F1" w:rsidP="005E571C">
            <w:pPr>
              <w:pStyle w:val="Footer"/>
              <w:spacing w:after="0"/>
              <w:rPr>
                <w:b/>
                <w:bCs/>
                <w:sz w:val="24"/>
                <w:szCs w:val="24"/>
              </w:rPr>
            </w:pPr>
            <w:r w:rsidRPr="009F33DD">
              <w:rPr>
                <w:color w:val="E57100" w:themeColor="accent1"/>
              </w:rPr>
              <w:t>Guidelines for the conduct of AECs</w:t>
            </w:r>
            <w:bookmarkEnd w:id="8"/>
            <w:r>
              <w:tab/>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F6E02D1" w14:textId="75DA1B69" w:rsidR="001F44F1" w:rsidRPr="00383657" w:rsidRDefault="00383657" w:rsidP="00924A8E">
            <w:pPr>
              <w:pStyle w:val="Footer"/>
              <w:rPr>
                <w:color w:val="E57100" w:themeColor="accent1"/>
                <w:sz w:val="18"/>
              </w:rPr>
            </w:pPr>
            <w:r w:rsidRPr="00383657">
              <w:rPr>
                <w:bCs/>
                <w:color w:val="E57100" w:themeColor="accent1"/>
                <w:sz w:val="20"/>
                <w:szCs w:val="24"/>
              </w:rPr>
              <w:t xml:space="preserve">Published </w:t>
            </w:r>
            <w:r w:rsidR="00670225">
              <w:rPr>
                <w:bCs/>
                <w:color w:val="E57100" w:themeColor="accent1"/>
                <w:sz w:val="20"/>
                <w:szCs w:val="24"/>
              </w:rPr>
              <w:t>May</w:t>
            </w:r>
            <w:r w:rsidRPr="00383657">
              <w:rPr>
                <w:bCs/>
                <w:color w:val="E57100" w:themeColor="accent1"/>
                <w:sz w:val="20"/>
                <w:szCs w:val="24"/>
              </w:rPr>
              <w:t xml:space="preserve"> 2020</w:t>
            </w:r>
          </w:p>
        </w:sdtContent>
      </w:sdt>
    </w:sdtContent>
  </w:sdt>
  <w:p w14:paraId="3D488A89" w14:textId="2ACB3647" w:rsidR="005E442A" w:rsidRPr="0071232E" w:rsidRDefault="005E442A" w:rsidP="002326A2">
    <w:pPr>
      <w:pStyle w:val="NoSpacing"/>
      <w:rPr>
        <w:rStyle w:val="IntenseEmphasis"/>
        <w:i w:val="0"/>
        <w:iCs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6567F" w14:textId="77777777" w:rsidR="005E442A" w:rsidRDefault="005E442A" w:rsidP="00853827">
    <w:pPr>
      <w:pStyle w:val="Footer"/>
      <w:tabs>
        <w:tab w:val="clear" w:pos="4513"/>
        <w:tab w:val="clear" w:pos="9026"/>
        <w:tab w:val="left" w:pos="3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6E25F" w14:textId="77777777" w:rsidR="00BF5CCE" w:rsidRDefault="00BF5CCE" w:rsidP="000E78B7">
      <w:r>
        <w:separator/>
      </w:r>
    </w:p>
  </w:footnote>
  <w:footnote w:type="continuationSeparator" w:id="0">
    <w:p w14:paraId="6EAFB4FF" w14:textId="77777777" w:rsidR="00BF5CCE" w:rsidRDefault="00BF5CCE" w:rsidP="000E78B7">
      <w:r>
        <w:continuationSeparator/>
      </w:r>
    </w:p>
  </w:footnote>
  <w:footnote w:type="continuationNotice" w:id="1">
    <w:p w14:paraId="016AAA07" w14:textId="77777777" w:rsidR="00BF5CCE" w:rsidRDefault="00BF5C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300B" w14:textId="3288406D" w:rsidR="005B7350" w:rsidRDefault="004F7CE3" w:rsidP="001610C6">
    <w:pPr>
      <w:pStyle w:val="Header"/>
    </w:pPr>
    <w:r>
      <w:br/>
    </w:r>
    <w:r w:rsidR="005B7350">
      <w:rPr>
        <w:noProof/>
        <w:lang w:val="en-GB" w:eastAsia="en-GB"/>
      </w:rPr>
      <w:drawing>
        <wp:anchor distT="0" distB="0" distL="114300" distR="114300" simplePos="0" relativeHeight="251658240" behindDoc="1" locked="0" layoutInCell="1" allowOverlap="1" wp14:anchorId="13E24D53" wp14:editId="16F9A34F">
          <wp:simplePos x="0" y="0"/>
          <wp:positionH relativeFrom="page">
            <wp:align>right</wp:align>
          </wp:positionH>
          <wp:positionV relativeFrom="paragraph">
            <wp:posOffset>-449927</wp:posOffset>
          </wp:positionV>
          <wp:extent cx="7615666" cy="10776758"/>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1B340E7C" w14:textId="77777777" w:rsidR="005B7350" w:rsidRDefault="005B7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85351" w14:textId="77777777" w:rsidR="005B7350" w:rsidRDefault="005B7350">
    <w:pPr>
      <w:pStyle w:val="Header"/>
    </w:pPr>
    <w:r>
      <w:rPr>
        <w:noProof/>
        <w:lang w:val="en-GB" w:eastAsia="en-GB"/>
      </w:rPr>
      <w:drawing>
        <wp:anchor distT="0" distB="0" distL="114300" distR="114300" simplePos="0" relativeHeight="251658241" behindDoc="1" locked="0" layoutInCell="1" allowOverlap="1" wp14:anchorId="53B1FF1F" wp14:editId="7FC1B5DA">
          <wp:simplePos x="0" y="0"/>
          <wp:positionH relativeFrom="page">
            <wp:posOffset>9237</wp:posOffset>
          </wp:positionH>
          <wp:positionV relativeFrom="page">
            <wp:align>top</wp:align>
          </wp:positionV>
          <wp:extent cx="7534800" cy="106560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1274 Ag Animal Welfare Report Cover1.pn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83EA" w14:textId="77777777" w:rsidR="005E442A" w:rsidRPr="00C005E5" w:rsidRDefault="005E442A" w:rsidP="005E442A">
    <w:pPr>
      <w:pStyle w:val="Title"/>
      <w:rPr>
        <w:rFonts w:cs="Arial"/>
      </w:rPr>
    </w:pPr>
    <w:r w:rsidRPr="00C005E5">
      <w:rPr>
        <w:rFonts w:cs="Arial"/>
      </w:rPr>
      <w:t>MAIN TITLE</w:t>
    </w:r>
  </w:p>
  <w:p w14:paraId="5B466DC4" w14:textId="77777777" w:rsidR="005E442A" w:rsidRPr="00C005E5" w:rsidRDefault="005E442A" w:rsidP="005E442A">
    <w:pPr>
      <w:pStyle w:val="Subtitle"/>
      <w:rPr>
        <w:rFonts w:cs="Arial"/>
        <w:color w:val="E57100" w:themeColor="accent1"/>
        <w:sz w:val="32"/>
      </w:rPr>
    </w:pPr>
    <w:r w:rsidRPr="00C005E5">
      <w:rPr>
        <w:rFonts w:cs="Arial"/>
        <w:color w:val="E57100" w:themeColor="accent1"/>
        <w:sz w:val="32"/>
      </w:rPr>
      <w:t>SUB TITLE</w:t>
    </w:r>
  </w:p>
  <w:p w14:paraId="37EDD62A" w14:textId="77777777" w:rsidR="005E442A" w:rsidRDefault="005E4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C0F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7ED9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0CD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903A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ACD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F88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58A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6E7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7C169C"/>
    <w:multiLevelType w:val="hybridMultilevel"/>
    <w:tmpl w:val="54B63046"/>
    <w:lvl w:ilvl="0" w:tplc="0C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07EB6F28"/>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0B166C05"/>
    <w:multiLevelType w:val="hybridMultilevel"/>
    <w:tmpl w:val="A49204A6"/>
    <w:lvl w:ilvl="0" w:tplc="0C090017">
      <w:start w:val="1"/>
      <w:numFmt w:val="lowerLetter"/>
      <w:lvlText w:val="%1)"/>
      <w:lvlJc w:val="left"/>
      <w:pPr>
        <w:ind w:left="780" w:hanging="360"/>
      </w:pPr>
    </w:lvl>
    <w:lvl w:ilvl="1" w:tplc="0C09001B">
      <w:start w:val="1"/>
      <w:numFmt w:val="lowerRoman"/>
      <w:lvlText w:val="%2."/>
      <w:lvlJc w:val="righ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130C6156"/>
    <w:multiLevelType w:val="hybridMultilevel"/>
    <w:tmpl w:val="BE0EC3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E93858"/>
    <w:multiLevelType w:val="hybridMultilevel"/>
    <w:tmpl w:val="DB7486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183FF2"/>
    <w:multiLevelType w:val="hybridMultilevel"/>
    <w:tmpl w:val="446077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3878AD"/>
    <w:multiLevelType w:val="hybridMultilevel"/>
    <w:tmpl w:val="54B63046"/>
    <w:lvl w:ilvl="0" w:tplc="0C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2B504DF8"/>
    <w:multiLevelType w:val="hybridMultilevel"/>
    <w:tmpl w:val="D9E60F4E"/>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9" w15:restartNumberingAfterBreak="0">
    <w:nsid w:val="2BBF732A"/>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0" w15:restartNumberingAfterBreak="0">
    <w:nsid w:val="3AB03925"/>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BA155BE"/>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DF52653"/>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4B5F4F81"/>
    <w:multiLevelType w:val="hybridMultilevel"/>
    <w:tmpl w:val="B44C3AA0"/>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4" w15:restartNumberingAfterBreak="0">
    <w:nsid w:val="4C650282"/>
    <w:multiLevelType w:val="hybridMultilevel"/>
    <w:tmpl w:val="EBB882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0A4B81"/>
    <w:multiLevelType w:val="hybridMultilevel"/>
    <w:tmpl w:val="B44C3AA0"/>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6" w15:restartNumberingAfterBreak="0">
    <w:nsid w:val="51450043"/>
    <w:multiLevelType w:val="hybridMultilevel"/>
    <w:tmpl w:val="8CC84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397D75"/>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8" w15:restartNumberingAfterBreak="0">
    <w:nsid w:val="5AB1106D"/>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9" w15:restartNumberingAfterBreak="0">
    <w:nsid w:val="5FA50583"/>
    <w:multiLevelType w:val="hybridMultilevel"/>
    <w:tmpl w:val="87E271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8478E1"/>
    <w:multiLevelType w:val="hybridMultilevel"/>
    <w:tmpl w:val="61A09518"/>
    <w:lvl w:ilvl="0" w:tplc="0C090019">
      <w:start w:val="1"/>
      <w:numFmt w:val="lowerLetter"/>
      <w:lvlText w:val="%1."/>
      <w:lvlJc w:val="left"/>
      <w:pPr>
        <w:ind w:left="720" w:hanging="360"/>
      </w:pPr>
    </w:lvl>
    <w:lvl w:ilvl="1" w:tplc="681EC23C">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B8192E"/>
    <w:multiLevelType w:val="hybridMultilevel"/>
    <w:tmpl w:val="4F6679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B044825"/>
    <w:multiLevelType w:val="hybridMultilevel"/>
    <w:tmpl w:val="F0B4BC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922172"/>
    <w:multiLevelType w:val="hybridMultilevel"/>
    <w:tmpl w:val="AD38E5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F421A1"/>
    <w:multiLevelType w:val="hybridMultilevel"/>
    <w:tmpl w:val="FD1EFAD0"/>
    <w:lvl w:ilvl="0" w:tplc="887EAACE">
      <w:start w:val="1"/>
      <w:numFmt w:val="decimal"/>
      <w:lvlText w:val="%1."/>
      <w:lvlJc w:val="left"/>
      <w:pPr>
        <w:ind w:left="1080" w:hanging="360"/>
      </w:pPr>
      <w:rPr>
        <w:rFonts w:hint="default"/>
        <w:b w:val="0"/>
        <w:color w:val="E57100" w:themeColor="accent1"/>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64502FE"/>
    <w:multiLevelType w:val="hybridMultilevel"/>
    <w:tmpl w:val="DB7486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341C65"/>
    <w:multiLevelType w:val="hybridMultilevel"/>
    <w:tmpl w:val="EAF2F3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E71F8D"/>
    <w:multiLevelType w:val="hybridMultilevel"/>
    <w:tmpl w:val="B44C3AA0"/>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34"/>
  </w:num>
  <w:num w:numId="13">
    <w:abstractNumId w:val="30"/>
  </w:num>
  <w:num w:numId="14">
    <w:abstractNumId w:val="29"/>
  </w:num>
  <w:num w:numId="15">
    <w:abstractNumId w:val="17"/>
  </w:num>
  <w:num w:numId="16">
    <w:abstractNumId w:val="11"/>
  </w:num>
  <w:num w:numId="17">
    <w:abstractNumId w:val="18"/>
  </w:num>
  <w:num w:numId="18">
    <w:abstractNumId w:val="31"/>
  </w:num>
  <w:num w:numId="19">
    <w:abstractNumId w:val="23"/>
  </w:num>
  <w:num w:numId="20">
    <w:abstractNumId w:val="14"/>
  </w:num>
  <w:num w:numId="21">
    <w:abstractNumId w:val="36"/>
  </w:num>
  <w:num w:numId="22">
    <w:abstractNumId w:val="35"/>
  </w:num>
  <w:num w:numId="23">
    <w:abstractNumId w:val="33"/>
  </w:num>
  <w:num w:numId="24">
    <w:abstractNumId w:val="27"/>
  </w:num>
  <w:num w:numId="25">
    <w:abstractNumId w:val="21"/>
  </w:num>
  <w:num w:numId="26">
    <w:abstractNumId w:val="26"/>
  </w:num>
  <w:num w:numId="27">
    <w:abstractNumId w:val="13"/>
  </w:num>
  <w:num w:numId="28">
    <w:abstractNumId w:val="25"/>
  </w:num>
  <w:num w:numId="29">
    <w:abstractNumId w:val="12"/>
  </w:num>
  <w:num w:numId="30">
    <w:abstractNumId w:val="19"/>
  </w:num>
  <w:num w:numId="31">
    <w:abstractNumId w:val="22"/>
  </w:num>
  <w:num w:numId="32">
    <w:abstractNumId w:val="20"/>
  </w:num>
  <w:num w:numId="33">
    <w:abstractNumId w:val="28"/>
  </w:num>
  <w:num w:numId="34">
    <w:abstractNumId w:val="15"/>
  </w:num>
  <w:num w:numId="35">
    <w:abstractNumId w:val="16"/>
  </w:num>
  <w:num w:numId="36">
    <w:abstractNumId w:val="24"/>
  </w:num>
  <w:num w:numId="37">
    <w:abstractNumId w:val="3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SIIn2VKX3nHzMCS0tVB7xnUGqWVYdCauy11jojQ17fXEE9INOn2lX9Fuu/rruooifFvLshJBufF+Da1EKQZkrg==" w:salt="dpXwVG82lo7Ar2PIhP+w4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EA36388-E5C7-4915-83C0-89BE8F1A98D6}"/>
    <w:docVar w:name="dgnword-eventsink" w:val="662336896"/>
  </w:docVars>
  <w:rsids>
    <w:rsidRoot w:val="00F43052"/>
    <w:rsid w:val="00000CC3"/>
    <w:rsid w:val="00001B72"/>
    <w:rsid w:val="0000203A"/>
    <w:rsid w:val="000020BE"/>
    <w:rsid w:val="000028C6"/>
    <w:rsid w:val="0000525F"/>
    <w:rsid w:val="00011F9C"/>
    <w:rsid w:val="00013091"/>
    <w:rsid w:val="000259E1"/>
    <w:rsid w:val="000262C1"/>
    <w:rsid w:val="00027A6B"/>
    <w:rsid w:val="000370FB"/>
    <w:rsid w:val="00042C93"/>
    <w:rsid w:val="00043715"/>
    <w:rsid w:val="0004450D"/>
    <w:rsid w:val="0004454C"/>
    <w:rsid w:val="00052740"/>
    <w:rsid w:val="000556BB"/>
    <w:rsid w:val="00062F63"/>
    <w:rsid w:val="00063123"/>
    <w:rsid w:val="0006371E"/>
    <w:rsid w:val="00065171"/>
    <w:rsid w:val="00065E50"/>
    <w:rsid w:val="00073D73"/>
    <w:rsid w:val="00074F2B"/>
    <w:rsid w:val="00082661"/>
    <w:rsid w:val="00086344"/>
    <w:rsid w:val="00086BEB"/>
    <w:rsid w:val="00092548"/>
    <w:rsid w:val="000930C5"/>
    <w:rsid w:val="000940C3"/>
    <w:rsid w:val="00094D9C"/>
    <w:rsid w:val="000A2014"/>
    <w:rsid w:val="000B0453"/>
    <w:rsid w:val="000C5342"/>
    <w:rsid w:val="000E1F56"/>
    <w:rsid w:val="000E512B"/>
    <w:rsid w:val="000E78B7"/>
    <w:rsid w:val="000F4DDE"/>
    <w:rsid w:val="000F7327"/>
    <w:rsid w:val="000F7DCF"/>
    <w:rsid w:val="0010146A"/>
    <w:rsid w:val="001042F9"/>
    <w:rsid w:val="00107E20"/>
    <w:rsid w:val="00110F8C"/>
    <w:rsid w:val="0011209E"/>
    <w:rsid w:val="00113988"/>
    <w:rsid w:val="0011484D"/>
    <w:rsid w:val="00121FB8"/>
    <w:rsid w:val="001307A9"/>
    <w:rsid w:val="0013093E"/>
    <w:rsid w:val="00131234"/>
    <w:rsid w:val="0013216E"/>
    <w:rsid w:val="0013406E"/>
    <w:rsid w:val="0013416B"/>
    <w:rsid w:val="00136193"/>
    <w:rsid w:val="00137C99"/>
    <w:rsid w:val="0014117E"/>
    <w:rsid w:val="0014359C"/>
    <w:rsid w:val="00147759"/>
    <w:rsid w:val="001532F4"/>
    <w:rsid w:val="00157277"/>
    <w:rsid w:val="001610AE"/>
    <w:rsid w:val="001610C6"/>
    <w:rsid w:val="00162478"/>
    <w:rsid w:val="00162C1A"/>
    <w:rsid w:val="00166D56"/>
    <w:rsid w:val="00170438"/>
    <w:rsid w:val="001709EF"/>
    <w:rsid w:val="00175EC2"/>
    <w:rsid w:val="00182DCF"/>
    <w:rsid w:val="00183241"/>
    <w:rsid w:val="00183C76"/>
    <w:rsid w:val="0019043F"/>
    <w:rsid w:val="00193C8F"/>
    <w:rsid w:val="001A18B0"/>
    <w:rsid w:val="001A337A"/>
    <w:rsid w:val="001A6586"/>
    <w:rsid w:val="001C35DD"/>
    <w:rsid w:val="001C3F67"/>
    <w:rsid w:val="001C5512"/>
    <w:rsid w:val="001C5783"/>
    <w:rsid w:val="001D7731"/>
    <w:rsid w:val="001E3C94"/>
    <w:rsid w:val="001F0925"/>
    <w:rsid w:val="001F1752"/>
    <w:rsid w:val="001F3ABA"/>
    <w:rsid w:val="001F3B08"/>
    <w:rsid w:val="001F44F1"/>
    <w:rsid w:val="001F484C"/>
    <w:rsid w:val="001F77EC"/>
    <w:rsid w:val="002067BD"/>
    <w:rsid w:val="0021012F"/>
    <w:rsid w:val="0021307D"/>
    <w:rsid w:val="002175BA"/>
    <w:rsid w:val="00217D61"/>
    <w:rsid w:val="00224F25"/>
    <w:rsid w:val="00230392"/>
    <w:rsid w:val="002326A2"/>
    <w:rsid w:val="002373E4"/>
    <w:rsid w:val="00242EAC"/>
    <w:rsid w:val="00244D7E"/>
    <w:rsid w:val="00244E55"/>
    <w:rsid w:val="00245BA8"/>
    <w:rsid w:val="002466D4"/>
    <w:rsid w:val="002554A0"/>
    <w:rsid w:val="00260DAE"/>
    <w:rsid w:val="00266120"/>
    <w:rsid w:val="00266808"/>
    <w:rsid w:val="00271B7B"/>
    <w:rsid w:val="00274B54"/>
    <w:rsid w:val="00282E56"/>
    <w:rsid w:val="0028339B"/>
    <w:rsid w:val="00283726"/>
    <w:rsid w:val="00287F03"/>
    <w:rsid w:val="0029128D"/>
    <w:rsid w:val="00292C21"/>
    <w:rsid w:val="002931E8"/>
    <w:rsid w:val="00296C26"/>
    <w:rsid w:val="002A6F79"/>
    <w:rsid w:val="002B0548"/>
    <w:rsid w:val="002B0EA3"/>
    <w:rsid w:val="002B39B6"/>
    <w:rsid w:val="002C026D"/>
    <w:rsid w:val="002C294A"/>
    <w:rsid w:val="002C5491"/>
    <w:rsid w:val="002D126D"/>
    <w:rsid w:val="002D481B"/>
    <w:rsid w:val="002E034C"/>
    <w:rsid w:val="002F5BF1"/>
    <w:rsid w:val="002F6EF4"/>
    <w:rsid w:val="002F7DAF"/>
    <w:rsid w:val="00307DB4"/>
    <w:rsid w:val="003102A1"/>
    <w:rsid w:val="00310D66"/>
    <w:rsid w:val="0031157D"/>
    <w:rsid w:val="00312061"/>
    <w:rsid w:val="003135FA"/>
    <w:rsid w:val="00317F9F"/>
    <w:rsid w:val="00317FBC"/>
    <w:rsid w:val="00321138"/>
    <w:rsid w:val="003246B2"/>
    <w:rsid w:val="00330508"/>
    <w:rsid w:val="00332776"/>
    <w:rsid w:val="003400C7"/>
    <w:rsid w:val="00340BE4"/>
    <w:rsid w:val="003415C7"/>
    <w:rsid w:val="00346929"/>
    <w:rsid w:val="00355953"/>
    <w:rsid w:val="0036154F"/>
    <w:rsid w:val="00363C22"/>
    <w:rsid w:val="00365602"/>
    <w:rsid w:val="00370410"/>
    <w:rsid w:val="0037084E"/>
    <w:rsid w:val="00373121"/>
    <w:rsid w:val="00374A6D"/>
    <w:rsid w:val="003776D6"/>
    <w:rsid w:val="00383657"/>
    <w:rsid w:val="003839B9"/>
    <w:rsid w:val="00383B73"/>
    <w:rsid w:val="003856AC"/>
    <w:rsid w:val="00395064"/>
    <w:rsid w:val="00397765"/>
    <w:rsid w:val="003A0FCA"/>
    <w:rsid w:val="003A2B70"/>
    <w:rsid w:val="003A48A2"/>
    <w:rsid w:val="003B0CD0"/>
    <w:rsid w:val="003B2FEA"/>
    <w:rsid w:val="003B2FFD"/>
    <w:rsid w:val="003B3359"/>
    <w:rsid w:val="003B4710"/>
    <w:rsid w:val="003C155D"/>
    <w:rsid w:val="003D2D7C"/>
    <w:rsid w:val="003D3616"/>
    <w:rsid w:val="003D4F31"/>
    <w:rsid w:val="003D7BEF"/>
    <w:rsid w:val="003E60D9"/>
    <w:rsid w:val="00404659"/>
    <w:rsid w:val="004142DE"/>
    <w:rsid w:val="00420B9E"/>
    <w:rsid w:val="004302EA"/>
    <w:rsid w:val="0043475C"/>
    <w:rsid w:val="00434C2C"/>
    <w:rsid w:val="00437F3A"/>
    <w:rsid w:val="00442DAD"/>
    <w:rsid w:val="00443E1B"/>
    <w:rsid w:val="00444945"/>
    <w:rsid w:val="00445B3F"/>
    <w:rsid w:val="00452722"/>
    <w:rsid w:val="00452DF1"/>
    <w:rsid w:val="004535B5"/>
    <w:rsid w:val="00454224"/>
    <w:rsid w:val="00460ABF"/>
    <w:rsid w:val="00460EF7"/>
    <w:rsid w:val="00462126"/>
    <w:rsid w:val="00463030"/>
    <w:rsid w:val="004649D5"/>
    <w:rsid w:val="00474EA4"/>
    <w:rsid w:val="00480A9C"/>
    <w:rsid w:val="00485B67"/>
    <w:rsid w:val="00485D28"/>
    <w:rsid w:val="004872F1"/>
    <w:rsid w:val="00496483"/>
    <w:rsid w:val="004A2E35"/>
    <w:rsid w:val="004A3BB8"/>
    <w:rsid w:val="004A7FCD"/>
    <w:rsid w:val="004B1C29"/>
    <w:rsid w:val="004B3212"/>
    <w:rsid w:val="004B3BFC"/>
    <w:rsid w:val="004B69AA"/>
    <w:rsid w:val="004B6C54"/>
    <w:rsid w:val="004B70A8"/>
    <w:rsid w:val="004C04F1"/>
    <w:rsid w:val="004C19BE"/>
    <w:rsid w:val="004C62EF"/>
    <w:rsid w:val="004C7806"/>
    <w:rsid w:val="004C7B7A"/>
    <w:rsid w:val="004D4164"/>
    <w:rsid w:val="004D4222"/>
    <w:rsid w:val="004E5AEC"/>
    <w:rsid w:val="004E5CB7"/>
    <w:rsid w:val="004E6F86"/>
    <w:rsid w:val="004F0B7A"/>
    <w:rsid w:val="004F1C05"/>
    <w:rsid w:val="004F7CE3"/>
    <w:rsid w:val="00500124"/>
    <w:rsid w:val="00500888"/>
    <w:rsid w:val="0050239E"/>
    <w:rsid w:val="00503F7C"/>
    <w:rsid w:val="00506AAE"/>
    <w:rsid w:val="0051317F"/>
    <w:rsid w:val="005136BA"/>
    <w:rsid w:val="00516F56"/>
    <w:rsid w:val="00524A75"/>
    <w:rsid w:val="005255BB"/>
    <w:rsid w:val="00525B72"/>
    <w:rsid w:val="0052675D"/>
    <w:rsid w:val="005342DB"/>
    <w:rsid w:val="00541467"/>
    <w:rsid w:val="00543A2C"/>
    <w:rsid w:val="00543BAC"/>
    <w:rsid w:val="00545609"/>
    <w:rsid w:val="00554655"/>
    <w:rsid w:val="00560B5A"/>
    <w:rsid w:val="00566CE1"/>
    <w:rsid w:val="00574873"/>
    <w:rsid w:val="00574A2D"/>
    <w:rsid w:val="00575878"/>
    <w:rsid w:val="0058164F"/>
    <w:rsid w:val="00583B14"/>
    <w:rsid w:val="00584EC5"/>
    <w:rsid w:val="00585571"/>
    <w:rsid w:val="00585D03"/>
    <w:rsid w:val="00587041"/>
    <w:rsid w:val="00587F79"/>
    <w:rsid w:val="00590F64"/>
    <w:rsid w:val="0059109E"/>
    <w:rsid w:val="005937F4"/>
    <w:rsid w:val="00594BF2"/>
    <w:rsid w:val="005A021F"/>
    <w:rsid w:val="005A219E"/>
    <w:rsid w:val="005A5279"/>
    <w:rsid w:val="005B03DF"/>
    <w:rsid w:val="005B2B75"/>
    <w:rsid w:val="005B6802"/>
    <w:rsid w:val="005B7350"/>
    <w:rsid w:val="005C43AC"/>
    <w:rsid w:val="005D0037"/>
    <w:rsid w:val="005E0E14"/>
    <w:rsid w:val="005E1E27"/>
    <w:rsid w:val="005E442A"/>
    <w:rsid w:val="005E571C"/>
    <w:rsid w:val="005F0102"/>
    <w:rsid w:val="005F11F8"/>
    <w:rsid w:val="005F785D"/>
    <w:rsid w:val="00601A26"/>
    <w:rsid w:val="006036A6"/>
    <w:rsid w:val="006059D4"/>
    <w:rsid w:val="006162A3"/>
    <w:rsid w:val="006226DF"/>
    <w:rsid w:val="00623BC2"/>
    <w:rsid w:val="0062436E"/>
    <w:rsid w:val="00624AB7"/>
    <w:rsid w:val="00626D42"/>
    <w:rsid w:val="006271F7"/>
    <w:rsid w:val="00630451"/>
    <w:rsid w:val="00636A05"/>
    <w:rsid w:val="00642B6F"/>
    <w:rsid w:val="00642C97"/>
    <w:rsid w:val="00645CF2"/>
    <w:rsid w:val="0065202B"/>
    <w:rsid w:val="006524F4"/>
    <w:rsid w:val="00653C6B"/>
    <w:rsid w:val="0065406A"/>
    <w:rsid w:val="006577AF"/>
    <w:rsid w:val="00661266"/>
    <w:rsid w:val="0066174B"/>
    <w:rsid w:val="00661DC9"/>
    <w:rsid w:val="00664A15"/>
    <w:rsid w:val="00666660"/>
    <w:rsid w:val="00670225"/>
    <w:rsid w:val="006716EF"/>
    <w:rsid w:val="0067294A"/>
    <w:rsid w:val="006731F3"/>
    <w:rsid w:val="00677070"/>
    <w:rsid w:val="0068057F"/>
    <w:rsid w:val="00680ED6"/>
    <w:rsid w:val="00685589"/>
    <w:rsid w:val="00686395"/>
    <w:rsid w:val="00686DD0"/>
    <w:rsid w:val="00690C1F"/>
    <w:rsid w:val="006921E7"/>
    <w:rsid w:val="00692ECA"/>
    <w:rsid w:val="006A31AC"/>
    <w:rsid w:val="006A6108"/>
    <w:rsid w:val="006B16F4"/>
    <w:rsid w:val="006B1DD1"/>
    <w:rsid w:val="006B3FCC"/>
    <w:rsid w:val="006B69DD"/>
    <w:rsid w:val="006B7F2E"/>
    <w:rsid w:val="006C0D8B"/>
    <w:rsid w:val="006C3859"/>
    <w:rsid w:val="006D037D"/>
    <w:rsid w:val="006E581E"/>
    <w:rsid w:val="006F0F3F"/>
    <w:rsid w:val="006F4C24"/>
    <w:rsid w:val="006F7B58"/>
    <w:rsid w:val="007028DF"/>
    <w:rsid w:val="00705BA0"/>
    <w:rsid w:val="00706847"/>
    <w:rsid w:val="00707D3A"/>
    <w:rsid w:val="0071232E"/>
    <w:rsid w:val="00714D27"/>
    <w:rsid w:val="00720E65"/>
    <w:rsid w:val="00730818"/>
    <w:rsid w:val="0073622F"/>
    <w:rsid w:val="00736BC8"/>
    <w:rsid w:val="00742105"/>
    <w:rsid w:val="007525FC"/>
    <w:rsid w:val="00757643"/>
    <w:rsid w:val="00760B86"/>
    <w:rsid w:val="007620E1"/>
    <w:rsid w:val="00763D73"/>
    <w:rsid w:val="00767D23"/>
    <w:rsid w:val="00773EC1"/>
    <w:rsid w:val="0078102D"/>
    <w:rsid w:val="00781EB2"/>
    <w:rsid w:val="00782E68"/>
    <w:rsid w:val="0078345B"/>
    <w:rsid w:val="007840A9"/>
    <w:rsid w:val="007841FA"/>
    <w:rsid w:val="0078662A"/>
    <w:rsid w:val="0079201B"/>
    <w:rsid w:val="007A01F7"/>
    <w:rsid w:val="007A6692"/>
    <w:rsid w:val="007B13E4"/>
    <w:rsid w:val="007B3A57"/>
    <w:rsid w:val="007B3B74"/>
    <w:rsid w:val="007C46DF"/>
    <w:rsid w:val="007C522E"/>
    <w:rsid w:val="007D0838"/>
    <w:rsid w:val="007D13D9"/>
    <w:rsid w:val="007D6610"/>
    <w:rsid w:val="007E240C"/>
    <w:rsid w:val="007E4809"/>
    <w:rsid w:val="007E7AD1"/>
    <w:rsid w:val="007F319A"/>
    <w:rsid w:val="007F5A94"/>
    <w:rsid w:val="00800018"/>
    <w:rsid w:val="008022A9"/>
    <w:rsid w:val="00811C14"/>
    <w:rsid w:val="008129A8"/>
    <w:rsid w:val="0081549F"/>
    <w:rsid w:val="008154AD"/>
    <w:rsid w:val="00822F99"/>
    <w:rsid w:val="00824027"/>
    <w:rsid w:val="00827C51"/>
    <w:rsid w:val="00835B8F"/>
    <w:rsid w:val="00835C39"/>
    <w:rsid w:val="008406BD"/>
    <w:rsid w:val="00841C6E"/>
    <w:rsid w:val="008437FE"/>
    <w:rsid w:val="008479E0"/>
    <w:rsid w:val="00852002"/>
    <w:rsid w:val="00852544"/>
    <w:rsid w:val="00853827"/>
    <w:rsid w:val="00854F7B"/>
    <w:rsid w:val="008578E7"/>
    <w:rsid w:val="00865AC9"/>
    <w:rsid w:val="00870005"/>
    <w:rsid w:val="00871A55"/>
    <w:rsid w:val="00871BDD"/>
    <w:rsid w:val="00872A1D"/>
    <w:rsid w:val="008738F9"/>
    <w:rsid w:val="00886407"/>
    <w:rsid w:val="00894A53"/>
    <w:rsid w:val="00896CC1"/>
    <w:rsid w:val="008971C0"/>
    <w:rsid w:val="00897DD6"/>
    <w:rsid w:val="008A374D"/>
    <w:rsid w:val="008A529E"/>
    <w:rsid w:val="008A6661"/>
    <w:rsid w:val="008B410A"/>
    <w:rsid w:val="008C4D82"/>
    <w:rsid w:val="008D3D47"/>
    <w:rsid w:val="008D3E98"/>
    <w:rsid w:val="008D4099"/>
    <w:rsid w:val="008D6471"/>
    <w:rsid w:val="008D6A9E"/>
    <w:rsid w:val="008E30D9"/>
    <w:rsid w:val="008E7AC9"/>
    <w:rsid w:val="008F0136"/>
    <w:rsid w:val="008F196F"/>
    <w:rsid w:val="008F5110"/>
    <w:rsid w:val="009015A8"/>
    <w:rsid w:val="00902153"/>
    <w:rsid w:val="0090554E"/>
    <w:rsid w:val="00905EE3"/>
    <w:rsid w:val="00915161"/>
    <w:rsid w:val="009161C0"/>
    <w:rsid w:val="009173B6"/>
    <w:rsid w:val="009216BD"/>
    <w:rsid w:val="009217D2"/>
    <w:rsid w:val="00922338"/>
    <w:rsid w:val="00922CC8"/>
    <w:rsid w:val="00924A8E"/>
    <w:rsid w:val="00930C67"/>
    <w:rsid w:val="00933C6A"/>
    <w:rsid w:val="009403E2"/>
    <w:rsid w:val="009431DE"/>
    <w:rsid w:val="009434D8"/>
    <w:rsid w:val="00945322"/>
    <w:rsid w:val="009462FC"/>
    <w:rsid w:val="009469FC"/>
    <w:rsid w:val="00955C50"/>
    <w:rsid w:val="00956462"/>
    <w:rsid w:val="00960BEC"/>
    <w:rsid w:val="00961C50"/>
    <w:rsid w:val="00962651"/>
    <w:rsid w:val="009629D8"/>
    <w:rsid w:val="00963E30"/>
    <w:rsid w:val="009655F5"/>
    <w:rsid w:val="00965E73"/>
    <w:rsid w:val="00974719"/>
    <w:rsid w:val="0098625E"/>
    <w:rsid w:val="00991025"/>
    <w:rsid w:val="0099290F"/>
    <w:rsid w:val="00993320"/>
    <w:rsid w:val="009978B7"/>
    <w:rsid w:val="009A0C50"/>
    <w:rsid w:val="009A2198"/>
    <w:rsid w:val="009A2477"/>
    <w:rsid w:val="009A4809"/>
    <w:rsid w:val="009A4B6B"/>
    <w:rsid w:val="009A555C"/>
    <w:rsid w:val="009A7254"/>
    <w:rsid w:val="009B0DC3"/>
    <w:rsid w:val="009C205C"/>
    <w:rsid w:val="009C5D02"/>
    <w:rsid w:val="009C6C06"/>
    <w:rsid w:val="009D33BD"/>
    <w:rsid w:val="009D48E6"/>
    <w:rsid w:val="009D6883"/>
    <w:rsid w:val="009D6C8C"/>
    <w:rsid w:val="009E70A8"/>
    <w:rsid w:val="009F33DD"/>
    <w:rsid w:val="009F6A22"/>
    <w:rsid w:val="00A010F9"/>
    <w:rsid w:val="00A05B67"/>
    <w:rsid w:val="00A07F76"/>
    <w:rsid w:val="00A142AF"/>
    <w:rsid w:val="00A156FF"/>
    <w:rsid w:val="00A20212"/>
    <w:rsid w:val="00A332FA"/>
    <w:rsid w:val="00A40515"/>
    <w:rsid w:val="00A40A46"/>
    <w:rsid w:val="00A41BB0"/>
    <w:rsid w:val="00A429FD"/>
    <w:rsid w:val="00A430A6"/>
    <w:rsid w:val="00A4417B"/>
    <w:rsid w:val="00A4496E"/>
    <w:rsid w:val="00A47A99"/>
    <w:rsid w:val="00A51C0A"/>
    <w:rsid w:val="00A52EDA"/>
    <w:rsid w:val="00A549BB"/>
    <w:rsid w:val="00A56D0D"/>
    <w:rsid w:val="00A64CE2"/>
    <w:rsid w:val="00A651B9"/>
    <w:rsid w:val="00A662AF"/>
    <w:rsid w:val="00A66497"/>
    <w:rsid w:val="00A67254"/>
    <w:rsid w:val="00A70999"/>
    <w:rsid w:val="00A7493B"/>
    <w:rsid w:val="00A74E28"/>
    <w:rsid w:val="00A77984"/>
    <w:rsid w:val="00A819A3"/>
    <w:rsid w:val="00A83E8B"/>
    <w:rsid w:val="00A84FCD"/>
    <w:rsid w:val="00A85967"/>
    <w:rsid w:val="00A8610B"/>
    <w:rsid w:val="00A969E9"/>
    <w:rsid w:val="00A97377"/>
    <w:rsid w:val="00A97851"/>
    <w:rsid w:val="00AA01FB"/>
    <w:rsid w:val="00AA210A"/>
    <w:rsid w:val="00AA7CC3"/>
    <w:rsid w:val="00AB1AB5"/>
    <w:rsid w:val="00AB23A3"/>
    <w:rsid w:val="00AB357D"/>
    <w:rsid w:val="00AB49D1"/>
    <w:rsid w:val="00AC3FA6"/>
    <w:rsid w:val="00AC4EE2"/>
    <w:rsid w:val="00AC4F3A"/>
    <w:rsid w:val="00AD5980"/>
    <w:rsid w:val="00AD7719"/>
    <w:rsid w:val="00AE2D59"/>
    <w:rsid w:val="00AF572C"/>
    <w:rsid w:val="00AF6EAD"/>
    <w:rsid w:val="00B006BE"/>
    <w:rsid w:val="00B014B5"/>
    <w:rsid w:val="00B04892"/>
    <w:rsid w:val="00B048E4"/>
    <w:rsid w:val="00B1558D"/>
    <w:rsid w:val="00B16698"/>
    <w:rsid w:val="00B20177"/>
    <w:rsid w:val="00B35037"/>
    <w:rsid w:val="00B35BAC"/>
    <w:rsid w:val="00B36AA3"/>
    <w:rsid w:val="00B40F73"/>
    <w:rsid w:val="00B41310"/>
    <w:rsid w:val="00B41F1F"/>
    <w:rsid w:val="00B47145"/>
    <w:rsid w:val="00B51712"/>
    <w:rsid w:val="00B53691"/>
    <w:rsid w:val="00B73D91"/>
    <w:rsid w:val="00B760C4"/>
    <w:rsid w:val="00B764A1"/>
    <w:rsid w:val="00B8325F"/>
    <w:rsid w:val="00B84FFF"/>
    <w:rsid w:val="00B85346"/>
    <w:rsid w:val="00B87B4D"/>
    <w:rsid w:val="00B92DF3"/>
    <w:rsid w:val="00B9574C"/>
    <w:rsid w:val="00B96288"/>
    <w:rsid w:val="00BA0E1B"/>
    <w:rsid w:val="00BA31BB"/>
    <w:rsid w:val="00BA3FF7"/>
    <w:rsid w:val="00BA5E48"/>
    <w:rsid w:val="00BA6FE2"/>
    <w:rsid w:val="00BA7A58"/>
    <w:rsid w:val="00BB7A37"/>
    <w:rsid w:val="00BC0F83"/>
    <w:rsid w:val="00BC2E11"/>
    <w:rsid w:val="00BC33F4"/>
    <w:rsid w:val="00BC3F58"/>
    <w:rsid w:val="00BD12B1"/>
    <w:rsid w:val="00BD2497"/>
    <w:rsid w:val="00BE0DB8"/>
    <w:rsid w:val="00BE1EEC"/>
    <w:rsid w:val="00BE3118"/>
    <w:rsid w:val="00BE62C9"/>
    <w:rsid w:val="00BE78F3"/>
    <w:rsid w:val="00BF03EC"/>
    <w:rsid w:val="00BF39AF"/>
    <w:rsid w:val="00BF4070"/>
    <w:rsid w:val="00BF5CCE"/>
    <w:rsid w:val="00BF6AA5"/>
    <w:rsid w:val="00BF6C8B"/>
    <w:rsid w:val="00BF6EBA"/>
    <w:rsid w:val="00BF6EFB"/>
    <w:rsid w:val="00BF749F"/>
    <w:rsid w:val="00BF7A9B"/>
    <w:rsid w:val="00C00091"/>
    <w:rsid w:val="00C005E5"/>
    <w:rsid w:val="00C00962"/>
    <w:rsid w:val="00C02157"/>
    <w:rsid w:val="00C0363F"/>
    <w:rsid w:val="00C15404"/>
    <w:rsid w:val="00C15AA8"/>
    <w:rsid w:val="00C17978"/>
    <w:rsid w:val="00C202E1"/>
    <w:rsid w:val="00C24438"/>
    <w:rsid w:val="00C4199D"/>
    <w:rsid w:val="00C419EA"/>
    <w:rsid w:val="00C43B79"/>
    <w:rsid w:val="00C46683"/>
    <w:rsid w:val="00C47326"/>
    <w:rsid w:val="00C52A0B"/>
    <w:rsid w:val="00C61501"/>
    <w:rsid w:val="00C67956"/>
    <w:rsid w:val="00C717FE"/>
    <w:rsid w:val="00C72926"/>
    <w:rsid w:val="00C7514D"/>
    <w:rsid w:val="00C7611B"/>
    <w:rsid w:val="00C84350"/>
    <w:rsid w:val="00C8531E"/>
    <w:rsid w:val="00C854CE"/>
    <w:rsid w:val="00C86947"/>
    <w:rsid w:val="00C90629"/>
    <w:rsid w:val="00C91A32"/>
    <w:rsid w:val="00C928D3"/>
    <w:rsid w:val="00CA0768"/>
    <w:rsid w:val="00CA5C66"/>
    <w:rsid w:val="00CA6A26"/>
    <w:rsid w:val="00CB49E1"/>
    <w:rsid w:val="00CB59B3"/>
    <w:rsid w:val="00CC14F1"/>
    <w:rsid w:val="00CC36D0"/>
    <w:rsid w:val="00CC4AE7"/>
    <w:rsid w:val="00CC6410"/>
    <w:rsid w:val="00CD020A"/>
    <w:rsid w:val="00CD3162"/>
    <w:rsid w:val="00CD4FC4"/>
    <w:rsid w:val="00CD5F62"/>
    <w:rsid w:val="00CE2205"/>
    <w:rsid w:val="00CE24F3"/>
    <w:rsid w:val="00CE2D5C"/>
    <w:rsid w:val="00CE40A8"/>
    <w:rsid w:val="00CE5169"/>
    <w:rsid w:val="00CF170E"/>
    <w:rsid w:val="00CF2810"/>
    <w:rsid w:val="00CF31D9"/>
    <w:rsid w:val="00CF5A40"/>
    <w:rsid w:val="00CF7533"/>
    <w:rsid w:val="00D01A16"/>
    <w:rsid w:val="00D100D7"/>
    <w:rsid w:val="00D12B07"/>
    <w:rsid w:val="00D14714"/>
    <w:rsid w:val="00D14CD1"/>
    <w:rsid w:val="00D260D3"/>
    <w:rsid w:val="00D31654"/>
    <w:rsid w:val="00D32292"/>
    <w:rsid w:val="00D33624"/>
    <w:rsid w:val="00D3647F"/>
    <w:rsid w:val="00D36D9C"/>
    <w:rsid w:val="00D36DE5"/>
    <w:rsid w:val="00D436C5"/>
    <w:rsid w:val="00D452AF"/>
    <w:rsid w:val="00D566EF"/>
    <w:rsid w:val="00D57468"/>
    <w:rsid w:val="00D61DFC"/>
    <w:rsid w:val="00D66B72"/>
    <w:rsid w:val="00D87719"/>
    <w:rsid w:val="00D90657"/>
    <w:rsid w:val="00D91A64"/>
    <w:rsid w:val="00D954CD"/>
    <w:rsid w:val="00D972CE"/>
    <w:rsid w:val="00DA0CE9"/>
    <w:rsid w:val="00DA53FF"/>
    <w:rsid w:val="00DA5818"/>
    <w:rsid w:val="00DA690B"/>
    <w:rsid w:val="00DA7893"/>
    <w:rsid w:val="00DB7A45"/>
    <w:rsid w:val="00DB7D54"/>
    <w:rsid w:val="00DC02A2"/>
    <w:rsid w:val="00DC2D09"/>
    <w:rsid w:val="00DC5805"/>
    <w:rsid w:val="00DC64F5"/>
    <w:rsid w:val="00DD2A75"/>
    <w:rsid w:val="00DD519E"/>
    <w:rsid w:val="00DD5FDD"/>
    <w:rsid w:val="00DD722D"/>
    <w:rsid w:val="00DE28CF"/>
    <w:rsid w:val="00DF255C"/>
    <w:rsid w:val="00DF3332"/>
    <w:rsid w:val="00DF387D"/>
    <w:rsid w:val="00E0253B"/>
    <w:rsid w:val="00E05A90"/>
    <w:rsid w:val="00E16F5F"/>
    <w:rsid w:val="00E21138"/>
    <w:rsid w:val="00E211FE"/>
    <w:rsid w:val="00E31700"/>
    <w:rsid w:val="00E327BF"/>
    <w:rsid w:val="00E329C4"/>
    <w:rsid w:val="00E33773"/>
    <w:rsid w:val="00E34E2B"/>
    <w:rsid w:val="00E35142"/>
    <w:rsid w:val="00E4432C"/>
    <w:rsid w:val="00E47E81"/>
    <w:rsid w:val="00E47EF3"/>
    <w:rsid w:val="00E5283C"/>
    <w:rsid w:val="00E52F0A"/>
    <w:rsid w:val="00E54452"/>
    <w:rsid w:val="00E54B9C"/>
    <w:rsid w:val="00E63D8F"/>
    <w:rsid w:val="00E66A5D"/>
    <w:rsid w:val="00E75DC4"/>
    <w:rsid w:val="00E81881"/>
    <w:rsid w:val="00E85D4C"/>
    <w:rsid w:val="00E92A6E"/>
    <w:rsid w:val="00E92F70"/>
    <w:rsid w:val="00EA16F4"/>
    <w:rsid w:val="00EA3CCC"/>
    <w:rsid w:val="00EB2A31"/>
    <w:rsid w:val="00EB3510"/>
    <w:rsid w:val="00EB6625"/>
    <w:rsid w:val="00EC7A27"/>
    <w:rsid w:val="00ED09A3"/>
    <w:rsid w:val="00ED3057"/>
    <w:rsid w:val="00ED4B1D"/>
    <w:rsid w:val="00ED5B6A"/>
    <w:rsid w:val="00EF03FC"/>
    <w:rsid w:val="00EF4959"/>
    <w:rsid w:val="00F13B1E"/>
    <w:rsid w:val="00F13B87"/>
    <w:rsid w:val="00F1796D"/>
    <w:rsid w:val="00F243BF"/>
    <w:rsid w:val="00F24FA8"/>
    <w:rsid w:val="00F25AF3"/>
    <w:rsid w:val="00F2768A"/>
    <w:rsid w:val="00F306D2"/>
    <w:rsid w:val="00F42181"/>
    <w:rsid w:val="00F428C3"/>
    <w:rsid w:val="00F42DF7"/>
    <w:rsid w:val="00F43052"/>
    <w:rsid w:val="00F46CB0"/>
    <w:rsid w:val="00F50C0F"/>
    <w:rsid w:val="00F572B5"/>
    <w:rsid w:val="00F57D74"/>
    <w:rsid w:val="00F65E4D"/>
    <w:rsid w:val="00F70BF4"/>
    <w:rsid w:val="00F731C4"/>
    <w:rsid w:val="00F749DC"/>
    <w:rsid w:val="00F756D4"/>
    <w:rsid w:val="00F772B2"/>
    <w:rsid w:val="00F80338"/>
    <w:rsid w:val="00F8123E"/>
    <w:rsid w:val="00F81269"/>
    <w:rsid w:val="00F834DE"/>
    <w:rsid w:val="00F86095"/>
    <w:rsid w:val="00F863AE"/>
    <w:rsid w:val="00F87710"/>
    <w:rsid w:val="00F90487"/>
    <w:rsid w:val="00F95982"/>
    <w:rsid w:val="00F95CCB"/>
    <w:rsid w:val="00FA04E5"/>
    <w:rsid w:val="00FA5C12"/>
    <w:rsid w:val="00FA644E"/>
    <w:rsid w:val="00FB0A54"/>
    <w:rsid w:val="00FB1AC5"/>
    <w:rsid w:val="00FB1E88"/>
    <w:rsid w:val="00FB2510"/>
    <w:rsid w:val="00FB5B4A"/>
    <w:rsid w:val="00FB62C3"/>
    <w:rsid w:val="00FB63BF"/>
    <w:rsid w:val="00FB6C9C"/>
    <w:rsid w:val="00FB730E"/>
    <w:rsid w:val="00FC2BA5"/>
    <w:rsid w:val="00FC3E2F"/>
    <w:rsid w:val="00FC4C64"/>
    <w:rsid w:val="00FD01F5"/>
    <w:rsid w:val="00FD5006"/>
    <w:rsid w:val="00FE13A3"/>
    <w:rsid w:val="00FE3C8B"/>
    <w:rsid w:val="00FE43C0"/>
    <w:rsid w:val="00FF07B5"/>
    <w:rsid w:val="00FF093D"/>
    <w:rsid w:val="00FF2467"/>
    <w:rsid w:val="00FF3AF4"/>
    <w:rsid w:val="00FF661D"/>
    <w:rsid w:val="00FF6F26"/>
    <w:rsid w:val="00FF7A1E"/>
    <w:rsid w:val="52F1D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98B27"/>
  <w15:chartTrackingRefBased/>
  <w15:docId w15:val="{592800A8-5EDC-42C7-A24F-3B35F370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64F5"/>
    <w:pPr>
      <w:snapToGrid w:val="0"/>
      <w:spacing w:after="240"/>
    </w:pPr>
    <w:rPr>
      <w:rFonts w:ascii="Arial" w:hAnsi="Arial"/>
      <w:color w:val="000000"/>
      <w:sz w:val="22"/>
      <w:szCs w:val="20"/>
    </w:rPr>
  </w:style>
  <w:style w:type="paragraph" w:styleId="Heading1">
    <w:name w:val="heading 1"/>
    <w:basedOn w:val="Normal"/>
    <w:next w:val="Normal"/>
    <w:link w:val="Heading1Char"/>
    <w:uiPriority w:val="9"/>
    <w:qFormat/>
    <w:rsid w:val="00757643"/>
    <w:pPr>
      <w:spacing w:after="120"/>
      <w:outlineLvl w:val="0"/>
    </w:pPr>
    <w:rPr>
      <w:b/>
      <w:color w:val="E57100" w:themeColor="accent1"/>
      <w:sz w:val="24"/>
      <w:szCs w:val="22"/>
    </w:rPr>
  </w:style>
  <w:style w:type="paragraph" w:styleId="Heading2">
    <w:name w:val="heading 2"/>
    <w:basedOn w:val="Normal"/>
    <w:next w:val="Normal"/>
    <w:link w:val="Heading2Char"/>
    <w:uiPriority w:val="9"/>
    <w:unhideWhenUsed/>
    <w:qFormat/>
    <w:rsid w:val="00666660"/>
    <w:pPr>
      <w:spacing w:after="120"/>
      <w:outlineLvl w:val="1"/>
    </w:pPr>
    <w:rPr>
      <w:color w:val="E57100" w:themeColor="accent1"/>
    </w:rPr>
  </w:style>
  <w:style w:type="paragraph" w:styleId="Heading3">
    <w:name w:val="heading 3"/>
    <w:basedOn w:val="Normal"/>
    <w:next w:val="Normal"/>
    <w:link w:val="Heading3Char"/>
    <w:uiPriority w:val="9"/>
    <w:unhideWhenUsed/>
    <w:qFormat/>
    <w:rsid w:val="007B3B74"/>
    <w:pPr>
      <w:spacing w:after="0"/>
      <w:outlineLvl w:val="2"/>
    </w:pPr>
    <w:rPr>
      <w:b/>
    </w:rPr>
  </w:style>
  <w:style w:type="paragraph" w:styleId="Heading4">
    <w:name w:val="heading 4"/>
    <w:basedOn w:val="Normal"/>
    <w:next w:val="Normal"/>
    <w:link w:val="Heading4Char"/>
    <w:uiPriority w:val="9"/>
    <w:semiHidden/>
    <w:unhideWhenUsed/>
    <w:qFormat/>
    <w:rsid w:val="005E442A"/>
    <w:pPr>
      <w:keepNext/>
      <w:keepLines/>
      <w:spacing w:before="40" w:after="0"/>
      <w:outlineLvl w:val="3"/>
    </w:pPr>
    <w:rPr>
      <w:rFonts w:asciiTheme="majorHAnsi" w:eastAsiaTheme="majorEastAsia" w:hAnsiTheme="majorHAnsi" w:cstheme="majorBidi"/>
      <w:i/>
      <w:iCs/>
      <w:color w:val="AB5300" w:themeColor="accent1" w:themeShade="BF"/>
    </w:rPr>
  </w:style>
  <w:style w:type="character" w:default="1" w:styleId="DefaultParagraphFont">
    <w:name w:val="Default Paragraph Font"/>
    <w:uiPriority w:val="1"/>
    <w:rsid w:val="00F430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757643"/>
    <w:rPr>
      <w:rFonts w:ascii="Arial" w:hAnsi="Arial"/>
      <w:b/>
      <w:color w:val="E57100" w:themeColor="accent1"/>
      <w:szCs w:val="22"/>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14359C"/>
    <w:pPr>
      <w:spacing w:after="0"/>
    </w:pPr>
    <w:rPr>
      <w:color w:val="E57100" w:themeColor="accent1"/>
      <w:sz w:val="40"/>
      <w:szCs w:val="40"/>
    </w:rPr>
  </w:style>
  <w:style w:type="character" w:customStyle="1" w:styleId="TitleChar">
    <w:name w:val="Title Char"/>
    <w:basedOn w:val="DefaultParagraphFont"/>
    <w:link w:val="Title"/>
    <w:uiPriority w:val="10"/>
    <w:rsid w:val="0014359C"/>
    <w:rPr>
      <w:color w:val="E57100" w:themeColor="accent1"/>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666660"/>
    <w:rPr>
      <w:rFonts w:ascii="Arial" w:hAnsi="Arial"/>
      <w:color w:val="E57100" w:themeColor="accent1"/>
      <w:sz w:val="22"/>
      <w:szCs w:val="20"/>
    </w:rPr>
  </w:style>
  <w:style w:type="character" w:customStyle="1" w:styleId="Heading3Char">
    <w:name w:val="Heading 3 Char"/>
    <w:basedOn w:val="DefaultParagraphFont"/>
    <w:link w:val="Heading3"/>
    <w:uiPriority w:val="9"/>
    <w:rsid w:val="007B3B74"/>
    <w:rPr>
      <w:b/>
      <w:sz w:val="20"/>
      <w:szCs w:val="20"/>
      <w:lang w:val="en-US"/>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CE2205"/>
    <w:rPr>
      <w:color w:val="E57100" w:themeColor="accent1"/>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DC64F5"/>
    <w:rPr>
      <w:i/>
      <w:iCs/>
      <w:color w:val="E57100" w:themeColor="accen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character" w:styleId="SubtleEmphasis">
    <w:name w:val="Subtle Emphasis"/>
    <w:basedOn w:val="DefaultParagraphFont"/>
    <w:uiPriority w:val="19"/>
    <w:qFormat/>
    <w:rsid w:val="005E442A"/>
    <w:rPr>
      <w:i/>
      <w:iCs/>
      <w:color w:val="7B8084" w:themeColor="text1" w:themeTint="BF"/>
    </w:rPr>
  </w:style>
  <w:style w:type="character" w:styleId="SubtleReference">
    <w:name w:val="Subtle Reference"/>
    <w:basedOn w:val="DefaultParagraphFont"/>
    <w:uiPriority w:val="31"/>
    <w:qFormat/>
    <w:rsid w:val="005E442A"/>
    <w:rPr>
      <w:smallCaps/>
      <w:color w:val="8D9195" w:themeColor="text1" w:themeTint="A5"/>
    </w:rPr>
  </w:style>
  <w:style w:type="paragraph" w:styleId="NoSpacing">
    <w:name w:val="No Spacing"/>
    <w:uiPriority w:val="1"/>
    <w:qFormat/>
    <w:rsid w:val="005E442A"/>
    <w:pPr>
      <w:snapToGrid w:val="0"/>
    </w:pPr>
    <w:rPr>
      <w:rFonts w:ascii="Arial" w:hAnsi="Arial"/>
      <w:color w:val="000000"/>
      <w:sz w:val="22"/>
      <w:szCs w:val="20"/>
    </w:rPr>
  </w:style>
  <w:style w:type="character" w:customStyle="1" w:styleId="Heading4Char">
    <w:name w:val="Heading 4 Char"/>
    <w:basedOn w:val="DefaultParagraphFont"/>
    <w:link w:val="Heading4"/>
    <w:uiPriority w:val="9"/>
    <w:semiHidden/>
    <w:rsid w:val="005E442A"/>
    <w:rPr>
      <w:rFonts w:asciiTheme="majorHAnsi" w:eastAsiaTheme="majorEastAsia" w:hAnsiTheme="majorHAnsi" w:cstheme="majorBidi"/>
      <w:i/>
      <w:iCs/>
      <w:color w:val="AB5300" w:themeColor="accent1" w:themeShade="BF"/>
      <w:sz w:val="22"/>
      <w:szCs w:val="20"/>
    </w:rPr>
  </w:style>
  <w:style w:type="table" w:styleId="GridTable1Light-Accent5">
    <w:name w:val="Grid Table 1 Light Accent 5"/>
    <w:basedOn w:val="TableNormal"/>
    <w:uiPriority w:val="46"/>
    <w:rsid w:val="005E442A"/>
    <w:tblPr>
      <w:tblStyleRowBandSize w:val="1"/>
      <w:tblStyleColBandSize w:val="1"/>
      <w:tblBorders>
        <w:top w:val="single" w:sz="4" w:space="0" w:color="A9E7D4" w:themeColor="accent5" w:themeTint="66"/>
        <w:left w:val="single" w:sz="4" w:space="0" w:color="A9E7D4" w:themeColor="accent5" w:themeTint="66"/>
        <w:bottom w:val="single" w:sz="4" w:space="0" w:color="A9E7D4" w:themeColor="accent5" w:themeTint="66"/>
        <w:right w:val="single" w:sz="4" w:space="0" w:color="A9E7D4" w:themeColor="accent5" w:themeTint="66"/>
        <w:insideH w:val="single" w:sz="4" w:space="0" w:color="A9E7D4" w:themeColor="accent5" w:themeTint="66"/>
        <w:insideV w:val="single" w:sz="4" w:space="0" w:color="A9E7D4" w:themeColor="accent5" w:themeTint="66"/>
      </w:tblBorders>
    </w:tblPr>
    <w:tblStylePr w:type="firstRow">
      <w:rPr>
        <w:b/>
        <w:bCs/>
      </w:rPr>
      <w:tblPr/>
      <w:tcPr>
        <w:tcBorders>
          <w:bottom w:val="single" w:sz="12" w:space="0" w:color="7DDBBE" w:themeColor="accent5" w:themeTint="99"/>
        </w:tcBorders>
      </w:tcPr>
    </w:tblStylePr>
    <w:tblStylePr w:type="lastRow">
      <w:rPr>
        <w:b/>
        <w:bCs/>
      </w:rPr>
      <w:tblPr/>
      <w:tcPr>
        <w:tcBorders>
          <w:top w:val="double" w:sz="2" w:space="0" w:color="7DDBB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E442A"/>
    <w:tblPr>
      <w:tblStyleRowBandSize w:val="1"/>
      <w:tblStyleColBandSize w:val="1"/>
      <w:tblBorders>
        <w:top w:val="single" w:sz="4" w:space="0" w:color="B8E5DC" w:themeColor="accent6" w:themeTint="66"/>
        <w:left w:val="single" w:sz="4" w:space="0" w:color="B8E5DC" w:themeColor="accent6" w:themeTint="66"/>
        <w:bottom w:val="single" w:sz="4" w:space="0" w:color="B8E5DC" w:themeColor="accent6" w:themeTint="66"/>
        <w:right w:val="single" w:sz="4" w:space="0" w:color="B8E5DC" w:themeColor="accent6" w:themeTint="66"/>
        <w:insideH w:val="single" w:sz="4" w:space="0" w:color="B8E5DC" w:themeColor="accent6" w:themeTint="66"/>
        <w:insideV w:val="single" w:sz="4" w:space="0" w:color="B8E5DC" w:themeColor="accent6" w:themeTint="66"/>
      </w:tblBorders>
    </w:tblPr>
    <w:tblStylePr w:type="firstRow">
      <w:rPr>
        <w:b/>
        <w:bCs/>
      </w:rPr>
      <w:tblPr/>
      <w:tcPr>
        <w:tcBorders>
          <w:bottom w:val="single" w:sz="12" w:space="0" w:color="94D8CA" w:themeColor="accent6" w:themeTint="99"/>
        </w:tcBorders>
      </w:tcPr>
    </w:tblStylePr>
    <w:tblStylePr w:type="lastRow">
      <w:rPr>
        <w:b/>
        <w:bCs/>
      </w:rPr>
      <w:tblPr/>
      <w:tcPr>
        <w:tcBorders>
          <w:top w:val="double" w:sz="2" w:space="0" w:color="94D8CA" w:themeColor="accent6"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5E442A"/>
    <w:tblPr>
      <w:tblStyleRowBandSize w:val="1"/>
      <w:tblStyleColBandSize w:val="1"/>
      <w:tblBorders>
        <w:top w:val="single" w:sz="4" w:space="0" w:color="7DDBBE" w:themeColor="accent5" w:themeTint="99"/>
        <w:bottom w:val="single" w:sz="4" w:space="0" w:color="7DDBBE" w:themeColor="accent5" w:themeTint="99"/>
        <w:insideH w:val="single" w:sz="4" w:space="0" w:color="7DDBB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3E9" w:themeFill="accent5" w:themeFillTint="33"/>
      </w:tcPr>
    </w:tblStylePr>
    <w:tblStylePr w:type="band1Horz">
      <w:tblPr/>
      <w:tcPr>
        <w:shd w:val="clear" w:color="auto" w:fill="D3F3E9" w:themeFill="accent5" w:themeFillTint="33"/>
      </w:tcPr>
    </w:tblStylePr>
  </w:style>
  <w:style w:type="table" w:styleId="ListTable4-Accent6">
    <w:name w:val="List Table 4 Accent 6"/>
    <w:basedOn w:val="TableNormal"/>
    <w:uiPriority w:val="49"/>
    <w:rsid w:val="005E442A"/>
    <w:tblPr>
      <w:tblStyleRowBandSize w:val="1"/>
      <w:tblStyleColBandSize w:val="1"/>
      <w:tblBorders>
        <w:top w:val="single" w:sz="4" w:space="0" w:color="94D8CA" w:themeColor="accent6" w:themeTint="99"/>
        <w:left w:val="single" w:sz="4" w:space="0" w:color="94D8CA" w:themeColor="accent6" w:themeTint="99"/>
        <w:bottom w:val="single" w:sz="4" w:space="0" w:color="94D8CA" w:themeColor="accent6" w:themeTint="99"/>
        <w:right w:val="single" w:sz="4" w:space="0" w:color="94D8CA" w:themeColor="accent6" w:themeTint="99"/>
        <w:insideH w:val="single" w:sz="4" w:space="0" w:color="94D8CA" w:themeColor="accent6" w:themeTint="99"/>
      </w:tblBorders>
    </w:tblPr>
    <w:tblStylePr w:type="firstRow">
      <w:rPr>
        <w:b/>
        <w:bCs/>
        <w:color w:val="FFFFFF" w:themeColor="background1"/>
      </w:rPr>
      <w:tblPr/>
      <w:tcPr>
        <w:tcBorders>
          <w:top w:val="single" w:sz="4" w:space="0" w:color="4EBFA8" w:themeColor="accent6"/>
          <w:left w:val="single" w:sz="4" w:space="0" w:color="4EBFA8" w:themeColor="accent6"/>
          <w:bottom w:val="single" w:sz="4" w:space="0" w:color="4EBFA8" w:themeColor="accent6"/>
          <w:right w:val="single" w:sz="4" w:space="0" w:color="4EBFA8" w:themeColor="accent6"/>
          <w:insideH w:val="nil"/>
        </w:tcBorders>
        <w:shd w:val="clear" w:color="auto" w:fill="4EBFA8" w:themeFill="accent6"/>
      </w:tcPr>
    </w:tblStylePr>
    <w:tblStylePr w:type="lastRow">
      <w:rPr>
        <w:b/>
        <w:bCs/>
      </w:rPr>
      <w:tblPr/>
      <w:tcPr>
        <w:tcBorders>
          <w:top w:val="double" w:sz="4" w:space="0" w:color="94D8CA" w:themeColor="accent6" w:themeTint="99"/>
        </w:tcBorders>
      </w:tc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table" w:styleId="ListTable4-Accent3">
    <w:name w:val="List Table 4 Accent 3"/>
    <w:basedOn w:val="TableNormal"/>
    <w:uiPriority w:val="49"/>
    <w:rsid w:val="005E442A"/>
    <w:tblPr>
      <w:tblStyleRowBandSize w:val="1"/>
      <w:tblStyleColBandSize w:val="1"/>
      <w:tblBorders>
        <w:top w:val="single" w:sz="4" w:space="0" w:color="3EF8FF" w:themeColor="accent3" w:themeTint="99"/>
        <w:left w:val="single" w:sz="4" w:space="0" w:color="3EF8FF" w:themeColor="accent3" w:themeTint="99"/>
        <w:bottom w:val="single" w:sz="4" w:space="0" w:color="3EF8FF" w:themeColor="accent3" w:themeTint="99"/>
        <w:right w:val="single" w:sz="4" w:space="0" w:color="3EF8FF" w:themeColor="accent3" w:themeTint="99"/>
        <w:insideH w:val="single" w:sz="4" w:space="0" w:color="3EF8FF" w:themeColor="accent3" w:themeTint="99"/>
      </w:tblBorders>
    </w:tblPr>
    <w:tblStylePr w:type="firstRow">
      <w:rPr>
        <w:b/>
        <w:bCs/>
        <w:color w:val="FFFFFF" w:themeColor="background1"/>
      </w:rPr>
      <w:tblPr/>
      <w:tcPr>
        <w:tcBorders>
          <w:top w:val="single" w:sz="4" w:space="0" w:color="00B7BD" w:themeColor="accent3"/>
          <w:left w:val="single" w:sz="4" w:space="0" w:color="00B7BD" w:themeColor="accent3"/>
          <w:bottom w:val="single" w:sz="4" w:space="0" w:color="00B7BD" w:themeColor="accent3"/>
          <w:right w:val="single" w:sz="4" w:space="0" w:color="00B7BD" w:themeColor="accent3"/>
          <w:insideH w:val="nil"/>
        </w:tcBorders>
        <w:shd w:val="clear" w:color="auto" w:fill="00B7BD" w:themeFill="accent3"/>
      </w:tcPr>
    </w:tblStylePr>
    <w:tblStylePr w:type="lastRow">
      <w:rPr>
        <w:b/>
        <w:bCs/>
      </w:rPr>
      <w:tblPr/>
      <w:tcPr>
        <w:tcBorders>
          <w:top w:val="double" w:sz="4" w:space="0" w:color="3EF8FF" w:themeColor="accent3" w:themeTint="99"/>
        </w:tcBorders>
      </w:tcPr>
    </w:tblStylePr>
    <w:tblStylePr w:type="firstCol">
      <w:rPr>
        <w:b/>
        <w:bCs/>
      </w:rPr>
    </w:tblStylePr>
    <w:tblStylePr w:type="lastCol">
      <w:rPr>
        <w:b/>
        <w:bCs/>
      </w:rPr>
    </w:tblStylePr>
    <w:tblStylePr w:type="band1Vert">
      <w:tblPr/>
      <w:tcPr>
        <w:shd w:val="clear" w:color="auto" w:fill="BEFCFF" w:themeFill="accent3" w:themeFillTint="33"/>
      </w:tcPr>
    </w:tblStylePr>
    <w:tblStylePr w:type="band1Horz">
      <w:tblPr/>
      <w:tcPr>
        <w:shd w:val="clear" w:color="auto" w:fill="BEFCFF" w:themeFill="accent3" w:themeFillTint="33"/>
      </w:tcPr>
    </w:tblStylePr>
  </w:style>
  <w:style w:type="table" w:styleId="GridTable5Dark-Accent5">
    <w:name w:val="Grid Table 5 Dark Accent 5"/>
    <w:basedOn w:val="TableNormal"/>
    <w:uiPriority w:val="50"/>
    <w:rsid w:val="005E44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3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B99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B99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B99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B990" w:themeFill="accent5"/>
      </w:tcPr>
    </w:tblStylePr>
    <w:tblStylePr w:type="band1Vert">
      <w:tblPr/>
      <w:tcPr>
        <w:shd w:val="clear" w:color="auto" w:fill="A9E7D4" w:themeFill="accent5" w:themeFillTint="66"/>
      </w:tcPr>
    </w:tblStylePr>
    <w:tblStylePr w:type="band1Horz">
      <w:tblPr/>
      <w:tcPr>
        <w:shd w:val="clear" w:color="auto" w:fill="A9E7D4" w:themeFill="accent5" w:themeFillTint="66"/>
      </w:tcPr>
    </w:tblStylePr>
  </w:style>
  <w:style w:type="table" w:styleId="GridTable1Light-Accent1">
    <w:name w:val="Grid Table 1 Light Accent 1"/>
    <w:basedOn w:val="TableNormal"/>
    <w:uiPriority w:val="46"/>
    <w:rsid w:val="00E35142"/>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table" w:styleId="ListTable2-Accent6">
    <w:name w:val="List Table 2 Accent 6"/>
    <w:basedOn w:val="TableNormal"/>
    <w:uiPriority w:val="47"/>
    <w:rsid w:val="00E35142"/>
    <w:tblPr>
      <w:tblStyleRowBandSize w:val="1"/>
      <w:tblStyleColBandSize w:val="1"/>
      <w:tblBorders>
        <w:top w:val="single" w:sz="4" w:space="0" w:color="94D8CA" w:themeColor="accent6" w:themeTint="99"/>
        <w:bottom w:val="single" w:sz="4" w:space="0" w:color="94D8CA" w:themeColor="accent6" w:themeTint="99"/>
        <w:insideH w:val="single" w:sz="4" w:space="0" w:color="94D8C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paragraph" w:styleId="ListParagraph">
    <w:name w:val="List Paragraph"/>
    <w:basedOn w:val="Normal"/>
    <w:uiPriority w:val="34"/>
    <w:qFormat/>
    <w:rsid w:val="00757643"/>
    <w:pPr>
      <w:widowControl w:val="0"/>
      <w:suppressAutoHyphens/>
      <w:autoSpaceDE w:val="0"/>
      <w:autoSpaceDN w:val="0"/>
      <w:adjustRightInd w:val="0"/>
      <w:snapToGrid/>
      <w:spacing w:after="170" w:line="220" w:lineRule="atLeast"/>
      <w:contextualSpacing/>
      <w:textAlignment w:val="center"/>
    </w:pPr>
    <w:rPr>
      <w:rFonts w:cs="Arial"/>
      <w:sz w:val="18"/>
      <w:szCs w:val="18"/>
      <w:lang w:val="en-US"/>
    </w:rPr>
  </w:style>
  <w:style w:type="paragraph" w:customStyle="1" w:styleId="Agbodycopy">
    <w:name w:val="Ag body copy"/>
    <w:basedOn w:val="Normal"/>
    <w:qFormat/>
    <w:rsid w:val="00757643"/>
    <w:pPr>
      <w:widowControl w:val="0"/>
      <w:suppressAutoHyphens/>
      <w:autoSpaceDE w:val="0"/>
      <w:autoSpaceDN w:val="0"/>
      <w:adjustRightInd w:val="0"/>
      <w:snapToGrid/>
      <w:spacing w:after="170" w:line="220" w:lineRule="atLeast"/>
      <w:textAlignment w:val="center"/>
    </w:pPr>
    <w:rPr>
      <w:rFonts w:cs="Arial"/>
      <w:sz w:val="18"/>
      <w:szCs w:val="18"/>
      <w:lang w:val="en-US"/>
    </w:rPr>
  </w:style>
  <w:style w:type="paragraph" w:customStyle="1" w:styleId="Pa11">
    <w:name w:val="Pa11"/>
    <w:basedOn w:val="Normal"/>
    <w:next w:val="Normal"/>
    <w:uiPriority w:val="99"/>
    <w:rsid w:val="00757643"/>
    <w:pPr>
      <w:widowControl w:val="0"/>
      <w:autoSpaceDE w:val="0"/>
      <w:autoSpaceDN w:val="0"/>
      <w:adjustRightInd w:val="0"/>
      <w:snapToGrid/>
      <w:spacing w:after="0" w:line="201" w:lineRule="atLeast"/>
    </w:pPr>
    <w:rPr>
      <w:rFonts w:ascii="Times New Roman MT Std" w:eastAsiaTheme="minorEastAsia" w:hAnsi="Times New Roman MT Std" w:cs="Times New Roman"/>
      <w:color w:val="auto"/>
      <w:sz w:val="24"/>
      <w:szCs w:val="24"/>
      <w:lang w:eastAsia="en-AU"/>
    </w:rPr>
  </w:style>
  <w:style w:type="character" w:styleId="CommentReference">
    <w:name w:val="annotation reference"/>
    <w:basedOn w:val="DefaultParagraphFont"/>
    <w:uiPriority w:val="99"/>
    <w:semiHidden/>
    <w:unhideWhenUsed/>
    <w:rsid w:val="00757643"/>
    <w:rPr>
      <w:sz w:val="16"/>
      <w:szCs w:val="16"/>
    </w:rPr>
  </w:style>
  <w:style w:type="paragraph" w:styleId="CommentText">
    <w:name w:val="annotation text"/>
    <w:basedOn w:val="Normal"/>
    <w:link w:val="CommentTextChar"/>
    <w:uiPriority w:val="99"/>
    <w:unhideWhenUsed/>
    <w:rsid w:val="00757643"/>
    <w:rPr>
      <w:sz w:val="20"/>
    </w:rPr>
  </w:style>
  <w:style w:type="character" w:customStyle="1" w:styleId="CommentTextChar">
    <w:name w:val="Comment Text Char"/>
    <w:basedOn w:val="DefaultParagraphFont"/>
    <w:link w:val="CommentText"/>
    <w:uiPriority w:val="99"/>
    <w:rsid w:val="00757643"/>
    <w:rPr>
      <w:rFonts w:ascii="Arial" w:hAnsi="Arial"/>
      <w:color w:val="000000"/>
      <w:sz w:val="20"/>
      <w:szCs w:val="20"/>
    </w:rPr>
  </w:style>
  <w:style w:type="paragraph" w:styleId="CommentSubject">
    <w:name w:val="annotation subject"/>
    <w:basedOn w:val="CommentText"/>
    <w:next w:val="CommentText"/>
    <w:link w:val="CommentSubjectChar"/>
    <w:uiPriority w:val="99"/>
    <w:semiHidden/>
    <w:unhideWhenUsed/>
    <w:rsid w:val="00757643"/>
    <w:rPr>
      <w:b/>
      <w:bCs/>
    </w:rPr>
  </w:style>
  <w:style w:type="character" w:customStyle="1" w:styleId="CommentSubjectChar">
    <w:name w:val="Comment Subject Char"/>
    <w:basedOn w:val="CommentTextChar"/>
    <w:link w:val="CommentSubject"/>
    <w:uiPriority w:val="99"/>
    <w:semiHidden/>
    <w:rsid w:val="00757643"/>
    <w:rPr>
      <w:rFonts w:ascii="Arial" w:hAnsi="Arial"/>
      <w:b/>
      <w:bCs/>
      <w:color w:val="000000"/>
      <w:sz w:val="20"/>
      <w:szCs w:val="20"/>
    </w:rPr>
  </w:style>
  <w:style w:type="paragraph" w:styleId="BalloonText">
    <w:name w:val="Balloon Text"/>
    <w:basedOn w:val="Normal"/>
    <w:link w:val="BalloonTextChar"/>
    <w:uiPriority w:val="99"/>
    <w:semiHidden/>
    <w:unhideWhenUsed/>
    <w:rsid w:val="007576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643"/>
    <w:rPr>
      <w:rFonts w:ascii="Segoe UI" w:hAnsi="Segoe UI" w:cs="Segoe UI"/>
      <w:color w:val="000000"/>
      <w:sz w:val="18"/>
      <w:szCs w:val="18"/>
    </w:rPr>
  </w:style>
  <w:style w:type="paragraph" w:styleId="Revision">
    <w:name w:val="Revision"/>
    <w:hidden/>
    <w:uiPriority w:val="99"/>
    <w:semiHidden/>
    <w:rsid w:val="00730818"/>
    <w:rPr>
      <w:rFonts w:ascii="Arial" w:hAnsi="Arial"/>
      <w:color w:val="000000"/>
      <w:sz w:val="22"/>
      <w:szCs w:val="20"/>
    </w:rPr>
  </w:style>
  <w:style w:type="character" w:styleId="PageNumber">
    <w:name w:val="page number"/>
    <w:basedOn w:val="DefaultParagraphFont"/>
    <w:uiPriority w:val="99"/>
    <w:semiHidden/>
    <w:unhideWhenUsed/>
    <w:rsid w:val="005B7350"/>
  </w:style>
  <w:style w:type="paragraph" w:styleId="TOCHeading">
    <w:name w:val="TOC Heading"/>
    <w:basedOn w:val="Heading1"/>
    <w:next w:val="Normal"/>
    <w:uiPriority w:val="39"/>
    <w:unhideWhenUsed/>
    <w:qFormat/>
    <w:rsid w:val="00922CC8"/>
    <w:pPr>
      <w:keepNext/>
      <w:keepLines/>
      <w:snapToGrid/>
      <w:spacing w:before="240" w:after="0" w:line="259" w:lineRule="auto"/>
      <w:outlineLvl w:val="9"/>
    </w:pPr>
    <w:rPr>
      <w:rFonts w:asciiTheme="majorHAnsi" w:eastAsiaTheme="majorEastAsia" w:hAnsiTheme="majorHAnsi" w:cstheme="majorBidi"/>
      <w:b w:val="0"/>
      <w:color w:val="AB5300" w:themeColor="accent1" w:themeShade="BF"/>
      <w:sz w:val="32"/>
      <w:szCs w:val="32"/>
      <w:lang w:val="en-US"/>
    </w:rPr>
  </w:style>
  <w:style w:type="paragraph" w:styleId="TOC1">
    <w:name w:val="toc 1"/>
    <w:basedOn w:val="Normal"/>
    <w:next w:val="Normal"/>
    <w:autoRedefine/>
    <w:uiPriority w:val="39"/>
    <w:unhideWhenUsed/>
    <w:rsid w:val="00922CC8"/>
    <w:pPr>
      <w:spacing w:after="100"/>
    </w:pPr>
  </w:style>
  <w:style w:type="paragraph" w:styleId="TOC2">
    <w:name w:val="toc 2"/>
    <w:basedOn w:val="Normal"/>
    <w:next w:val="Normal"/>
    <w:autoRedefine/>
    <w:uiPriority w:val="39"/>
    <w:unhideWhenUsed/>
    <w:rsid w:val="00922CC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agriculture.vic.gov.au/a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c.vic.gov.au/index.php/policies/governance/appointment-and-remuneration-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25" ma:contentTypeDescription="DEDJTR Document" ma:contentTypeScope="" ma:versionID="d122e17054404756feb8b4537dc147da">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2468a0b3eba147d36f735ba258abeffd"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4713-7564-4124-A2BC-3168D9AF5067}">
  <ds:schemaRefs>
    <ds:schemaRef ds:uri="http://schemas.microsoft.com/office/2006/metadata/contentType"/>
    <ds:schemaRef ds:uri="http://schemas.microsoft.com/office/2006/metadata/properties/metaAttributes"/>
    <ds:schemaRef ds:uri="http://www.w3.org/2000/xmlns/"/>
    <ds:schemaRef ds:uri="http://www.w3.org/2001/XMLSchema"/>
    <ds:schemaRef ds:uri="72567383-1e26-4692-bdad-5f5be69e1590"/>
    <ds:schemaRef ds:uri="b3cc5fa8-9929-4f74-b449-d7a5840b4704"/>
    <ds:schemaRef ds:uri="090d67fc-ee94-4554-aa2a-62b5d3b3ca74"/>
  </ds:schemaRefs>
</ds:datastoreItem>
</file>

<file path=customXml/itemProps2.xml><?xml version="1.0" encoding="utf-8"?>
<ds:datastoreItem xmlns:ds="http://schemas.openxmlformats.org/officeDocument/2006/customXml" ds:itemID="{62C07D51-0C02-4F49-B369-8C88E59C473F}">
  <ds:schemaRefs>
    <ds:schemaRef ds:uri="http://schemas.microsoft.com/office/2006/metadata/properties"/>
    <ds:schemaRef ds:uri="http://www.w3.org/2000/xmlns/"/>
    <ds:schemaRef ds:uri="72567383-1e26-4692-bdad-5f5be69e1590"/>
    <ds:schemaRef ds:uri="http://schemas.microsoft.com/office/infopath/2007/PartnerControls"/>
    <ds:schemaRef ds:uri="b3cc5fa8-9929-4f74-b449-d7a5840b4704"/>
  </ds:schemaRefs>
</ds:datastoreItem>
</file>

<file path=customXml/itemProps3.xml><?xml version="1.0" encoding="utf-8"?>
<ds:datastoreItem xmlns:ds="http://schemas.openxmlformats.org/officeDocument/2006/customXml" ds:itemID="{F58B8A45-600E-4886-8B68-202BE92BB9B9}">
  <ds:schemaRefs>
    <ds:schemaRef ds:uri="http://schemas.microsoft.com/sharepoint/v3/contenttype/forms"/>
  </ds:schemaRefs>
</ds:datastoreItem>
</file>

<file path=customXml/itemProps4.xml><?xml version="1.0" encoding="utf-8"?>
<ds:datastoreItem xmlns:ds="http://schemas.openxmlformats.org/officeDocument/2006/customXml" ds:itemID="{49DC7C4C-50D6-A649-ADCE-BBFA222FA9E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3232</Words>
  <Characters>18426</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AWV Forms</vt:lpstr>
    </vt:vector>
  </TitlesOfParts>
  <Company/>
  <LinksUpToDate>false</LinksUpToDate>
  <CharactersWithSpaces>21615</CharactersWithSpaces>
  <SharedDoc>false</SharedDoc>
  <HLinks>
    <vt:vector size="84" baseType="variant">
      <vt:variant>
        <vt:i4>2031633</vt:i4>
      </vt:variant>
      <vt:variant>
        <vt:i4>78</vt:i4>
      </vt:variant>
      <vt:variant>
        <vt:i4>0</vt:i4>
      </vt:variant>
      <vt:variant>
        <vt:i4>5</vt:i4>
      </vt:variant>
      <vt:variant>
        <vt:lpwstr>http://www.agriculture.vic.gov.au/art</vt:lpwstr>
      </vt:variant>
      <vt:variant>
        <vt:lpwstr/>
      </vt:variant>
      <vt:variant>
        <vt:i4>4063340</vt:i4>
      </vt:variant>
      <vt:variant>
        <vt:i4>75</vt:i4>
      </vt:variant>
      <vt:variant>
        <vt:i4>0</vt:i4>
      </vt:variant>
      <vt:variant>
        <vt:i4>5</vt:i4>
      </vt:variant>
      <vt:variant>
        <vt:lpwstr>http://www.dpc.vic.gov.au/index.php/policies/governance/appointment-and-remuneration-guidelines</vt:lpwstr>
      </vt:variant>
      <vt:variant>
        <vt:lpwstr/>
      </vt:variant>
      <vt:variant>
        <vt:i4>1900595</vt:i4>
      </vt:variant>
      <vt:variant>
        <vt:i4>68</vt:i4>
      </vt:variant>
      <vt:variant>
        <vt:i4>0</vt:i4>
      </vt:variant>
      <vt:variant>
        <vt:i4>5</vt:i4>
      </vt:variant>
      <vt:variant>
        <vt:lpwstr/>
      </vt:variant>
      <vt:variant>
        <vt:lpwstr>_Toc40710209</vt:lpwstr>
      </vt:variant>
      <vt:variant>
        <vt:i4>1835059</vt:i4>
      </vt:variant>
      <vt:variant>
        <vt:i4>62</vt:i4>
      </vt:variant>
      <vt:variant>
        <vt:i4>0</vt:i4>
      </vt:variant>
      <vt:variant>
        <vt:i4>5</vt:i4>
      </vt:variant>
      <vt:variant>
        <vt:lpwstr/>
      </vt:variant>
      <vt:variant>
        <vt:lpwstr>_Toc40710208</vt:lpwstr>
      </vt:variant>
      <vt:variant>
        <vt:i4>1245235</vt:i4>
      </vt:variant>
      <vt:variant>
        <vt:i4>56</vt:i4>
      </vt:variant>
      <vt:variant>
        <vt:i4>0</vt:i4>
      </vt:variant>
      <vt:variant>
        <vt:i4>5</vt:i4>
      </vt:variant>
      <vt:variant>
        <vt:lpwstr/>
      </vt:variant>
      <vt:variant>
        <vt:lpwstr>_Toc40710207</vt:lpwstr>
      </vt:variant>
      <vt:variant>
        <vt:i4>1179699</vt:i4>
      </vt:variant>
      <vt:variant>
        <vt:i4>50</vt:i4>
      </vt:variant>
      <vt:variant>
        <vt:i4>0</vt:i4>
      </vt:variant>
      <vt:variant>
        <vt:i4>5</vt:i4>
      </vt:variant>
      <vt:variant>
        <vt:lpwstr/>
      </vt:variant>
      <vt:variant>
        <vt:lpwstr>_Toc40710206</vt:lpwstr>
      </vt:variant>
      <vt:variant>
        <vt:i4>1114163</vt:i4>
      </vt:variant>
      <vt:variant>
        <vt:i4>44</vt:i4>
      </vt:variant>
      <vt:variant>
        <vt:i4>0</vt:i4>
      </vt:variant>
      <vt:variant>
        <vt:i4>5</vt:i4>
      </vt:variant>
      <vt:variant>
        <vt:lpwstr/>
      </vt:variant>
      <vt:variant>
        <vt:lpwstr>_Toc40710205</vt:lpwstr>
      </vt:variant>
      <vt:variant>
        <vt:i4>1048627</vt:i4>
      </vt:variant>
      <vt:variant>
        <vt:i4>38</vt:i4>
      </vt:variant>
      <vt:variant>
        <vt:i4>0</vt:i4>
      </vt:variant>
      <vt:variant>
        <vt:i4>5</vt:i4>
      </vt:variant>
      <vt:variant>
        <vt:lpwstr/>
      </vt:variant>
      <vt:variant>
        <vt:lpwstr>_Toc40710204</vt:lpwstr>
      </vt:variant>
      <vt:variant>
        <vt:i4>1507379</vt:i4>
      </vt:variant>
      <vt:variant>
        <vt:i4>32</vt:i4>
      </vt:variant>
      <vt:variant>
        <vt:i4>0</vt:i4>
      </vt:variant>
      <vt:variant>
        <vt:i4>5</vt:i4>
      </vt:variant>
      <vt:variant>
        <vt:lpwstr/>
      </vt:variant>
      <vt:variant>
        <vt:lpwstr>_Toc40710203</vt:lpwstr>
      </vt:variant>
      <vt:variant>
        <vt:i4>1441843</vt:i4>
      </vt:variant>
      <vt:variant>
        <vt:i4>26</vt:i4>
      </vt:variant>
      <vt:variant>
        <vt:i4>0</vt:i4>
      </vt:variant>
      <vt:variant>
        <vt:i4>5</vt:i4>
      </vt:variant>
      <vt:variant>
        <vt:lpwstr/>
      </vt:variant>
      <vt:variant>
        <vt:lpwstr>_Toc40710202</vt:lpwstr>
      </vt:variant>
      <vt:variant>
        <vt:i4>1376307</vt:i4>
      </vt:variant>
      <vt:variant>
        <vt:i4>20</vt:i4>
      </vt:variant>
      <vt:variant>
        <vt:i4>0</vt:i4>
      </vt:variant>
      <vt:variant>
        <vt:i4>5</vt:i4>
      </vt:variant>
      <vt:variant>
        <vt:lpwstr/>
      </vt:variant>
      <vt:variant>
        <vt:lpwstr>_Toc40710201</vt:lpwstr>
      </vt:variant>
      <vt:variant>
        <vt:i4>1310771</vt:i4>
      </vt:variant>
      <vt:variant>
        <vt:i4>14</vt:i4>
      </vt:variant>
      <vt:variant>
        <vt:i4>0</vt:i4>
      </vt:variant>
      <vt:variant>
        <vt:i4>5</vt:i4>
      </vt:variant>
      <vt:variant>
        <vt:lpwstr/>
      </vt:variant>
      <vt:variant>
        <vt:lpwstr>_Toc40710200</vt:lpwstr>
      </vt:variant>
      <vt:variant>
        <vt:i4>1966138</vt:i4>
      </vt:variant>
      <vt:variant>
        <vt:i4>8</vt:i4>
      </vt:variant>
      <vt:variant>
        <vt:i4>0</vt:i4>
      </vt:variant>
      <vt:variant>
        <vt:i4>5</vt:i4>
      </vt:variant>
      <vt:variant>
        <vt:lpwstr/>
      </vt:variant>
      <vt:variant>
        <vt:lpwstr>_Toc40710199</vt:lpwstr>
      </vt:variant>
      <vt:variant>
        <vt:i4>2031674</vt:i4>
      </vt:variant>
      <vt:variant>
        <vt:i4>2</vt:i4>
      </vt:variant>
      <vt:variant>
        <vt:i4>0</vt:i4>
      </vt:variant>
      <vt:variant>
        <vt:i4>5</vt:i4>
      </vt:variant>
      <vt:variant>
        <vt:lpwstr/>
      </vt:variant>
      <vt:variant>
        <vt:lpwstr>_Toc40710198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AWV Forms</dc:title>
  <dc:subject/>
  <dc:creator>Microsoft Office User</dc:creator>
  <cp:keywords/>
  <dc:description/>
  <cp:lastModifiedBy>Dani Maver (DJPR)</cp:lastModifiedBy>
  <cp:revision>51</cp:revision>
  <cp:lastPrinted>2019-10-31T11:20:00Z</cp:lastPrinted>
  <dcterms:created xsi:type="dcterms:W3CDTF">2020-05-18T23:05:00Z</dcterms:created>
  <dcterms:modified xsi:type="dcterms:W3CDTF">2020-05-31T22:13:00Z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2048">
    <vt:lpwstr>74</vt:lpwstr>
  </property>
  <property fmtid="{D5CDD505-2E9C-101B-9397-08002B2CF9AE}" pid="10" name="AuthorIds_UIVersion_4608">
    <vt:lpwstr>74</vt:lpwstr>
  </property>
  <property fmtid="{D5CDD505-2E9C-101B-9397-08002B2CF9AE}" pid="11" name="AuthorIds_UIVersion_5120">
    <vt:lpwstr>74</vt:lpwstr>
  </property>
</Properties>
</file>