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9C97F7" w14:textId="77777777" w:rsidR="009D2FA1" w:rsidRDefault="009D2FA1" w:rsidP="00A20EB7">
      <w:pPr>
        <w:pStyle w:val="Title"/>
      </w:pPr>
      <w:r>
        <w:t>Establishing a rehoming program for</w:t>
      </w:r>
    </w:p>
    <w:p w14:paraId="2827C104" w14:textId="5D7EC0A9" w:rsidR="00F43052" w:rsidRPr="00E700AF" w:rsidRDefault="009D2FA1" w:rsidP="00A20EB7">
      <w:pPr>
        <w:pStyle w:val="Title"/>
      </w:pPr>
      <w:r>
        <w:t>animals used in research and teaching</w:t>
      </w:r>
    </w:p>
    <w:p w14:paraId="49C10CF5" w14:textId="77777777" w:rsidR="00DC5805" w:rsidRDefault="00DC5805" w:rsidP="00E700AF"/>
    <w:p w14:paraId="0F26F266" w14:textId="49B8207C" w:rsidR="00CD3B21" w:rsidRDefault="009D2FA1" w:rsidP="00E700AF">
      <w:pPr>
        <w:pStyle w:val="Introcopy"/>
      </w:pPr>
      <w:r w:rsidRPr="009D2FA1">
        <w:t>Guidelines for licence holders, researchers, teachers and Animal Ethics Committees considering rehoming animals after the conclusion of a research or teaching project</w:t>
      </w:r>
      <w:r w:rsidR="00E700AF" w:rsidRPr="00BF6EFB">
        <w:t xml:space="preserve">. </w:t>
      </w:r>
    </w:p>
    <w:p w14:paraId="28F3B0C9" w14:textId="77777777" w:rsidR="00CD3B21" w:rsidRDefault="00CD3B21" w:rsidP="00E700AF">
      <w:pPr>
        <w:pStyle w:val="Introcopy"/>
        <w:sectPr w:rsidR="00CD3B21" w:rsidSect="005361FE">
          <w:footerReference w:type="even" r:id="rId8"/>
          <w:footerReference w:type="default" r:id="rId9"/>
          <w:headerReference w:type="first" r:id="rId10"/>
          <w:footerReference w:type="first" r:id="rId11"/>
          <w:pgSz w:w="11900" w:h="16840"/>
          <w:pgMar w:top="3162" w:right="1440" w:bottom="1440" w:left="1440" w:header="708" w:footer="708" w:gutter="0"/>
          <w:cols w:space="708"/>
          <w:titlePg/>
          <w:docGrid w:linePitch="360"/>
        </w:sectPr>
      </w:pPr>
    </w:p>
    <w:p w14:paraId="2CAA474D" w14:textId="22C6295A" w:rsidR="00CD3B21" w:rsidRDefault="00CD3B21" w:rsidP="00F619FF">
      <w:pPr>
        <w:jc w:val="both"/>
      </w:pPr>
      <w:r>
        <w:t xml:space="preserve">Licence holders, researchers, teachers and Animal Ethics Committees (AECs) should consider opportunities to rehome animals after a research or teaching project wherever possible. The </w:t>
      </w:r>
      <w:r w:rsidRPr="00F619FF">
        <w:rPr>
          <w:i/>
        </w:rPr>
        <w:t xml:space="preserve">Australian code for the care and use of animals for scientific purposes, 8th edition </w:t>
      </w:r>
      <w:r>
        <w:t>(Australian code) requires the rehoming of animals to be approved by an AEC on a case-by-case basis, including safeguards to protect the animals’ ongoing wellbeing. Legal obligations in relation to pet ownership must also be observed.</w:t>
      </w:r>
    </w:p>
    <w:p w14:paraId="1B7E0F7F" w14:textId="77777777" w:rsidR="00CD3B21" w:rsidRDefault="00CD3B21" w:rsidP="00F619FF">
      <w:pPr>
        <w:jc w:val="both"/>
      </w:pPr>
      <w:r>
        <w:t>This guideline provides assistance to AECs and others developing appropriate safeguards for rehoming potential companion animals.</w:t>
      </w:r>
    </w:p>
    <w:p w14:paraId="4E25294B" w14:textId="11A5A136" w:rsidR="00CD3B21" w:rsidRDefault="00CD3B21" w:rsidP="00F619FF">
      <w:pPr>
        <w:jc w:val="both"/>
      </w:pPr>
      <w:r>
        <w:rPr>
          <w:noProof/>
          <w:lang w:val="en-AU" w:eastAsia="en-AU"/>
        </w:rPr>
        <mc:AlternateContent>
          <mc:Choice Requires="wps">
            <w:drawing>
              <wp:anchor distT="91440" distB="91440" distL="114300" distR="114300" simplePos="0" relativeHeight="251659264" behindDoc="0" locked="0" layoutInCell="0" allowOverlap="1" wp14:anchorId="67C2917D" wp14:editId="0E2F6C07">
                <wp:simplePos x="0" y="0"/>
                <wp:positionH relativeFrom="column">
                  <wp:posOffset>9525</wp:posOffset>
                </wp:positionH>
                <wp:positionV relativeFrom="margin">
                  <wp:posOffset>5363845</wp:posOffset>
                </wp:positionV>
                <wp:extent cx="2566035" cy="2276475"/>
                <wp:effectExtent l="0" t="0" r="24765" b="28575"/>
                <wp:wrapTopAndBottom/>
                <wp:docPr id="304"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66035" cy="2276475"/>
                        </a:xfrm>
                        <a:prstGeom prst="foldedCorner">
                          <a:avLst>
                            <a:gd name="adj" fmla="val 12500"/>
                          </a:avLst>
                        </a:prstGeom>
                        <a:solidFill>
                          <a:schemeClr val="accent1">
                            <a:lumMod val="20000"/>
                            <a:lumOff val="80000"/>
                            <a:alpha val="30000"/>
                          </a:schemeClr>
                        </a:solidFill>
                        <a:ln w="6350">
                          <a:solidFill>
                            <a:schemeClr val="accent1"/>
                          </a:solidFill>
                          <a:round/>
                          <a:headEnd/>
                          <a:tailEnd/>
                        </a:ln>
                      </wps:spPr>
                      <wps:txbx>
                        <w:txbxContent>
                          <w:p w14:paraId="2EAD450D" w14:textId="1E36AD6B" w:rsidR="00CD3B21" w:rsidRPr="007A58E5" w:rsidRDefault="00CD3B21" w:rsidP="00F619FF">
                            <w:pPr>
                              <w:pStyle w:val="Agbodytext"/>
                              <w:spacing w:before="120"/>
                              <w:jc w:val="both"/>
                              <w:rPr>
                                <w:rStyle w:val="IntenseEmphasis"/>
                                <w:rFonts w:asciiTheme="minorHAnsi" w:hAnsiTheme="minorHAnsi" w:cstheme="minorBidi"/>
                                <w:sz w:val="20"/>
                                <w:szCs w:val="20"/>
                              </w:rPr>
                            </w:pPr>
                            <w:r w:rsidRPr="007A58E5">
                              <w:rPr>
                                <w:rStyle w:val="IntenseEmphasis"/>
                                <w:sz w:val="20"/>
                                <w:szCs w:val="20"/>
                              </w:rPr>
                              <w:t>The Five Domains</w:t>
                            </w:r>
                            <w:r w:rsidR="00F17D87" w:rsidRPr="00F619FF">
                              <w:rPr>
                                <w:rStyle w:val="IntenseEmphasis"/>
                                <w:sz w:val="20"/>
                                <w:szCs w:val="20"/>
                                <w:vertAlign w:val="superscript"/>
                              </w:rPr>
                              <w:t>1</w:t>
                            </w:r>
                            <w:r w:rsidRPr="007A58E5">
                              <w:rPr>
                                <w:rStyle w:val="IntenseEmphasis"/>
                                <w:sz w:val="20"/>
                                <w:szCs w:val="20"/>
                              </w:rPr>
                              <w:t xml:space="preserve"> model provides an excellent framework for a systematic welfare assessment. The persistent effects of any nutritional, environmental, health and </w:t>
                            </w:r>
                            <w:proofErr w:type="spellStart"/>
                            <w:r w:rsidRPr="007A58E5">
                              <w:rPr>
                                <w:rStyle w:val="IntenseEmphasis"/>
                                <w:sz w:val="20"/>
                                <w:szCs w:val="20"/>
                              </w:rPr>
                              <w:t>behavioural</w:t>
                            </w:r>
                            <w:proofErr w:type="spellEnd"/>
                            <w:r w:rsidRPr="007A58E5">
                              <w:rPr>
                                <w:rStyle w:val="IntenseEmphasis"/>
                                <w:sz w:val="20"/>
                                <w:szCs w:val="20"/>
                              </w:rPr>
                              <w:t xml:space="preserve"> compromise to the animal (pre-project and during the project) should be considered, in sum, to form a precautionary judgement about the likely wellbeing of the animal. A practical example of the application of the Five Domains is available (see reference section overleaf)</w:t>
                            </w:r>
                            <w:r w:rsidR="00F619FF" w:rsidRPr="00F619FF">
                              <w:rPr>
                                <w:rStyle w:val="IntenseEmphasis"/>
                                <w:sz w:val="20"/>
                                <w:szCs w:val="20"/>
                                <w:vertAlign w:val="superscript"/>
                              </w:rPr>
                              <w:t>2</w:t>
                            </w:r>
                            <w:r w:rsidRPr="007A58E5">
                              <w:rPr>
                                <w:rStyle w:val="IntenseEmphasis"/>
                                <w:sz w:val="20"/>
                                <w:szCs w:val="20"/>
                              </w:rPr>
                              <w:t>.</w:t>
                            </w:r>
                          </w:p>
                          <w:p w14:paraId="483ECF7A" w14:textId="77777777" w:rsidR="00CD3B21" w:rsidRPr="00902EF3" w:rsidRDefault="00CD3B21" w:rsidP="00CD3B21">
                            <w:pPr>
                              <w:spacing w:after="0"/>
                              <w:jc w:val="center"/>
                              <w:rPr>
                                <w:rFonts w:asciiTheme="majorHAnsi" w:eastAsiaTheme="majorEastAsia" w:hAnsiTheme="majorHAnsi" w:cstheme="majorBidi"/>
                                <w:i/>
                                <w:iCs/>
                                <w:color w:val="8D9094" w:themeColor="text1" w:themeTint="A6"/>
                                <w:sz w:val="24"/>
                                <w14:textOutline w14:w="9525" w14:cap="rnd" w14:cmpd="sng" w14:algn="ctr">
                                  <w14:noFill/>
                                  <w14:prstDash w14:val="solid"/>
                                  <w14:bevel/>
                                </w14:textOutline>
                              </w:rPr>
                            </w:pP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2917D"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 o:spid="_x0000_s1026" type="#_x0000_t65" style="position:absolute;left:0;text-align:left;margin-left:.75pt;margin-top:422.35pt;width:202.05pt;height:179.25pt;z-index:251659264;visibility:visible;mso-wrap-style:square;mso-width-percent:0;mso-height-percent:0;mso-wrap-distance-left:9pt;mso-wrap-distance-top:7.2pt;mso-wrap-distance-right:9pt;mso-wrap-distance-bottom:7.2pt;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" o:allowincell="f" fillcolor="#ffe2c6 [660]" strokecolor="#e57100 [3204]" strokeweight=".5pt">
                <v:fill opacity="19789f"/>
                <o:lock v:ext="edit" aspectratio="t"/>
                <v:textbox inset="10.8pt,7.2pt,10.8pt">
                  <w:txbxContent>
                    <w:p w14:paraId="2EAD450D" w14:textId="1E36AD6B" w:rsidR="00CD3B21" w:rsidRPr="007A58E5" w:rsidRDefault="00CD3B21" w:rsidP="00F619FF">
                      <w:pPr>
                        <w:pStyle w:val="Agbodytext"/>
                        <w:spacing w:before="120"/>
                        <w:jc w:val="both"/>
                        <w:rPr>
                          <w:rStyle w:val="IntenseEmphasis"/>
                          <w:rFonts w:asciiTheme="minorHAnsi" w:hAnsiTheme="minorHAnsi" w:cstheme="minorBidi"/>
                          <w:sz w:val="20"/>
                          <w:szCs w:val="20"/>
                        </w:rPr>
                      </w:pPr>
                      <w:r w:rsidRPr="007A58E5">
                        <w:rPr>
                          <w:rStyle w:val="IntenseEmphasis"/>
                          <w:sz w:val="20"/>
                          <w:szCs w:val="20"/>
                        </w:rPr>
                        <w:t>The Five Domains</w:t>
                      </w:r>
                      <w:r w:rsidR="00F17D87" w:rsidRPr="00F619FF">
                        <w:rPr>
                          <w:rStyle w:val="IntenseEmphasis"/>
                          <w:sz w:val="20"/>
                          <w:szCs w:val="20"/>
                          <w:vertAlign w:val="superscript"/>
                        </w:rPr>
                        <w:t>1</w:t>
                      </w:r>
                      <w:r w:rsidRPr="007A58E5">
                        <w:rPr>
                          <w:rStyle w:val="IntenseEmphasis"/>
                          <w:sz w:val="20"/>
                          <w:szCs w:val="20"/>
                        </w:rPr>
                        <w:t xml:space="preserve"> model provides an excellent framework for a systematic welfare assessment. The persistent effects of any nutritional, environmental, health and </w:t>
                      </w:r>
                      <w:proofErr w:type="spellStart"/>
                      <w:r w:rsidRPr="007A58E5">
                        <w:rPr>
                          <w:rStyle w:val="IntenseEmphasis"/>
                          <w:sz w:val="20"/>
                          <w:szCs w:val="20"/>
                        </w:rPr>
                        <w:t>behavioural</w:t>
                      </w:r>
                      <w:proofErr w:type="spellEnd"/>
                      <w:r w:rsidRPr="007A58E5">
                        <w:rPr>
                          <w:rStyle w:val="IntenseEmphasis"/>
                          <w:sz w:val="20"/>
                          <w:szCs w:val="20"/>
                        </w:rPr>
                        <w:t xml:space="preserve"> compromise to the animal (pre-project and during the project) should be considered, in sum, to form a precautionary judgement about the likely wellbeing of the animal. A practical example of the application of the Five Domains is available (see reference section overleaf)</w:t>
                      </w:r>
                      <w:r w:rsidR="00F619FF" w:rsidRPr="00F619FF">
                        <w:rPr>
                          <w:rStyle w:val="IntenseEmphasis"/>
                          <w:sz w:val="20"/>
                          <w:szCs w:val="20"/>
                          <w:vertAlign w:val="superscript"/>
                        </w:rPr>
                        <w:t>2</w:t>
                      </w:r>
                      <w:r w:rsidRPr="007A58E5">
                        <w:rPr>
                          <w:rStyle w:val="IntenseEmphasis"/>
                          <w:sz w:val="20"/>
                          <w:szCs w:val="20"/>
                        </w:rPr>
                        <w:t>.</w:t>
                      </w:r>
                    </w:p>
                    <w:p w14:paraId="483ECF7A" w14:textId="77777777" w:rsidR="00CD3B21" w:rsidRPr="00902EF3" w:rsidRDefault="00CD3B21" w:rsidP="00CD3B21">
                      <w:pPr>
                        <w:spacing w:after="0"/>
                        <w:jc w:val="center"/>
                        <w:rPr>
                          <w:rFonts w:asciiTheme="majorHAnsi" w:eastAsiaTheme="majorEastAsia" w:hAnsiTheme="majorHAnsi" w:cstheme="majorBidi"/>
                          <w:i/>
                          <w:iCs/>
                          <w:color w:val="8D9094" w:themeColor="text1" w:themeTint="A6"/>
                          <w:sz w:val="24"/>
                          <w14:textOutline w14:w="9525" w14:cap="rnd" w14:cmpd="sng" w14:algn="ctr">
                            <w14:noFill/>
                            <w14:prstDash w14:val="solid"/>
                            <w14:bevel/>
                          </w14:textOutline>
                        </w:rPr>
                      </w:pPr>
                    </w:p>
                  </w:txbxContent>
                </v:textbox>
                <w10:wrap type="topAndBottom" anchory="margin"/>
              </v:shape>
            </w:pict>
          </mc:Fallback>
        </mc:AlternateContent>
      </w:r>
      <w:r>
        <w:t xml:space="preserve">To ensure the best outcome for rehomed animals, criteria must be in place to select and match animals and new owners. Research organisations and AECs without expertise in suitability assessment and owner selection are encouraged to consider partnering with a reputable animal rescue group to facilitate </w:t>
      </w:r>
      <w:r>
        <w:t>rehoming. This arrangement should be based on a formal agreement outlining each party’s responsibilities and providing opportunities to periodically review the rehoming program.</w:t>
      </w:r>
    </w:p>
    <w:p w14:paraId="02ADF7E5" w14:textId="77777777" w:rsidR="00CD3B21" w:rsidRPr="00DC5805" w:rsidRDefault="00CD3B21" w:rsidP="00F619FF">
      <w:pPr>
        <w:pStyle w:val="Heading1"/>
        <w:jc w:val="both"/>
      </w:pPr>
      <w:r w:rsidRPr="00E901A8">
        <w:t>Suitability criteria for rehoming</w:t>
      </w:r>
    </w:p>
    <w:p w14:paraId="670BB0E7" w14:textId="77777777" w:rsidR="00CD3B21" w:rsidRDefault="00CD3B21" w:rsidP="00F619FF">
      <w:pPr>
        <w:jc w:val="both"/>
      </w:pPr>
      <w:r>
        <w:t>In determining whether an animal would benefit from and is suitable for rehoming, an assessment of its prior life experiences and ongoing health and wellbeing must be made.</w:t>
      </w:r>
    </w:p>
    <w:p w14:paraId="468E8E46" w14:textId="77777777" w:rsidR="00CD3B21" w:rsidRDefault="00CD3B21" w:rsidP="00F619FF">
      <w:pPr>
        <w:jc w:val="both"/>
      </w:pPr>
      <w:r>
        <w:t>A prospective assessment can be made at the planning stage of a project, taking into account the suitability of the animals and the likely effects of the proposed project on their welfare.</w:t>
      </w:r>
    </w:p>
    <w:p w14:paraId="65F4E3AD" w14:textId="77777777" w:rsidR="00CD3B21" w:rsidRDefault="00CD3B21" w:rsidP="00F619FF">
      <w:pPr>
        <w:jc w:val="both"/>
      </w:pPr>
      <w:r>
        <w:t xml:space="preserve">To make a thorough assessment of any potential for ongoing welfare impact, the AEC and responsible researchers or teachers should collaborate with all relevant personnel including attending veterinarians, animal carers and animal welfare officers. </w:t>
      </w:r>
    </w:p>
    <w:p w14:paraId="7ECF524A" w14:textId="77777777" w:rsidR="00CD3B21" w:rsidRDefault="00CD3B21" w:rsidP="00F619FF">
      <w:pPr>
        <w:jc w:val="both"/>
      </w:pPr>
      <w:r>
        <w:t xml:space="preserve">At the conclusion of the project, animals must be assessed to ensure that their welfare is as predicted. A veterinary examination and any necessary investigations should be conducted. A </w:t>
      </w:r>
      <w:proofErr w:type="spellStart"/>
      <w:r>
        <w:t>behavioural</w:t>
      </w:r>
      <w:proofErr w:type="spellEnd"/>
      <w:r>
        <w:t xml:space="preserve"> assessment should be made, to assess the animal’s temperament, and to plan the transition into a new home.</w:t>
      </w:r>
    </w:p>
    <w:p w14:paraId="7294D70B" w14:textId="77777777" w:rsidR="00CD3B21" w:rsidRDefault="00CD3B21" w:rsidP="00F619FF">
      <w:pPr>
        <w:jc w:val="both"/>
      </w:pPr>
      <w:r>
        <w:t>Some animals will be inherently unsuitable for rehoming:</w:t>
      </w:r>
    </w:p>
    <w:p w14:paraId="530AAC11" w14:textId="3A05F13E" w:rsidR="00CD3B21" w:rsidRDefault="00B75053" w:rsidP="00F619FF">
      <w:pPr>
        <w:pStyle w:val="ListParagraph"/>
        <w:numPr>
          <w:ilvl w:val="0"/>
          <w:numId w:val="12"/>
        </w:numPr>
        <w:spacing w:after="0"/>
        <w:jc w:val="both"/>
      </w:pPr>
      <w:r>
        <w:t>A</w:t>
      </w:r>
      <w:r w:rsidR="00CD3B21">
        <w:t xml:space="preserve">nimals suspected of being sick </w:t>
      </w:r>
    </w:p>
    <w:p w14:paraId="5B77F7BE" w14:textId="1104AC45" w:rsidR="00CD3B21" w:rsidRDefault="00B75053" w:rsidP="00F619FF">
      <w:pPr>
        <w:pStyle w:val="ListParagraph"/>
        <w:numPr>
          <w:ilvl w:val="0"/>
          <w:numId w:val="12"/>
        </w:numPr>
        <w:spacing w:after="0"/>
        <w:jc w:val="both"/>
      </w:pPr>
      <w:r>
        <w:t>C</w:t>
      </w:r>
      <w:r w:rsidR="00CD3B21">
        <w:t xml:space="preserve">hronically unwell animals requiring ongoing veterinary treatment </w:t>
      </w:r>
    </w:p>
    <w:p w14:paraId="24681F9F" w14:textId="7B51973F" w:rsidR="00CD3B21" w:rsidRDefault="00B75053" w:rsidP="00F619FF">
      <w:pPr>
        <w:pStyle w:val="ListParagraph"/>
        <w:numPr>
          <w:ilvl w:val="0"/>
          <w:numId w:val="12"/>
        </w:numPr>
        <w:spacing w:after="0"/>
        <w:jc w:val="both"/>
      </w:pPr>
      <w:r>
        <w:t>G</w:t>
      </w:r>
      <w:r w:rsidR="00CD3B21">
        <w:t>enetically modified animals</w:t>
      </w:r>
    </w:p>
    <w:p w14:paraId="4991EA4E" w14:textId="04245755" w:rsidR="00CD3B21" w:rsidRDefault="00B75053" w:rsidP="00CD3B21">
      <w:pPr>
        <w:pStyle w:val="ListParagraph"/>
        <w:numPr>
          <w:ilvl w:val="0"/>
          <w:numId w:val="12"/>
        </w:numPr>
        <w:spacing w:after="0"/>
      </w:pPr>
      <w:proofErr w:type="spellStart"/>
      <w:r>
        <w:t>U</w:t>
      </w:r>
      <w:r w:rsidR="00CD3B21">
        <w:t>nweaned</w:t>
      </w:r>
      <w:proofErr w:type="spellEnd"/>
      <w:r w:rsidR="00CD3B21">
        <w:t xml:space="preserve"> animals</w:t>
      </w:r>
    </w:p>
    <w:p w14:paraId="7DD6A07A" w14:textId="01370CB5" w:rsidR="00CD3B21" w:rsidRDefault="00B75053" w:rsidP="00F619FF">
      <w:pPr>
        <w:pStyle w:val="ListParagraph"/>
        <w:numPr>
          <w:ilvl w:val="0"/>
          <w:numId w:val="12"/>
        </w:numPr>
        <w:spacing w:after="0"/>
        <w:jc w:val="both"/>
      </w:pPr>
      <w:r>
        <w:lastRenderedPageBreak/>
        <w:t>S</w:t>
      </w:r>
      <w:r w:rsidR="00CD3B21">
        <w:t>pecies declared as pest animals (note that mice, rats and rabbits are not declared pest species)</w:t>
      </w:r>
    </w:p>
    <w:p w14:paraId="2DD768F9" w14:textId="37EF3167" w:rsidR="00CD3B21" w:rsidRDefault="00B75053" w:rsidP="00F619FF">
      <w:pPr>
        <w:pStyle w:val="ListParagraph"/>
        <w:numPr>
          <w:ilvl w:val="0"/>
          <w:numId w:val="12"/>
        </w:numPr>
        <w:jc w:val="both"/>
      </w:pPr>
      <w:r>
        <w:t>A</w:t>
      </w:r>
      <w:r w:rsidR="00CD3B21">
        <w:t>nimals displaying aggressive behaviour</w:t>
      </w:r>
    </w:p>
    <w:p w14:paraId="3BE2EDA7" w14:textId="77777777" w:rsidR="00CD3B21" w:rsidRDefault="00CD3B21" w:rsidP="00F619FF">
      <w:pPr>
        <w:jc w:val="both"/>
      </w:pPr>
      <w:r>
        <w:t>Permanently disabled animals may be suitable for rehoming to the right carer, as long as the impairment does not cause the animal distress, or unmanageable pain.</w:t>
      </w:r>
    </w:p>
    <w:p w14:paraId="0BC3E74E" w14:textId="77777777" w:rsidR="00CD3B21" w:rsidRDefault="00CD3B21" w:rsidP="00F619FF">
      <w:pPr>
        <w:pStyle w:val="Heading1"/>
        <w:jc w:val="both"/>
      </w:pPr>
      <w:r w:rsidRPr="00902EF3">
        <w:t>Suitability criteria for new owners</w:t>
      </w:r>
    </w:p>
    <w:p w14:paraId="758D4152" w14:textId="77777777" w:rsidR="00CD3B21" w:rsidRDefault="00CD3B21" w:rsidP="00186071">
      <w:pPr>
        <w:jc w:val="both"/>
      </w:pPr>
      <w:r>
        <w:t xml:space="preserve">Animals must only be rehoused with capable, competent owners with a realistic prospect of caring for the animal for the rest of its life. Although it is not possible to guarantee this outcome, steps can be taken to create the best opportunity. </w:t>
      </w:r>
    </w:p>
    <w:p w14:paraId="470FEA83" w14:textId="77777777" w:rsidR="00CD3B21" w:rsidRDefault="00CD3B21">
      <w:pPr>
        <w:jc w:val="both"/>
      </w:pPr>
      <w:r>
        <w:t>Screening processes for prospective owners will vary according to the species and individual characteristics of the animals, but should include:</w:t>
      </w:r>
    </w:p>
    <w:p w14:paraId="1BA15022" w14:textId="387E3B7E" w:rsidR="00B75053" w:rsidRDefault="00CD3B21" w:rsidP="00F619FF">
      <w:pPr>
        <w:pStyle w:val="ListParagraph"/>
        <w:numPr>
          <w:ilvl w:val="0"/>
          <w:numId w:val="14"/>
        </w:numPr>
        <w:jc w:val="both"/>
      </w:pPr>
      <w:r>
        <w:t>A</w:t>
      </w:r>
      <w:r w:rsidR="00B75053">
        <w:t xml:space="preserve">n </w:t>
      </w:r>
      <w:r>
        <w:t>application process</w:t>
      </w:r>
      <w:r w:rsidR="00B75053">
        <w:t xml:space="preserve"> which</w:t>
      </w:r>
      <w:r>
        <w:t xml:space="preserve"> </w:t>
      </w:r>
      <w:r w:rsidR="00B75053">
        <w:t xml:space="preserve">collects </w:t>
      </w:r>
      <w:r>
        <w:t>relevant details likely to influence the compatibility of the animal and owner</w:t>
      </w:r>
      <w:r w:rsidR="00B75053">
        <w:t xml:space="preserve">. </w:t>
      </w:r>
    </w:p>
    <w:p w14:paraId="48A48A04" w14:textId="3BCB29B6" w:rsidR="00CD3B21" w:rsidRDefault="00B75053" w:rsidP="00F619FF">
      <w:pPr>
        <w:pStyle w:val="ListParagraph"/>
        <w:ind w:left="360"/>
        <w:jc w:val="both"/>
      </w:pPr>
      <w:r>
        <w:t>E</w:t>
      </w:r>
      <w:r w:rsidR="00CD3B21">
        <w:t>.g. a family with children, yard size</w:t>
      </w:r>
      <w:r>
        <w:t>,</w:t>
      </w:r>
      <w:r w:rsidR="00CD3B21">
        <w:t xml:space="preserve"> etc. </w:t>
      </w:r>
    </w:p>
    <w:p w14:paraId="6B4FA0E7" w14:textId="77777777" w:rsidR="00CD3B21" w:rsidRDefault="00CD3B21" w:rsidP="00F619FF">
      <w:pPr>
        <w:pStyle w:val="ListParagraph"/>
        <w:numPr>
          <w:ilvl w:val="0"/>
          <w:numId w:val="14"/>
        </w:numPr>
        <w:jc w:val="both"/>
      </w:pPr>
      <w:r>
        <w:t>An interview to clarify details and discuss prior experience with the species and expectations for the rehoming process</w:t>
      </w:r>
    </w:p>
    <w:p w14:paraId="68DCBBDF" w14:textId="77777777" w:rsidR="00CD3B21" w:rsidRDefault="00CD3B21" w:rsidP="00F619FF">
      <w:pPr>
        <w:pStyle w:val="Heading1"/>
        <w:jc w:val="both"/>
      </w:pPr>
      <w:r w:rsidRPr="00EC2E1D">
        <w:t>The rehoming process</w:t>
      </w:r>
    </w:p>
    <w:p w14:paraId="772040E3" w14:textId="77777777" w:rsidR="00CD3B21" w:rsidRDefault="00CD3B21" w:rsidP="00F619FF">
      <w:pPr>
        <w:jc w:val="both"/>
      </w:pPr>
      <w:r w:rsidRPr="00EC2E1D">
        <w:t xml:space="preserve">All cats and dogs rehomed from a licensed research organisation must be microchipped by an </w:t>
      </w:r>
      <w:proofErr w:type="spellStart"/>
      <w:r w:rsidRPr="00EC2E1D">
        <w:t>authorised</w:t>
      </w:r>
      <w:proofErr w:type="spellEnd"/>
      <w:r w:rsidRPr="00EC2E1D">
        <w:t xml:space="preserve"> implanter. The implanter must register the microchip details with a licensed registry within two days of implantation (this applies to all cats, dogs and horses when microchipped, whether retained under the licence or rehomed). Cats and dogs must also be wormed, desexed and vaccinated prior to rehoming, and new owners must be supplied with a microchipping, desexing and vaccination certificate. </w:t>
      </w:r>
    </w:p>
    <w:p w14:paraId="2B662D5E" w14:textId="19499A7C" w:rsidR="00CD3B21" w:rsidRDefault="00CD3B21" w:rsidP="00F619FF">
      <w:pPr>
        <w:jc w:val="both"/>
      </w:pPr>
      <w:r>
        <w:t xml:space="preserve">Other animals must, as applicable and appropriate for the species, be identified, wormed, vaccinated and desexed prior to rehoming. </w:t>
      </w:r>
    </w:p>
    <w:p w14:paraId="37B83CB2" w14:textId="31FD549A" w:rsidR="00872856" w:rsidRDefault="00872856" w:rsidP="00F619FF">
      <w:pPr>
        <w:jc w:val="both"/>
      </w:pPr>
    </w:p>
    <w:p w14:paraId="04DD1225" w14:textId="7C0BEFD3" w:rsidR="00CD3B21" w:rsidRDefault="00B75053" w:rsidP="00F619FF">
      <w:pPr>
        <w:jc w:val="both"/>
      </w:pPr>
      <w:r>
        <w:br w:type="column"/>
      </w:r>
      <w:r w:rsidR="00CD3B21">
        <w:t>Information provided to the new owner should include:</w:t>
      </w:r>
    </w:p>
    <w:p w14:paraId="300DBBE2" w14:textId="70FC6125" w:rsidR="00CD3B21" w:rsidRDefault="00B75053" w:rsidP="00F619FF">
      <w:pPr>
        <w:pStyle w:val="ListParagraph"/>
        <w:numPr>
          <w:ilvl w:val="0"/>
          <w:numId w:val="14"/>
        </w:numPr>
        <w:jc w:val="both"/>
      </w:pPr>
      <w:r>
        <w:t>A</w:t>
      </w:r>
      <w:r w:rsidR="009349CD">
        <w:t>n</w:t>
      </w:r>
      <w:r w:rsidR="00CD3B21">
        <w:t>y relevant details of previous history, outcomes of assessments and any special care required</w:t>
      </w:r>
    </w:p>
    <w:p w14:paraId="19ED878C" w14:textId="00188F89" w:rsidR="00CD3B21" w:rsidRDefault="00B75053" w:rsidP="00F619FF">
      <w:pPr>
        <w:pStyle w:val="ListParagraph"/>
        <w:numPr>
          <w:ilvl w:val="0"/>
          <w:numId w:val="14"/>
        </w:numPr>
        <w:jc w:val="both"/>
      </w:pPr>
      <w:r>
        <w:t xml:space="preserve">A </w:t>
      </w:r>
      <w:r w:rsidR="00CD3B21">
        <w:t>transfer of microchip ownership form to be submitted to the registry service for cats and dogs</w:t>
      </w:r>
    </w:p>
    <w:p w14:paraId="4875D369" w14:textId="3F3A027F" w:rsidR="00CD3B21" w:rsidRDefault="00B75053" w:rsidP="00186071">
      <w:pPr>
        <w:pStyle w:val="ListParagraph"/>
        <w:numPr>
          <w:ilvl w:val="0"/>
          <w:numId w:val="14"/>
        </w:numPr>
      </w:pPr>
      <w:r>
        <w:t>F</w:t>
      </w:r>
      <w:r w:rsidR="00CD3B21">
        <w:t>eeding, housing, training and responsible pet ownership particular to the species</w:t>
      </w:r>
      <w:r w:rsidR="000D59C3">
        <w:t>.</w:t>
      </w:r>
      <w:r>
        <w:t xml:space="preserve"> </w:t>
      </w:r>
      <w:r w:rsidR="000D59C3">
        <w:t>F</w:t>
      </w:r>
      <w:r w:rsidR="00CD3B21">
        <w:t>or a comprehensive guide see</w:t>
      </w:r>
      <w:r w:rsidR="000D59C3">
        <w:t xml:space="preserve"> </w:t>
      </w:r>
      <w:hyperlink r:id="rId12" w:history="1">
        <w:r w:rsidR="000D59C3" w:rsidRPr="00AE4BD6">
          <w:rPr>
            <w:rStyle w:val="Hyperlink"/>
          </w:rPr>
          <w:t>www.vic.gov.au/pets</w:t>
        </w:r>
      </w:hyperlink>
      <w:r w:rsidR="000D59C3">
        <w:t xml:space="preserve"> </w:t>
      </w:r>
    </w:p>
    <w:p w14:paraId="6B3C3CE8" w14:textId="5B670A97" w:rsidR="00CD3B21" w:rsidRDefault="00B75053" w:rsidP="00F619FF">
      <w:pPr>
        <w:pStyle w:val="ListParagraph"/>
        <w:numPr>
          <w:ilvl w:val="0"/>
          <w:numId w:val="14"/>
        </w:numPr>
        <w:jc w:val="both"/>
      </w:pPr>
      <w:r>
        <w:t>C</w:t>
      </w:r>
      <w:r w:rsidR="00CD3B21">
        <w:t xml:space="preserve">ontingency provisions </w:t>
      </w:r>
    </w:p>
    <w:p w14:paraId="00F9815A" w14:textId="77777777" w:rsidR="00CD3B21" w:rsidRPr="00D24A1E" w:rsidRDefault="00CD3B21" w:rsidP="00F619FF">
      <w:pPr>
        <w:pStyle w:val="Heading1"/>
        <w:jc w:val="both"/>
      </w:pPr>
      <w:r w:rsidRPr="00D24A1E">
        <w:t>Transfer of ownership</w:t>
      </w:r>
    </w:p>
    <w:p w14:paraId="7EE410EA" w14:textId="151B7195" w:rsidR="00CD3B21" w:rsidRDefault="00CD3B21" w:rsidP="00F619FF">
      <w:pPr>
        <w:jc w:val="both"/>
      </w:pPr>
      <w:r>
        <w:t>Transfer of ownership can be effected by formal agreement, or in the case of microchipped dogs and cats, by changing the microchip ownership details with the animal registry service.</w:t>
      </w:r>
    </w:p>
    <w:p w14:paraId="0E69DC32" w14:textId="77777777" w:rsidR="00CD3B21" w:rsidRDefault="00CD3B21" w:rsidP="00F619FF">
      <w:pPr>
        <w:jc w:val="both"/>
      </w:pPr>
      <w:r>
        <w:t>Contingency measures must be in place for all animal placements, including provisions for the animal if the placement fails within a short period of time. The adopting owner should be provided the opportunity of returning unsuitable animals, or given other options for rehoming.</w:t>
      </w:r>
    </w:p>
    <w:p w14:paraId="0E311A7F" w14:textId="77777777" w:rsidR="00CD3B21" w:rsidRDefault="00CD3B21" w:rsidP="00F619FF">
      <w:pPr>
        <w:pStyle w:val="Heading1"/>
        <w:jc w:val="both"/>
      </w:pPr>
      <w:r>
        <w:t xml:space="preserve">Further information </w:t>
      </w:r>
    </w:p>
    <w:p w14:paraId="0CD233AF" w14:textId="70DDA830" w:rsidR="00CD3B21" w:rsidRDefault="00CD3B21" w:rsidP="00F619FF">
      <w:pPr>
        <w:jc w:val="both"/>
      </w:pPr>
      <w:r w:rsidRPr="00EC2E1D">
        <w:t xml:space="preserve">For further information and assistance with establishing a rehoming program, please contact the Licensing and Audit unit at </w:t>
      </w:r>
      <w:hyperlink r:id="rId13" w:history="1">
        <w:r w:rsidR="000D59C3" w:rsidRPr="00186071">
          <w:rPr>
            <w:rStyle w:val="Hyperlink"/>
          </w:rPr>
          <w:t>sp.licensing@</w:t>
        </w:r>
        <w:r w:rsidR="003C01C0">
          <w:rPr>
            <w:rStyle w:val="Hyperlink"/>
          </w:rPr>
          <w:t>agriculture</w:t>
        </w:r>
        <w:r w:rsidR="000D59C3" w:rsidRPr="00186071">
          <w:rPr>
            <w:rStyle w:val="Hyperlink"/>
          </w:rPr>
          <w:t>.vic.gov.au</w:t>
        </w:r>
      </w:hyperlink>
      <w:r>
        <w:t xml:space="preserve"> </w:t>
      </w:r>
    </w:p>
    <w:p w14:paraId="1D257204" w14:textId="3E8E1F59" w:rsidR="00606E1A" w:rsidRDefault="00606E1A" w:rsidP="00606E1A"/>
    <w:p w14:paraId="01CBACDF" w14:textId="7DB3A978" w:rsidR="00606E1A" w:rsidRDefault="00606E1A" w:rsidP="00606E1A"/>
    <w:p w14:paraId="70796537" w14:textId="77777777" w:rsidR="00606E1A" w:rsidRPr="00606E1A" w:rsidRDefault="00606E1A" w:rsidP="00606E1A"/>
    <w:p w14:paraId="380D7A8E" w14:textId="26EA4F87" w:rsidR="00CD3B21" w:rsidRPr="00032EF5" w:rsidRDefault="00CD3B21" w:rsidP="00872856">
      <w:pPr>
        <w:pStyle w:val="Heading1"/>
        <w:spacing w:before="360"/>
      </w:pPr>
      <w:r w:rsidRPr="00032EF5">
        <w:t>References</w:t>
      </w:r>
    </w:p>
    <w:p w14:paraId="78237991" w14:textId="4767308C" w:rsidR="00CD3B21" w:rsidRPr="00D57538" w:rsidRDefault="00F17D87" w:rsidP="00CD3B21">
      <w:pPr>
        <w:pStyle w:val="Agbodytext"/>
        <w:jc w:val="both"/>
        <w:rPr>
          <w:b/>
          <w:bCs/>
          <w:caps/>
        </w:rPr>
      </w:pPr>
      <w:r w:rsidRPr="00F619FF">
        <w:rPr>
          <w:sz w:val="20"/>
          <w:szCs w:val="20"/>
          <w:vertAlign w:val="superscript"/>
        </w:rPr>
        <w:t xml:space="preserve">1 </w:t>
      </w:r>
      <w:r w:rsidR="00CD3B21">
        <w:t xml:space="preserve">Mellor, D.J. Updating Animal Welfare Thinking: Moving beyond the “Five Freedoms” towards “A Life Worth Living”. </w:t>
      </w:r>
      <w:r w:rsidR="00CD3B21" w:rsidRPr="00D57538">
        <w:t xml:space="preserve">Animals </w:t>
      </w:r>
      <w:r w:rsidR="00CD3B21" w:rsidRPr="00D57538">
        <w:rPr>
          <w:b/>
        </w:rPr>
        <w:t>2016</w:t>
      </w:r>
      <w:r w:rsidR="00CD3B21" w:rsidRPr="00D57538">
        <w:t>, 6</w:t>
      </w:r>
      <w:r w:rsidR="00CD3B21">
        <w:t>, 21.</w:t>
      </w:r>
    </w:p>
    <w:p w14:paraId="414DF538" w14:textId="3DB3E6FA" w:rsidR="00B75053" w:rsidRDefault="00F17D87" w:rsidP="00F619FF">
      <w:pPr>
        <w:pStyle w:val="Agbodytext"/>
        <w:jc w:val="both"/>
      </w:pPr>
      <w:r w:rsidRPr="00F619FF">
        <w:rPr>
          <w:sz w:val="20"/>
          <w:szCs w:val="20"/>
          <w:vertAlign w:val="superscript"/>
        </w:rPr>
        <w:t>2</w:t>
      </w:r>
      <w:r w:rsidRPr="00F619FF">
        <w:rPr>
          <w:sz w:val="20"/>
          <w:szCs w:val="20"/>
        </w:rPr>
        <w:t xml:space="preserve"> </w:t>
      </w:r>
      <w:r w:rsidR="00CD3B21">
        <w:t xml:space="preserve">Littlewood, K.E. &amp; Mellor, D.J. Changes in the Welfare of an Injured Working Farm Dog Assessed Using the Five Domains Model. </w:t>
      </w:r>
      <w:r w:rsidR="00CD3B21" w:rsidRPr="00D57538">
        <w:t xml:space="preserve">Animals </w:t>
      </w:r>
      <w:r w:rsidR="00CD3B21" w:rsidRPr="00D57538">
        <w:rPr>
          <w:b/>
        </w:rPr>
        <w:t>2016</w:t>
      </w:r>
      <w:r w:rsidR="00CD3B21" w:rsidRPr="00D57538">
        <w:t>, 6</w:t>
      </w:r>
      <w:r w:rsidR="00CD3B21">
        <w:t>, 5</w:t>
      </w:r>
      <w:r w:rsidR="004A0FDA">
        <w:t>.</w:t>
      </w:r>
    </w:p>
    <w:p w14:paraId="03FBA3AB" w14:textId="28DACD36" w:rsidR="00CD3B21" w:rsidRPr="008D6FCD" w:rsidRDefault="00CD3B21" w:rsidP="00CD3B21">
      <w:pPr>
        <w:pStyle w:val="Agbodytext"/>
        <w:jc w:val="both"/>
      </w:pPr>
    </w:p>
    <w:sectPr w:rsidR="00CD3B21" w:rsidRPr="008D6FCD" w:rsidSect="004A0FDA">
      <w:headerReference w:type="default" r:id="rId14"/>
      <w:footerReference w:type="even" r:id="rId15"/>
      <w:footerReference w:type="default" r:id="rId16"/>
      <w:footerReference w:type="first" r:id="rId17"/>
      <w:type w:val="continuous"/>
      <w:pgSz w:w="11900" w:h="16840"/>
      <w:pgMar w:top="1985" w:right="1440" w:bottom="1418" w:left="1440" w:header="708" w:footer="112"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3DC61B" w14:textId="77777777" w:rsidR="00573753" w:rsidRDefault="00573753" w:rsidP="00E700AF">
      <w:r>
        <w:separator/>
      </w:r>
    </w:p>
  </w:endnote>
  <w:endnote w:type="continuationSeparator" w:id="0">
    <w:p w14:paraId="5B6F441D" w14:textId="77777777" w:rsidR="00573753" w:rsidRDefault="00573753" w:rsidP="00E70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SemiBold">
    <w:altName w:val="VIC"/>
    <w:charset w:val="00"/>
    <w:family w:val="auto"/>
    <w:pitch w:val="variable"/>
    <w:sig w:usb0="00000001"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268CA" w14:textId="61D0FD8C" w:rsidR="003C01C0" w:rsidRDefault="003C01C0">
    <w:pPr>
      <w:pStyle w:val="Footer"/>
    </w:pPr>
    <w:r>
      <w:rPr>
        <w:noProof/>
      </w:rPr>
      <mc:AlternateContent>
        <mc:Choice Requires="wps">
          <w:drawing>
            <wp:anchor distT="0" distB="0" distL="0" distR="0" simplePos="0" relativeHeight="251665407" behindDoc="0" locked="0" layoutInCell="1" allowOverlap="1" wp14:anchorId="299BBED3" wp14:editId="2E35A83E">
              <wp:simplePos x="635" y="635"/>
              <wp:positionH relativeFrom="page">
                <wp:align>center</wp:align>
              </wp:positionH>
              <wp:positionV relativeFrom="page">
                <wp:align>bottom</wp:align>
              </wp:positionV>
              <wp:extent cx="551815" cy="376555"/>
              <wp:effectExtent l="0" t="0" r="635" b="0"/>
              <wp:wrapNone/>
              <wp:docPr id="1711019400"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26D7B23" w14:textId="7D19D171" w:rsidR="003C01C0" w:rsidRPr="003C01C0" w:rsidRDefault="003C01C0" w:rsidP="003C01C0">
                          <w:pPr>
                            <w:spacing w:after="0"/>
                            <w:rPr>
                              <w:rFonts w:ascii="Calibri" w:eastAsia="Calibri" w:hAnsi="Calibri" w:cs="Calibri"/>
                              <w:noProof/>
                              <w:sz w:val="24"/>
                              <w:szCs w:val="24"/>
                            </w:rPr>
                          </w:pPr>
                          <w:r w:rsidRPr="003C01C0">
                            <w:rPr>
                              <w:rFonts w:ascii="Calibri" w:eastAsia="Calibri" w:hAnsi="Calibri" w:cs="Calibri"/>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9BBED3" id="_x0000_t202" coordsize="21600,21600" o:spt="202" path="m,l,21600r21600,l21600,xe">
              <v:stroke joinstyle="miter"/>
              <v:path gradientshapeok="t" o:connecttype="rect"/>
            </v:shapetype>
            <v:shape id="Text Box 2" o:spid="_x0000_s1027" type="#_x0000_t202" alt="OFFICIAL" style="position:absolute;margin-left:0;margin-top:0;width:43.45pt;height:29.65pt;z-index:25166540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" filled="f" stroked="f">
              <v:fill o:detectmouseclick="t"/>
              <v:textbox style="mso-fit-shape-to-text:t" inset="0,0,0,15pt">
                <w:txbxContent>
                  <w:p w14:paraId="426D7B23" w14:textId="7D19D171" w:rsidR="003C01C0" w:rsidRPr="003C01C0" w:rsidRDefault="003C01C0" w:rsidP="003C01C0">
                    <w:pPr>
                      <w:spacing w:after="0"/>
                      <w:rPr>
                        <w:rFonts w:ascii="Calibri" w:eastAsia="Calibri" w:hAnsi="Calibri" w:cs="Calibri"/>
                        <w:noProof/>
                        <w:sz w:val="24"/>
                        <w:szCs w:val="24"/>
                      </w:rPr>
                    </w:pPr>
                    <w:r w:rsidRPr="003C01C0">
                      <w:rPr>
                        <w:rFonts w:ascii="Calibri" w:eastAsia="Calibri" w:hAnsi="Calibri" w:cs="Calibri"/>
                        <w:noProof/>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50114" w14:textId="740F1259" w:rsidR="002A5243" w:rsidRDefault="003C01C0" w:rsidP="002A5243">
    <w:pPr>
      <w:pStyle w:val="Footer"/>
      <w:tabs>
        <w:tab w:val="clear" w:pos="9026"/>
        <w:tab w:val="right" w:pos="9020"/>
      </w:tabs>
      <w:jc w:val="right"/>
    </w:pPr>
    <w:r>
      <w:rPr>
        <w:noProof/>
      </w:rPr>
      <mc:AlternateContent>
        <mc:Choice Requires="wps">
          <w:drawing>
            <wp:anchor distT="0" distB="0" distL="0" distR="0" simplePos="0" relativeHeight="251666431" behindDoc="0" locked="0" layoutInCell="1" allowOverlap="1" wp14:anchorId="013FDD9E" wp14:editId="4F870F0B">
              <wp:simplePos x="635" y="635"/>
              <wp:positionH relativeFrom="page">
                <wp:align>center</wp:align>
              </wp:positionH>
              <wp:positionV relativeFrom="page">
                <wp:align>bottom</wp:align>
              </wp:positionV>
              <wp:extent cx="551815" cy="376555"/>
              <wp:effectExtent l="0" t="0" r="635" b="0"/>
              <wp:wrapNone/>
              <wp:docPr id="725103655"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02279DF" w14:textId="05AA2A58" w:rsidR="003C01C0" w:rsidRPr="003C01C0" w:rsidRDefault="003C01C0" w:rsidP="003C01C0">
                          <w:pPr>
                            <w:spacing w:after="0"/>
                            <w:rPr>
                              <w:rFonts w:ascii="Calibri" w:eastAsia="Calibri" w:hAnsi="Calibri" w:cs="Calibri"/>
                              <w:noProof/>
                              <w:sz w:val="24"/>
                              <w:szCs w:val="24"/>
                            </w:rPr>
                          </w:pPr>
                          <w:r w:rsidRPr="003C01C0">
                            <w:rPr>
                              <w:rFonts w:ascii="Calibri" w:eastAsia="Calibri" w:hAnsi="Calibri" w:cs="Calibri"/>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3FDD9E" id="_x0000_t202" coordsize="21600,21600" o:spt="202" path="m,l,21600r21600,l21600,xe">
              <v:stroke joinstyle="miter"/>
              <v:path gradientshapeok="t" o:connecttype="rect"/>
            </v:shapetype>
            <v:shape id="Text Box 3" o:spid="_x0000_s1028" type="#_x0000_t202" alt="OFFICIAL" style="position:absolute;left:0;text-align:left;margin-left:0;margin-top:0;width:43.45pt;height:29.65pt;z-index:25166643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fill o:detectmouseclick="t"/>
              <v:textbox style="mso-fit-shape-to-text:t" inset="0,0,0,15pt">
                <w:txbxContent>
                  <w:p w14:paraId="402279DF" w14:textId="05AA2A58" w:rsidR="003C01C0" w:rsidRPr="003C01C0" w:rsidRDefault="003C01C0" w:rsidP="003C01C0">
                    <w:pPr>
                      <w:spacing w:after="0"/>
                      <w:rPr>
                        <w:rFonts w:ascii="Calibri" w:eastAsia="Calibri" w:hAnsi="Calibri" w:cs="Calibri"/>
                        <w:noProof/>
                        <w:sz w:val="24"/>
                        <w:szCs w:val="24"/>
                      </w:rPr>
                    </w:pPr>
                    <w:r w:rsidRPr="003C01C0">
                      <w:rPr>
                        <w:rFonts w:ascii="Calibri" w:eastAsia="Calibri" w:hAnsi="Calibri" w:cs="Calibri"/>
                        <w:noProof/>
                        <w:sz w:val="24"/>
                        <w:szCs w:val="24"/>
                      </w:rPr>
                      <w:t>OFFICIAL</w:t>
                    </w:r>
                  </w:p>
                </w:txbxContent>
              </v:textbox>
              <w10:wrap anchorx="page" anchory="page"/>
            </v:shape>
          </w:pict>
        </mc:Fallback>
      </mc:AlternateContent>
    </w:r>
    <w:r w:rsidR="002A5243">
      <w:rPr>
        <w:noProof/>
      </w:rPr>
      <w:drawing>
        <wp:inline distT="0" distB="0" distL="0" distR="0" wp14:anchorId="658700E7" wp14:editId="073A974E">
          <wp:extent cx="1895475" cy="733425"/>
          <wp:effectExtent l="0" t="0" r="9525" b="9525"/>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AWV footer.JPG"/>
                  <pic:cNvPicPr/>
                </pic:nvPicPr>
                <pic:blipFill>
                  <a:blip r:embed="rId1">
                    <a:extLst>
                      <a:ext uri="{28A0092B-C50C-407E-A947-70E740481C1C}">
                        <a14:useLocalDpi xmlns:a14="http://schemas.microsoft.com/office/drawing/2010/main" val="0"/>
                      </a:ext>
                    </a:extLst>
                  </a:blip>
                  <a:stretch>
                    <a:fillRect/>
                  </a:stretch>
                </pic:blipFill>
                <pic:spPr>
                  <a:xfrm>
                    <a:off x="0" y="0"/>
                    <a:ext cx="1895475" cy="73342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A6CDD" w14:textId="562E92E9" w:rsidR="00E43D33" w:rsidRDefault="003C01C0" w:rsidP="00E43D33">
    <w:pPr>
      <w:pStyle w:val="Footer"/>
      <w:jc w:val="right"/>
    </w:pPr>
    <w:r>
      <w:rPr>
        <w:noProof/>
      </w:rPr>
      <mc:AlternateContent>
        <mc:Choice Requires="wps">
          <w:drawing>
            <wp:anchor distT="0" distB="0" distL="0" distR="0" simplePos="0" relativeHeight="251664383" behindDoc="0" locked="0" layoutInCell="1" allowOverlap="1" wp14:anchorId="53C6CF4F" wp14:editId="736FDFF1">
              <wp:simplePos x="914400" y="9648825"/>
              <wp:positionH relativeFrom="page">
                <wp:align>center</wp:align>
              </wp:positionH>
              <wp:positionV relativeFrom="page">
                <wp:align>bottom</wp:align>
              </wp:positionV>
              <wp:extent cx="551815" cy="376555"/>
              <wp:effectExtent l="0" t="0" r="635" b="0"/>
              <wp:wrapNone/>
              <wp:docPr id="2066777518"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EDB9640" w14:textId="792006FD" w:rsidR="003C01C0" w:rsidRPr="003C01C0" w:rsidRDefault="003C01C0" w:rsidP="003C01C0">
                          <w:pPr>
                            <w:spacing w:after="0"/>
                            <w:rPr>
                              <w:rFonts w:ascii="Calibri" w:eastAsia="Calibri" w:hAnsi="Calibri" w:cs="Calibri"/>
                              <w:noProof/>
                              <w:sz w:val="24"/>
                              <w:szCs w:val="24"/>
                            </w:rPr>
                          </w:pPr>
                          <w:r w:rsidRPr="003C01C0">
                            <w:rPr>
                              <w:rFonts w:ascii="Calibri" w:eastAsia="Calibri" w:hAnsi="Calibri" w:cs="Calibri"/>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C6CF4F" id="_x0000_t202" coordsize="21600,21600" o:spt="202" path="m,l,21600r21600,l21600,xe">
              <v:stroke joinstyle="miter"/>
              <v:path gradientshapeok="t" o:connecttype="rect"/>
            </v:shapetype>
            <v:shape id="Text Box 1" o:spid="_x0000_s1029" type="#_x0000_t202" alt="OFFICIAL" style="position:absolute;left:0;text-align:left;margin-left:0;margin-top:0;width:43.45pt;height:29.65pt;z-index:25166438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6EDB9640" w14:textId="792006FD" w:rsidR="003C01C0" w:rsidRPr="003C01C0" w:rsidRDefault="003C01C0" w:rsidP="003C01C0">
                    <w:pPr>
                      <w:spacing w:after="0"/>
                      <w:rPr>
                        <w:rFonts w:ascii="Calibri" w:eastAsia="Calibri" w:hAnsi="Calibri" w:cs="Calibri"/>
                        <w:noProof/>
                        <w:sz w:val="24"/>
                        <w:szCs w:val="24"/>
                      </w:rPr>
                    </w:pPr>
                    <w:r w:rsidRPr="003C01C0">
                      <w:rPr>
                        <w:rFonts w:ascii="Calibri" w:eastAsia="Calibri" w:hAnsi="Calibri" w:cs="Calibri"/>
                        <w:noProof/>
                        <w:sz w:val="24"/>
                        <w:szCs w:val="24"/>
                      </w:rPr>
                      <w:t>OFFICIAL</w:t>
                    </w:r>
                  </w:p>
                </w:txbxContent>
              </v:textbox>
              <w10:wrap anchorx="page" anchory="page"/>
            </v:shape>
          </w:pict>
        </mc:Fallback>
      </mc:AlternateContent>
    </w:r>
  </w:p>
  <w:p w14:paraId="1CBDB679" w14:textId="77777777" w:rsidR="00E43D33" w:rsidRDefault="00E43D3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1E589" w14:textId="76E3F7E3" w:rsidR="003C01C0" w:rsidRDefault="003C01C0">
    <w:pPr>
      <w:pStyle w:val="Footer"/>
    </w:pPr>
    <w:r>
      <w:rPr>
        <w:noProof/>
      </w:rPr>
      <mc:AlternateContent>
        <mc:Choice Requires="wps">
          <w:drawing>
            <wp:anchor distT="0" distB="0" distL="0" distR="0" simplePos="0" relativeHeight="251668479" behindDoc="0" locked="0" layoutInCell="1" allowOverlap="1" wp14:anchorId="22A9BAB9" wp14:editId="485ED2C9">
              <wp:simplePos x="635" y="635"/>
              <wp:positionH relativeFrom="page">
                <wp:align>center</wp:align>
              </wp:positionH>
              <wp:positionV relativeFrom="page">
                <wp:align>bottom</wp:align>
              </wp:positionV>
              <wp:extent cx="551815" cy="376555"/>
              <wp:effectExtent l="0" t="0" r="635" b="0"/>
              <wp:wrapNone/>
              <wp:docPr id="201523103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3C64E73" w14:textId="59BC6027" w:rsidR="003C01C0" w:rsidRPr="003C01C0" w:rsidRDefault="003C01C0" w:rsidP="003C01C0">
                          <w:pPr>
                            <w:spacing w:after="0"/>
                            <w:rPr>
                              <w:rFonts w:ascii="Calibri" w:eastAsia="Calibri" w:hAnsi="Calibri" w:cs="Calibri"/>
                              <w:noProof/>
                              <w:sz w:val="24"/>
                              <w:szCs w:val="24"/>
                            </w:rPr>
                          </w:pPr>
                          <w:r w:rsidRPr="003C01C0">
                            <w:rPr>
                              <w:rFonts w:ascii="Calibri" w:eastAsia="Calibri" w:hAnsi="Calibri" w:cs="Calibri"/>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A9BAB9" id="_x0000_t202" coordsize="21600,21600" o:spt="202" path="m,l,21600r21600,l21600,xe">
              <v:stroke joinstyle="miter"/>
              <v:path gradientshapeok="t" o:connecttype="rect"/>
            </v:shapetype>
            <v:shape id="Text Box 5" o:spid="_x0000_s1030" type="#_x0000_t202" alt="OFFICIAL" style="position:absolute;margin-left:0;margin-top:0;width:43.45pt;height:29.65pt;z-index:25166847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33C64E73" w14:textId="59BC6027" w:rsidR="003C01C0" w:rsidRPr="003C01C0" w:rsidRDefault="003C01C0" w:rsidP="003C01C0">
                    <w:pPr>
                      <w:spacing w:after="0"/>
                      <w:rPr>
                        <w:rFonts w:ascii="Calibri" w:eastAsia="Calibri" w:hAnsi="Calibri" w:cs="Calibri"/>
                        <w:noProof/>
                        <w:sz w:val="24"/>
                        <w:szCs w:val="24"/>
                      </w:rPr>
                    </w:pPr>
                    <w:r w:rsidRPr="003C01C0">
                      <w:rPr>
                        <w:rFonts w:ascii="Calibri" w:eastAsia="Calibri" w:hAnsi="Calibri" w:cs="Calibri"/>
                        <w:noProof/>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1A831" w14:textId="5B590C21" w:rsidR="00DC5805" w:rsidRDefault="003C01C0" w:rsidP="00E700AF">
    <w:pPr>
      <w:pStyle w:val="Footer"/>
    </w:pPr>
    <w:r>
      <w:rPr>
        <w:noProof/>
      </w:rPr>
      <mc:AlternateContent>
        <mc:Choice Requires="wps">
          <w:drawing>
            <wp:anchor distT="0" distB="0" distL="0" distR="0" simplePos="0" relativeHeight="251669503" behindDoc="0" locked="0" layoutInCell="1" allowOverlap="1" wp14:anchorId="02332AD4" wp14:editId="281F246E">
              <wp:simplePos x="914400" y="10325100"/>
              <wp:positionH relativeFrom="page">
                <wp:align>center</wp:align>
              </wp:positionH>
              <wp:positionV relativeFrom="page">
                <wp:align>bottom</wp:align>
              </wp:positionV>
              <wp:extent cx="551815" cy="376555"/>
              <wp:effectExtent l="0" t="0" r="635" b="0"/>
              <wp:wrapNone/>
              <wp:docPr id="194885925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FF341DB" w14:textId="52323DD5" w:rsidR="003C01C0" w:rsidRPr="003C01C0" w:rsidRDefault="003C01C0" w:rsidP="003C01C0">
                          <w:pPr>
                            <w:spacing w:after="0"/>
                            <w:rPr>
                              <w:rFonts w:ascii="Calibri" w:eastAsia="Calibri" w:hAnsi="Calibri" w:cs="Calibri"/>
                              <w:noProof/>
                              <w:sz w:val="24"/>
                              <w:szCs w:val="24"/>
                            </w:rPr>
                          </w:pPr>
                          <w:r w:rsidRPr="003C01C0">
                            <w:rPr>
                              <w:rFonts w:ascii="Calibri" w:eastAsia="Calibri" w:hAnsi="Calibri" w:cs="Calibri"/>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332AD4" id="_x0000_t202" coordsize="21600,21600" o:spt="202" path="m,l,21600r21600,l21600,xe">
              <v:stroke joinstyle="miter"/>
              <v:path gradientshapeok="t" o:connecttype="rect"/>
            </v:shapetype>
            <v:shape id="Text Box 6" o:spid="_x0000_s1031" type="#_x0000_t202" alt="OFFICIAL" style="position:absolute;margin-left:0;margin-top:0;width:43.45pt;height:29.65pt;z-index:25166950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LE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fU9NPU/RaaIw7lYNy3t3zVYek18+GJOVwwzoGi&#10;DY94SAV9TeFkUdKC+/k3f8xH3jFKSY+CqalBRVOivhvcR9TWZLjJ2Caj+JKXOcbNXt8ByrDAF2F5&#10;MtHrgppM6UC/oJyXsRCGmOFYrqbbybwLo3LxOXCxXKYklJFlYW02lkfoSFfk8nl4Yc6eCA+4qQeY&#10;1MSqN7yPufGmt8t9QPbTUiK1I5EnxlGCaa2n5xI1/vo/ZV0e9eIX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CLLSxA8CAAAc&#10;BAAADgAAAAAAAAAAAAAAAAAuAgAAZHJzL2Uyb0RvYy54bWxQSwECLQAUAAYACAAAACEAIHrByNoA&#10;AAADAQAADwAAAAAAAAAAAAAAAABpBAAAZHJzL2Rvd25yZXYueG1sUEsFBgAAAAAEAAQA8wAAAHAF&#10;AAAAAA==&#10;" filled="f" stroked="f">
              <v:fill o:detectmouseclick="t"/>
              <v:textbox style="mso-fit-shape-to-text:t" inset="0,0,0,15pt">
                <w:txbxContent>
                  <w:p w14:paraId="1FF341DB" w14:textId="52323DD5" w:rsidR="003C01C0" w:rsidRPr="003C01C0" w:rsidRDefault="003C01C0" w:rsidP="003C01C0">
                    <w:pPr>
                      <w:spacing w:after="0"/>
                      <w:rPr>
                        <w:rFonts w:ascii="Calibri" w:eastAsia="Calibri" w:hAnsi="Calibri" w:cs="Calibri"/>
                        <w:noProof/>
                        <w:sz w:val="24"/>
                        <w:szCs w:val="24"/>
                      </w:rPr>
                    </w:pPr>
                    <w:r w:rsidRPr="003C01C0">
                      <w:rPr>
                        <w:rFonts w:ascii="Calibri" w:eastAsia="Calibri" w:hAnsi="Calibri" w:cs="Calibri"/>
                        <w:noProof/>
                        <w:sz w:val="24"/>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83614" w14:textId="5E0A2C58" w:rsidR="003C01C0" w:rsidRDefault="003C01C0">
    <w:pPr>
      <w:pStyle w:val="Footer"/>
    </w:pPr>
    <w:r>
      <w:rPr>
        <w:noProof/>
      </w:rPr>
      <mc:AlternateContent>
        <mc:Choice Requires="wps">
          <w:drawing>
            <wp:anchor distT="0" distB="0" distL="0" distR="0" simplePos="0" relativeHeight="251667455" behindDoc="0" locked="0" layoutInCell="1" allowOverlap="1" wp14:anchorId="47540B6D" wp14:editId="35D6A717">
              <wp:simplePos x="635" y="635"/>
              <wp:positionH relativeFrom="page">
                <wp:align>center</wp:align>
              </wp:positionH>
              <wp:positionV relativeFrom="page">
                <wp:align>bottom</wp:align>
              </wp:positionV>
              <wp:extent cx="551815" cy="376555"/>
              <wp:effectExtent l="0" t="0" r="635" b="0"/>
              <wp:wrapNone/>
              <wp:docPr id="11288618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4538FDA" w14:textId="24C26E5F" w:rsidR="003C01C0" w:rsidRPr="003C01C0" w:rsidRDefault="003C01C0" w:rsidP="003C01C0">
                          <w:pPr>
                            <w:spacing w:after="0"/>
                            <w:rPr>
                              <w:rFonts w:ascii="Calibri" w:eastAsia="Calibri" w:hAnsi="Calibri" w:cs="Calibri"/>
                              <w:noProof/>
                              <w:sz w:val="24"/>
                              <w:szCs w:val="24"/>
                            </w:rPr>
                          </w:pPr>
                          <w:r w:rsidRPr="003C01C0">
                            <w:rPr>
                              <w:rFonts w:ascii="Calibri" w:eastAsia="Calibri" w:hAnsi="Calibri" w:cs="Calibri"/>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540B6D" id="_x0000_t202" coordsize="21600,21600" o:spt="202" path="m,l,21600r21600,l21600,xe">
              <v:stroke joinstyle="miter"/>
              <v:path gradientshapeok="t" o:connecttype="rect"/>
            </v:shapetype>
            <v:shape id="Text Box 4" o:spid="_x0000_s1032" type="#_x0000_t202" alt="OFFICIAL" style="position:absolute;margin-left:0;margin-top:0;width:43.45pt;height:29.65pt;z-index:2516674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54538FDA" w14:textId="24C26E5F" w:rsidR="003C01C0" w:rsidRPr="003C01C0" w:rsidRDefault="003C01C0" w:rsidP="003C01C0">
                    <w:pPr>
                      <w:spacing w:after="0"/>
                      <w:rPr>
                        <w:rFonts w:ascii="Calibri" w:eastAsia="Calibri" w:hAnsi="Calibri" w:cs="Calibri"/>
                        <w:noProof/>
                        <w:sz w:val="24"/>
                        <w:szCs w:val="24"/>
                      </w:rPr>
                    </w:pPr>
                    <w:r w:rsidRPr="003C01C0">
                      <w:rPr>
                        <w:rFonts w:ascii="Calibri" w:eastAsia="Calibri" w:hAnsi="Calibri" w:cs="Calibri"/>
                        <w:noProof/>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E7321C" w14:textId="77777777" w:rsidR="00573753" w:rsidRDefault="00573753" w:rsidP="00E700AF">
      <w:r>
        <w:separator/>
      </w:r>
    </w:p>
  </w:footnote>
  <w:footnote w:type="continuationSeparator" w:id="0">
    <w:p w14:paraId="6DD30A21" w14:textId="77777777" w:rsidR="00573753" w:rsidRDefault="00573753" w:rsidP="00E70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635D5" w14:textId="22119A6C" w:rsidR="005361FE" w:rsidRDefault="00B1237E" w:rsidP="00E700AF">
    <w:pPr>
      <w:pStyle w:val="Header"/>
    </w:pPr>
    <w:r>
      <w:rPr>
        <w:noProof/>
        <w:lang w:val="en-GB" w:eastAsia="en-GB"/>
      </w:rPr>
      <w:drawing>
        <wp:anchor distT="0" distB="0" distL="114300" distR="114300" simplePos="0" relativeHeight="251663359" behindDoc="1" locked="0" layoutInCell="1" allowOverlap="1" wp14:anchorId="0F86B50C" wp14:editId="3B592743">
          <wp:simplePos x="0" y="0"/>
          <wp:positionH relativeFrom="page">
            <wp:posOffset>-17780</wp:posOffset>
          </wp:positionH>
          <wp:positionV relativeFrom="paragraph">
            <wp:posOffset>-426720</wp:posOffset>
          </wp:positionV>
          <wp:extent cx="7584247" cy="10732656"/>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1274 Ag Animal Welfare Factsheet 2 Pager4.png"/>
                  <pic:cNvPicPr/>
                </pic:nvPicPr>
                <pic:blipFill>
                  <a:blip r:embed="rId1">
                    <a:extLst>
                      <a:ext uri="{28A0092B-C50C-407E-A947-70E740481C1C}">
                        <a14:useLocalDpi xmlns:a14="http://schemas.microsoft.com/office/drawing/2010/main" val="0"/>
                      </a:ext>
                    </a:extLst>
                  </a:blip>
                  <a:stretch>
                    <a:fillRect/>
                  </a:stretch>
                </pic:blipFill>
                <pic:spPr>
                  <a:xfrm>
                    <a:off x="0" y="0"/>
                    <a:ext cx="7584247" cy="10732656"/>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7214" behindDoc="1" locked="0" layoutInCell="1" allowOverlap="1" wp14:anchorId="480EA820" wp14:editId="1375AEBB">
          <wp:simplePos x="0" y="0"/>
          <wp:positionH relativeFrom="column">
            <wp:posOffset>2828853</wp:posOffset>
          </wp:positionH>
          <wp:positionV relativeFrom="paragraph">
            <wp:posOffset>-449580</wp:posOffset>
          </wp:positionV>
          <wp:extent cx="3921760" cy="2614295"/>
          <wp:effectExtent l="0" t="0" r="254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itchell-orr-308557 2.jpg"/>
                  <pic:cNvPicPr/>
                </pic:nvPicPr>
                <pic:blipFill>
                  <a:blip r:embed="rId2">
                    <a:extLst>
                      <a:ext uri="{28A0092B-C50C-407E-A947-70E740481C1C}">
                        <a14:useLocalDpi xmlns:a14="http://schemas.microsoft.com/office/drawing/2010/main" val="0"/>
                      </a:ext>
                    </a:extLst>
                  </a:blip>
                  <a:stretch>
                    <a:fillRect/>
                  </a:stretch>
                </pic:blipFill>
                <pic:spPr>
                  <a:xfrm>
                    <a:off x="0" y="0"/>
                    <a:ext cx="3921760" cy="261429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3A94A" w14:textId="740913BF" w:rsidR="00DC5805" w:rsidRDefault="00DC5805" w:rsidP="00E700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21762B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BF24EC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F0653B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57207D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CAE56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FFA05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FFA797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9DE4EA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EF4002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59A324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676D494"/>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CEB3ED6"/>
    <w:multiLevelType w:val="hybridMultilevel"/>
    <w:tmpl w:val="9622FD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DD07759"/>
    <w:multiLevelType w:val="hybridMultilevel"/>
    <w:tmpl w:val="A47A88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A1C26B5"/>
    <w:multiLevelType w:val="hybridMultilevel"/>
    <w:tmpl w:val="47C232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666900944">
    <w:abstractNumId w:val="1"/>
  </w:num>
  <w:num w:numId="2" w16cid:durableId="1016495683">
    <w:abstractNumId w:val="2"/>
  </w:num>
  <w:num w:numId="3" w16cid:durableId="829447424">
    <w:abstractNumId w:val="3"/>
  </w:num>
  <w:num w:numId="4" w16cid:durableId="540750675">
    <w:abstractNumId w:val="4"/>
  </w:num>
  <w:num w:numId="5" w16cid:durableId="486362565">
    <w:abstractNumId w:val="9"/>
  </w:num>
  <w:num w:numId="6" w16cid:durableId="1423144318">
    <w:abstractNumId w:val="5"/>
  </w:num>
  <w:num w:numId="7" w16cid:durableId="410393752">
    <w:abstractNumId w:val="6"/>
  </w:num>
  <w:num w:numId="8" w16cid:durableId="357782066">
    <w:abstractNumId w:val="7"/>
  </w:num>
  <w:num w:numId="9" w16cid:durableId="110362736">
    <w:abstractNumId w:val="8"/>
  </w:num>
  <w:num w:numId="10" w16cid:durableId="12417907">
    <w:abstractNumId w:val="10"/>
  </w:num>
  <w:num w:numId="11" w16cid:durableId="188497718">
    <w:abstractNumId w:val="0"/>
  </w:num>
  <w:num w:numId="12" w16cid:durableId="1217281164">
    <w:abstractNumId w:val="12"/>
  </w:num>
  <w:num w:numId="13" w16cid:durableId="1825463974">
    <w:abstractNumId w:val="11"/>
  </w:num>
  <w:num w:numId="14" w16cid:durableId="20415901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052"/>
    <w:rsid w:val="00017083"/>
    <w:rsid w:val="000230A8"/>
    <w:rsid w:val="00032EF5"/>
    <w:rsid w:val="00065E50"/>
    <w:rsid w:val="000B4E7B"/>
    <w:rsid w:val="000D59C3"/>
    <w:rsid w:val="00107E20"/>
    <w:rsid w:val="0011552F"/>
    <w:rsid w:val="0017072A"/>
    <w:rsid w:val="0017335A"/>
    <w:rsid w:val="00175EC2"/>
    <w:rsid w:val="00183C76"/>
    <w:rsid w:val="00186071"/>
    <w:rsid w:val="00193822"/>
    <w:rsid w:val="001E3C94"/>
    <w:rsid w:val="001F3B08"/>
    <w:rsid w:val="00240243"/>
    <w:rsid w:val="00297617"/>
    <w:rsid w:val="002A5243"/>
    <w:rsid w:val="002D082A"/>
    <w:rsid w:val="00382139"/>
    <w:rsid w:val="0039292C"/>
    <w:rsid w:val="003B2FFD"/>
    <w:rsid w:val="003C01C0"/>
    <w:rsid w:val="004149F0"/>
    <w:rsid w:val="00434C2C"/>
    <w:rsid w:val="004755A1"/>
    <w:rsid w:val="004A0FDA"/>
    <w:rsid w:val="004A3BB8"/>
    <w:rsid w:val="004B3E3F"/>
    <w:rsid w:val="004C53FE"/>
    <w:rsid w:val="005361FE"/>
    <w:rsid w:val="00560B5A"/>
    <w:rsid w:val="00573753"/>
    <w:rsid w:val="005928D4"/>
    <w:rsid w:val="005D0EC1"/>
    <w:rsid w:val="005D3296"/>
    <w:rsid w:val="005E1EB8"/>
    <w:rsid w:val="00606E1A"/>
    <w:rsid w:val="0062436E"/>
    <w:rsid w:val="00656784"/>
    <w:rsid w:val="006730D2"/>
    <w:rsid w:val="006C1149"/>
    <w:rsid w:val="00730DF6"/>
    <w:rsid w:val="00774584"/>
    <w:rsid w:val="007A58E5"/>
    <w:rsid w:val="008439C6"/>
    <w:rsid w:val="00853419"/>
    <w:rsid w:val="00872856"/>
    <w:rsid w:val="008D3E98"/>
    <w:rsid w:val="008D6FCD"/>
    <w:rsid w:val="008E25A1"/>
    <w:rsid w:val="008E5F0D"/>
    <w:rsid w:val="00902EF3"/>
    <w:rsid w:val="009272A1"/>
    <w:rsid w:val="009349CD"/>
    <w:rsid w:val="009968E5"/>
    <w:rsid w:val="009B25C6"/>
    <w:rsid w:val="009D2FA1"/>
    <w:rsid w:val="009D5F07"/>
    <w:rsid w:val="00A010F9"/>
    <w:rsid w:val="00A05ADA"/>
    <w:rsid w:val="00A20EB7"/>
    <w:rsid w:val="00A67254"/>
    <w:rsid w:val="00AE2D59"/>
    <w:rsid w:val="00B1237E"/>
    <w:rsid w:val="00B46D9A"/>
    <w:rsid w:val="00B744F2"/>
    <w:rsid w:val="00B75053"/>
    <w:rsid w:val="00BF6EFB"/>
    <w:rsid w:val="00C10EC6"/>
    <w:rsid w:val="00C15404"/>
    <w:rsid w:val="00C22730"/>
    <w:rsid w:val="00C276E2"/>
    <w:rsid w:val="00C631F6"/>
    <w:rsid w:val="00C92011"/>
    <w:rsid w:val="00C97717"/>
    <w:rsid w:val="00CD3B21"/>
    <w:rsid w:val="00D10A4D"/>
    <w:rsid w:val="00D13EE2"/>
    <w:rsid w:val="00D33202"/>
    <w:rsid w:val="00D41D56"/>
    <w:rsid w:val="00D57468"/>
    <w:rsid w:val="00DC5805"/>
    <w:rsid w:val="00DC6E8B"/>
    <w:rsid w:val="00DD4502"/>
    <w:rsid w:val="00DD564F"/>
    <w:rsid w:val="00E27759"/>
    <w:rsid w:val="00E43D33"/>
    <w:rsid w:val="00E52F0A"/>
    <w:rsid w:val="00E700AF"/>
    <w:rsid w:val="00E901A8"/>
    <w:rsid w:val="00EC2E1D"/>
    <w:rsid w:val="00EF16B7"/>
    <w:rsid w:val="00F17D87"/>
    <w:rsid w:val="00F43052"/>
    <w:rsid w:val="00F54E5D"/>
    <w:rsid w:val="00F5692A"/>
    <w:rsid w:val="00F619FF"/>
    <w:rsid w:val="00F625C4"/>
    <w:rsid w:val="00FB25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F3998"/>
  <w15:chartTrackingRefBased/>
  <w15:docId w15:val="{34397029-75B6-6D41-8375-DE7E7D9BC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20EB7"/>
    <w:pPr>
      <w:snapToGrid w:val="0"/>
      <w:spacing w:after="240"/>
    </w:pPr>
    <w:rPr>
      <w:color w:val="000000"/>
      <w:sz w:val="20"/>
      <w:szCs w:val="20"/>
      <w:lang w:val="en-US"/>
    </w:rPr>
  </w:style>
  <w:style w:type="paragraph" w:styleId="Heading1">
    <w:name w:val="heading 1"/>
    <w:basedOn w:val="Normal"/>
    <w:next w:val="Normal"/>
    <w:link w:val="Heading1Char"/>
    <w:uiPriority w:val="9"/>
    <w:qFormat/>
    <w:rsid w:val="00DC5805"/>
    <w:pPr>
      <w:spacing w:after="120"/>
      <w:outlineLvl w:val="0"/>
    </w:pPr>
    <w:rPr>
      <w:b/>
      <w:color w:val="00B7BD" w:themeColor="accent3"/>
      <w:sz w:val="22"/>
      <w:szCs w:val="22"/>
    </w:rPr>
  </w:style>
  <w:style w:type="paragraph" w:styleId="Heading2">
    <w:name w:val="heading 2"/>
    <w:basedOn w:val="Normal"/>
    <w:next w:val="Normal"/>
    <w:link w:val="Heading2Char"/>
    <w:uiPriority w:val="9"/>
    <w:unhideWhenUsed/>
    <w:qFormat/>
    <w:rsid w:val="008439C6"/>
    <w:pPr>
      <w:keepNext/>
      <w:keepLines/>
      <w:spacing w:before="40" w:after="60"/>
      <w:outlineLvl w:val="1"/>
    </w:pPr>
    <w:rPr>
      <w:rFonts w:asciiTheme="majorHAnsi" w:eastAsiaTheme="majorEastAsia" w:hAnsiTheme="majorHAnsi" w:cstheme="majorBidi"/>
      <w:color w:val="00B7BD" w:themeColor="accent3"/>
      <w:sz w:val="22"/>
      <w:szCs w:val="26"/>
    </w:rPr>
  </w:style>
  <w:style w:type="paragraph" w:styleId="Heading3">
    <w:name w:val="heading 3"/>
    <w:basedOn w:val="Normal"/>
    <w:next w:val="Normal"/>
    <w:link w:val="Heading3Char"/>
    <w:uiPriority w:val="9"/>
    <w:unhideWhenUsed/>
    <w:qFormat/>
    <w:rsid w:val="006730D2"/>
    <w:pPr>
      <w:spacing w:after="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052"/>
    <w:pPr>
      <w:tabs>
        <w:tab w:val="center" w:pos="4513"/>
        <w:tab w:val="right" w:pos="9026"/>
      </w:tabs>
    </w:pPr>
  </w:style>
  <w:style w:type="character" w:customStyle="1" w:styleId="HeaderChar">
    <w:name w:val="Header Char"/>
    <w:basedOn w:val="DefaultParagraphFont"/>
    <w:link w:val="Header"/>
    <w:uiPriority w:val="99"/>
    <w:rsid w:val="00F43052"/>
  </w:style>
  <w:style w:type="paragraph" w:styleId="Footer">
    <w:name w:val="footer"/>
    <w:basedOn w:val="Normal"/>
    <w:link w:val="FooterChar"/>
    <w:uiPriority w:val="99"/>
    <w:unhideWhenUsed/>
    <w:rsid w:val="00F43052"/>
    <w:pPr>
      <w:tabs>
        <w:tab w:val="center" w:pos="4513"/>
        <w:tab w:val="right" w:pos="9026"/>
      </w:tabs>
    </w:pPr>
  </w:style>
  <w:style w:type="character" w:customStyle="1" w:styleId="FooterChar">
    <w:name w:val="Footer Char"/>
    <w:basedOn w:val="DefaultParagraphFont"/>
    <w:link w:val="Footer"/>
    <w:uiPriority w:val="99"/>
    <w:rsid w:val="00F43052"/>
  </w:style>
  <w:style w:type="character" w:customStyle="1" w:styleId="Heading1Char">
    <w:name w:val="Heading 1 Char"/>
    <w:basedOn w:val="DefaultParagraphFont"/>
    <w:link w:val="Heading1"/>
    <w:uiPriority w:val="9"/>
    <w:rsid w:val="00DC5805"/>
    <w:rPr>
      <w:b/>
      <w:color w:val="00B7BD" w:themeColor="accent3"/>
      <w:sz w:val="22"/>
      <w:szCs w:val="22"/>
      <w:lang w:val="en-US"/>
    </w:rPr>
  </w:style>
  <w:style w:type="paragraph" w:styleId="Subtitle">
    <w:name w:val="Subtitle"/>
    <w:basedOn w:val="Normal"/>
    <w:next w:val="Normal"/>
    <w:link w:val="SubtitleChar"/>
    <w:uiPriority w:val="11"/>
    <w:qFormat/>
    <w:rsid w:val="00F54E5D"/>
    <w:rPr>
      <w:color w:val="E57100" w:themeColor="accent1"/>
      <w:sz w:val="28"/>
    </w:rPr>
  </w:style>
  <w:style w:type="character" w:customStyle="1" w:styleId="SubtitleChar">
    <w:name w:val="Subtitle Char"/>
    <w:basedOn w:val="DefaultParagraphFont"/>
    <w:link w:val="Subtitle"/>
    <w:uiPriority w:val="11"/>
    <w:rsid w:val="00F54E5D"/>
    <w:rPr>
      <w:color w:val="E57100" w:themeColor="accent1"/>
      <w:sz w:val="28"/>
      <w:szCs w:val="20"/>
      <w:lang w:val="en-US"/>
    </w:rPr>
  </w:style>
  <w:style w:type="paragraph" w:styleId="Title">
    <w:name w:val="Title"/>
    <w:basedOn w:val="Normal"/>
    <w:next w:val="Normal"/>
    <w:link w:val="TitleChar"/>
    <w:uiPriority w:val="10"/>
    <w:qFormat/>
    <w:rsid w:val="00E700AF"/>
    <w:pPr>
      <w:spacing w:after="0"/>
    </w:pPr>
    <w:rPr>
      <w:color w:val="E57100" w:themeColor="accent1"/>
      <w:sz w:val="36"/>
      <w:szCs w:val="40"/>
    </w:rPr>
  </w:style>
  <w:style w:type="character" w:customStyle="1" w:styleId="TitleChar">
    <w:name w:val="Title Char"/>
    <w:basedOn w:val="DefaultParagraphFont"/>
    <w:link w:val="Title"/>
    <w:uiPriority w:val="10"/>
    <w:rsid w:val="00E700AF"/>
    <w:rPr>
      <w:color w:val="E57100" w:themeColor="accent1"/>
      <w:sz w:val="36"/>
      <w:szCs w:val="40"/>
      <w:lang w:val="en-US"/>
    </w:rPr>
  </w:style>
  <w:style w:type="paragraph" w:styleId="ListBullet">
    <w:name w:val="List Bullet"/>
    <w:basedOn w:val="Normal"/>
    <w:uiPriority w:val="99"/>
    <w:unhideWhenUsed/>
    <w:rsid w:val="004755A1"/>
    <w:pPr>
      <w:numPr>
        <w:numId w:val="10"/>
      </w:numPr>
      <w:tabs>
        <w:tab w:val="clear" w:pos="360"/>
      </w:tabs>
      <w:ind w:left="284" w:hanging="284"/>
      <w:contextualSpacing/>
    </w:pPr>
  </w:style>
  <w:style w:type="paragraph" w:styleId="Quote">
    <w:name w:val="Quote"/>
    <w:basedOn w:val="Normal"/>
    <w:next w:val="Normal"/>
    <w:link w:val="QuoteChar"/>
    <w:uiPriority w:val="29"/>
    <w:qFormat/>
    <w:rsid w:val="00BF6EFB"/>
    <w:rPr>
      <w:b/>
      <w:color w:val="E57100" w:themeColor="accent1"/>
      <w:sz w:val="24"/>
    </w:rPr>
  </w:style>
  <w:style w:type="character" w:customStyle="1" w:styleId="QuoteChar">
    <w:name w:val="Quote Char"/>
    <w:basedOn w:val="DefaultParagraphFont"/>
    <w:link w:val="Quote"/>
    <w:uiPriority w:val="29"/>
    <w:rsid w:val="00BF6EFB"/>
    <w:rPr>
      <w:b/>
      <w:color w:val="E57100" w:themeColor="accent1"/>
      <w:szCs w:val="20"/>
      <w:lang w:val="en-US"/>
    </w:rPr>
  </w:style>
  <w:style w:type="table" w:styleId="TableGrid">
    <w:name w:val="Table Grid"/>
    <w:basedOn w:val="TableNormal"/>
    <w:uiPriority w:val="39"/>
    <w:rsid w:val="00183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439C6"/>
    <w:rPr>
      <w:rFonts w:asciiTheme="majorHAnsi" w:eastAsiaTheme="majorEastAsia" w:hAnsiTheme="majorHAnsi" w:cstheme="majorBidi"/>
      <w:color w:val="00B7BD" w:themeColor="accent3"/>
      <w:sz w:val="22"/>
      <w:szCs w:val="26"/>
      <w:lang w:val="en-US"/>
    </w:rPr>
  </w:style>
  <w:style w:type="character" w:customStyle="1" w:styleId="Heading3Char">
    <w:name w:val="Heading 3 Char"/>
    <w:basedOn w:val="DefaultParagraphFont"/>
    <w:link w:val="Heading3"/>
    <w:uiPriority w:val="9"/>
    <w:rsid w:val="006730D2"/>
    <w:rPr>
      <w:b/>
      <w:sz w:val="20"/>
      <w:szCs w:val="20"/>
      <w:lang w:val="en-US"/>
    </w:rPr>
  </w:style>
  <w:style w:type="character" w:styleId="Strong">
    <w:name w:val="Strong"/>
    <w:uiPriority w:val="22"/>
    <w:qFormat/>
    <w:rsid w:val="00EF16B7"/>
    <w:rPr>
      <w:b/>
      <w:color w:val="E57100" w:themeColor="accent1"/>
      <w:sz w:val="18"/>
    </w:rPr>
  </w:style>
  <w:style w:type="paragraph" w:customStyle="1" w:styleId="Introcopy">
    <w:name w:val="Intro copy"/>
    <w:basedOn w:val="Normal"/>
    <w:qFormat/>
    <w:rsid w:val="00E700AF"/>
    <w:pPr>
      <w:spacing w:after="320"/>
    </w:pPr>
    <w:rPr>
      <w:color w:val="535659" w:themeColor="text1"/>
      <w:sz w:val="28"/>
    </w:rPr>
  </w:style>
  <w:style w:type="character" w:styleId="IntenseReference">
    <w:name w:val="Intense Reference"/>
    <w:basedOn w:val="DefaultParagraphFont"/>
    <w:uiPriority w:val="32"/>
    <w:qFormat/>
    <w:rsid w:val="006730D2"/>
    <w:rPr>
      <w:b/>
      <w:bCs/>
      <w:smallCaps/>
      <w:color w:val="E57100" w:themeColor="accent1"/>
      <w:spacing w:val="5"/>
    </w:rPr>
  </w:style>
  <w:style w:type="character" w:styleId="Hyperlink">
    <w:name w:val="Hyperlink"/>
    <w:basedOn w:val="DefaultParagraphFont"/>
    <w:uiPriority w:val="99"/>
    <w:unhideWhenUsed/>
    <w:rsid w:val="00A20EB7"/>
    <w:rPr>
      <w:color w:val="0070C0"/>
      <w:u w:val="single"/>
    </w:rPr>
  </w:style>
  <w:style w:type="paragraph" w:styleId="ListParagraph">
    <w:name w:val="List Paragraph"/>
    <w:basedOn w:val="Normal"/>
    <w:uiPriority w:val="34"/>
    <w:qFormat/>
    <w:rsid w:val="00E901A8"/>
    <w:pPr>
      <w:ind w:left="720"/>
      <w:contextualSpacing/>
    </w:pPr>
  </w:style>
  <w:style w:type="paragraph" w:customStyle="1" w:styleId="Agbodytext">
    <w:name w:val="Ag body text"/>
    <w:basedOn w:val="Normal"/>
    <w:qFormat/>
    <w:rsid w:val="00E901A8"/>
    <w:pPr>
      <w:snapToGrid/>
      <w:spacing w:after="120" w:line="220" w:lineRule="exact"/>
    </w:pPr>
    <w:rPr>
      <w:rFonts w:ascii="Arial" w:hAnsi="Arial" w:cs="VIC-SemiBold"/>
      <w:color w:val="535659" w:themeColor="text1"/>
      <w:sz w:val="18"/>
      <w:szCs w:val="52"/>
    </w:rPr>
  </w:style>
  <w:style w:type="character" w:styleId="EndnoteReference">
    <w:name w:val="endnote reference"/>
    <w:basedOn w:val="DefaultParagraphFont"/>
    <w:uiPriority w:val="99"/>
    <w:semiHidden/>
    <w:unhideWhenUsed/>
    <w:rsid w:val="00E901A8"/>
    <w:rPr>
      <w:vertAlign w:val="superscript"/>
    </w:rPr>
  </w:style>
  <w:style w:type="character" w:styleId="UnresolvedMention">
    <w:name w:val="Unresolved Mention"/>
    <w:basedOn w:val="DefaultParagraphFont"/>
    <w:uiPriority w:val="99"/>
    <w:rsid w:val="00EC2E1D"/>
    <w:rPr>
      <w:color w:val="808080"/>
      <w:shd w:val="clear" w:color="auto" w:fill="E6E6E6"/>
    </w:rPr>
  </w:style>
  <w:style w:type="character" w:styleId="IntenseEmphasis">
    <w:name w:val="Intense Emphasis"/>
    <w:basedOn w:val="DefaultParagraphFont"/>
    <w:uiPriority w:val="21"/>
    <w:qFormat/>
    <w:rsid w:val="00F5692A"/>
    <w:rPr>
      <w:i/>
      <w:iCs/>
      <w:color w:val="E57100" w:themeColor="accent1"/>
    </w:rPr>
  </w:style>
  <w:style w:type="paragraph" w:styleId="BalloonText">
    <w:name w:val="Balloon Text"/>
    <w:basedOn w:val="Normal"/>
    <w:link w:val="BalloonTextChar"/>
    <w:uiPriority w:val="99"/>
    <w:semiHidden/>
    <w:unhideWhenUsed/>
    <w:rsid w:val="00606E1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E1A"/>
    <w:rPr>
      <w:rFonts w:ascii="Segoe UI" w:hAnsi="Segoe UI" w:cs="Segoe UI"/>
      <w:color w:val="000000"/>
      <w:sz w:val="18"/>
      <w:szCs w:val="18"/>
      <w:lang w:val="en-US"/>
    </w:rPr>
  </w:style>
  <w:style w:type="paragraph" w:styleId="EndnoteText">
    <w:name w:val="endnote text"/>
    <w:basedOn w:val="Normal"/>
    <w:link w:val="EndnoteTextChar"/>
    <w:uiPriority w:val="99"/>
    <w:semiHidden/>
    <w:unhideWhenUsed/>
    <w:rsid w:val="00A05ADA"/>
    <w:pPr>
      <w:spacing w:after="0"/>
    </w:pPr>
  </w:style>
  <w:style w:type="character" w:customStyle="1" w:styleId="EndnoteTextChar">
    <w:name w:val="Endnote Text Char"/>
    <w:basedOn w:val="DefaultParagraphFont"/>
    <w:link w:val="EndnoteText"/>
    <w:uiPriority w:val="99"/>
    <w:semiHidden/>
    <w:rsid w:val="00A05ADA"/>
    <w:rPr>
      <w:color w:val="000000"/>
      <w:sz w:val="20"/>
      <w:szCs w:val="20"/>
      <w:lang w:val="en-US"/>
    </w:rPr>
  </w:style>
  <w:style w:type="paragraph" w:styleId="FootnoteText">
    <w:name w:val="footnote text"/>
    <w:basedOn w:val="Normal"/>
    <w:link w:val="FootnoteTextChar"/>
    <w:uiPriority w:val="99"/>
    <w:semiHidden/>
    <w:unhideWhenUsed/>
    <w:rsid w:val="00F17D87"/>
    <w:pPr>
      <w:spacing w:after="0"/>
    </w:pPr>
  </w:style>
  <w:style w:type="character" w:customStyle="1" w:styleId="FootnoteTextChar">
    <w:name w:val="Footnote Text Char"/>
    <w:basedOn w:val="DefaultParagraphFont"/>
    <w:link w:val="FootnoteText"/>
    <w:uiPriority w:val="99"/>
    <w:semiHidden/>
    <w:rsid w:val="00F17D87"/>
    <w:rPr>
      <w:color w:val="000000"/>
      <w:sz w:val="20"/>
      <w:szCs w:val="20"/>
      <w:lang w:val="en-US"/>
    </w:rPr>
  </w:style>
  <w:style w:type="character" w:styleId="FootnoteReference">
    <w:name w:val="footnote reference"/>
    <w:basedOn w:val="DefaultParagraphFont"/>
    <w:uiPriority w:val="99"/>
    <w:semiHidden/>
    <w:unhideWhenUsed/>
    <w:rsid w:val="00F17D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06799">
      <w:bodyDiv w:val="1"/>
      <w:marLeft w:val="0"/>
      <w:marRight w:val="0"/>
      <w:marTop w:val="0"/>
      <w:marBottom w:val="0"/>
      <w:divBdr>
        <w:top w:val="none" w:sz="0" w:space="0" w:color="auto"/>
        <w:left w:val="none" w:sz="0" w:space="0" w:color="auto"/>
        <w:bottom w:val="none" w:sz="0" w:space="0" w:color="auto"/>
        <w:right w:val="none" w:sz="0" w:space="0" w:color="auto"/>
      </w:divBdr>
    </w:div>
    <w:div w:id="148400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p.licensing@ecodev.vic.gov.a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ic.gov.au/pets"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AWV">
  <a:themeElements>
    <a:clrScheme name="AWV">
      <a:dk1>
        <a:srgbClr val="535659"/>
      </a:dk1>
      <a:lt1>
        <a:srgbClr val="FFFFFF"/>
      </a:lt1>
      <a:dk2>
        <a:srgbClr val="535659"/>
      </a:dk2>
      <a:lt2>
        <a:srgbClr val="D9D9D6"/>
      </a:lt2>
      <a:accent1>
        <a:srgbClr val="E57100"/>
      </a:accent1>
      <a:accent2>
        <a:srgbClr val="F6BE00"/>
      </a:accent2>
      <a:accent3>
        <a:srgbClr val="00B7BD"/>
      </a:accent3>
      <a:accent4>
        <a:srgbClr val="88DBDF"/>
      </a:accent4>
      <a:accent5>
        <a:srgbClr val="33B990"/>
      </a:accent5>
      <a:accent6>
        <a:srgbClr val="4EBFA8"/>
      </a:accent6>
      <a:hlink>
        <a:srgbClr val="FFEDE0"/>
      </a:hlink>
      <a:folHlink>
        <a:srgbClr val="E3510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WV" id="{6345387F-3222-4C46-970F-6195A05DA9DC}" vid="{D4AB82CD-6055-364D-9475-96F7F239A4A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Mel16</b:Tag>
    <b:SourceType>JournalArticle</b:SourceType>
    <b:Guid>{7BE3767D-05C4-4B13-A977-249EC341E9F5}</b:Guid>
    <b:Title>Updating Animal Welfare Thinking: Moving beyond the “Five Freedoms” towards “A Life Worth Living”</b:Title>
    <b:Year>2016</b:Year>
    <b:Author>
      <b:Author>
        <b:NameList>
          <b:Person>
            <b:Last>Mellor</b:Last>
            <b:First>D.J.</b:First>
          </b:Person>
        </b:NameList>
      </b:Author>
    </b:Author>
    <b:JournalName>Animals</b:JournalName>
    <b:Pages>6, 58</b:Pages>
    <b:RefOrder>1</b:RefOrder>
  </b:Source>
</b:Sources>
</file>

<file path=customXml/itemProps1.xml><?xml version="1.0" encoding="utf-8"?>
<ds:datastoreItem xmlns:ds="http://schemas.openxmlformats.org/officeDocument/2006/customXml" ds:itemID="{1E7164D9-AFAF-420C-8333-6B9A831CF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Deborah Burbidge (DJPR)</cp:lastModifiedBy>
  <cp:revision>3</cp:revision>
  <cp:lastPrinted>2018-05-24T07:25:00Z</cp:lastPrinted>
  <dcterms:created xsi:type="dcterms:W3CDTF">2024-10-16T04:08:00Z</dcterms:created>
  <dcterms:modified xsi:type="dcterms:W3CDTF">2024-10-16T04:08:00Z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7b3085ae,65fc1588,2b383427,6ba81a8,781dfc3c,74293b74</vt:lpwstr>
  </property>
  <property fmtid="{D5CDD505-2E9C-101B-9397-08002B2CF9AE}" pid="3" name="ClassificationContentMarkingFooterFontProps">
    <vt:lpwstr>#000000,12,Calibri</vt:lpwstr>
  </property>
  <property fmtid="{D5CDD505-2E9C-101B-9397-08002B2CF9AE}" pid="4" name="ClassificationContentMarkingFooterText">
    <vt:lpwstr>OFFICIAL</vt:lpwstr>
  </property>
  <property fmtid="{D5CDD505-2E9C-101B-9397-08002B2CF9AE}" pid="5" name="MSIP_Label_4257e2ab-f512-40e2-9c9a-c64247360765_Enabled">
    <vt:lpwstr>true</vt:lpwstr>
  </property>
  <property fmtid="{D5CDD505-2E9C-101B-9397-08002B2CF9AE}" pid="6" name="MSIP_Label_4257e2ab-f512-40e2-9c9a-c64247360765_SetDate">
    <vt:lpwstr>2024-10-16T04:08:17Z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f2a11498-c9e0-463e-8323-1748fa7b234a</vt:lpwstr>
  </property>
  <property fmtid="{D5CDD505-2E9C-101B-9397-08002B2CF9AE}" pid="11" name="MSIP_Label_4257e2ab-f512-40e2-9c9a-c64247360765_ContentBits">
    <vt:lpwstr>2</vt:lpwstr>
  </property>
</Properties>
</file>